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D7063" w14:textId="1C9BBA64" w:rsidR="00AF1EB8" w:rsidRPr="00AF1EB8" w:rsidRDefault="00AF1EB8" w:rsidP="0053287F">
      <w:pPr>
        <w:jc w:val="center"/>
        <w:rPr>
          <w:b/>
          <w:bCs/>
        </w:rPr>
      </w:pPr>
      <w:bookmarkStart w:id="0" w:name="OLE_LINK2"/>
      <w:r w:rsidRPr="00AF1EB8">
        <w:rPr>
          <w:b/>
          <w:bCs/>
          <w:noProof/>
        </w:rPr>
        <w:drawing>
          <wp:inline distT="0" distB="0" distL="0" distR="0" wp14:anchorId="7739FE9A" wp14:editId="06E962D8">
            <wp:extent cx="2980602" cy="1188188"/>
            <wp:effectExtent l="0" t="0" r="0" b="0"/>
            <wp:docPr id="1073741825" name="officeArt object"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1073741825" name="A close-up of black textAI-generated content may be incorrect." descr="A close-up of black textAI-generated content may be incorrect."/>
                    <pic:cNvPicPr>
                      <a:picLocks noChangeAspect="1"/>
                    </pic:cNvPicPr>
                  </pic:nvPicPr>
                  <pic:blipFill>
                    <a:blip r:embed="rId8"/>
                    <a:stretch>
                      <a:fillRect/>
                    </a:stretch>
                  </pic:blipFill>
                  <pic:spPr>
                    <a:xfrm>
                      <a:off x="0" y="0"/>
                      <a:ext cx="2980602" cy="1188188"/>
                    </a:xfrm>
                    <a:prstGeom prst="rect">
                      <a:avLst/>
                    </a:prstGeom>
                    <a:ln w="12700" cap="flat">
                      <a:noFill/>
                      <a:miter lim="400000"/>
                    </a:ln>
                    <a:effectLst/>
                  </pic:spPr>
                </pic:pic>
              </a:graphicData>
            </a:graphic>
          </wp:inline>
        </w:drawing>
      </w:r>
    </w:p>
    <w:p w14:paraId="791D4E31" w14:textId="77777777" w:rsidR="00AF1EB8" w:rsidRPr="00AF1EB8" w:rsidRDefault="00AF1EB8" w:rsidP="00AF1EB8"/>
    <w:p w14:paraId="744DB1E6" w14:textId="77777777" w:rsidR="00AF1EB8" w:rsidRPr="00AF1EB8" w:rsidRDefault="00AF1EB8" w:rsidP="00AF1EB8"/>
    <w:p w14:paraId="63AEA762" w14:textId="77777777" w:rsidR="00AF1EB8" w:rsidRPr="00AF1EB8" w:rsidRDefault="00AF1EB8" w:rsidP="00AF1EB8">
      <w:pPr>
        <w:spacing w:line="480" w:lineRule="auto"/>
        <w:rPr>
          <w:rFonts w:ascii="Arial" w:hAnsi="Arial" w:cs="Arial"/>
          <w:bCs/>
          <w:sz w:val="32"/>
          <w:szCs w:val="32"/>
        </w:rPr>
      </w:pPr>
      <w:r w:rsidRPr="00AF1EB8">
        <w:rPr>
          <w:rFonts w:ascii="Arial" w:hAnsi="Arial" w:cs="Arial"/>
          <w:b/>
          <w:bCs/>
          <w:sz w:val="32"/>
          <w:szCs w:val="32"/>
          <w:lang w:val="de-DE"/>
        </w:rPr>
        <w:t>Module Name:</w:t>
      </w:r>
      <w:r w:rsidRPr="00AF1EB8">
        <w:rPr>
          <w:rFonts w:ascii="Arial" w:hAnsi="Arial" w:cs="Arial"/>
          <w:sz w:val="32"/>
          <w:szCs w:val="32"/>
          <w:lang w:val="en-US"/>
        </w:rPr>
        <w:t xml:space="preserve"> </w:t>
      </w:r>
      <w:r w:rsidRPr="00AF1EB8">
        <w:rPr>
          <w:rFonts w:ascii="Arial" w:hAnsi="Arial" w:cs="Arial"/>
          <w:bCs/>
          <w:sz w:val="32"/>
          <w:szCs w:val="32"/>
        </w:rPr>
        <w:t>Problem Solving and Innovation</w:t>
      </w:r>
    </w:p>
    <w:p w14:paraId="3E584AEB" w14:textId="77777777" w:rsidR="00AF1EB8" w:rsidRPr="00AF1EB8" w:rsidRDefault="00AF1EB8" w:rsidP="00AF1EB8">
      <w:pPr>
        <w:spacing w:line="480" w:lineRule="auto"/>
        <w:rPr>
          <w:rFonts w:ascii="Arial" w:hAnsi="Arial" w:cs="Arial"/>
          <w:sz w:val="32"/>
          <w:szCs w:val="32"/>
        </w:rPr>
      </w:pPr>
      <w:r w:rsidRPr="00AF1EB8">
        <w:rPr>
          <w:rFonts w:ascii="Arial" w:hAnsi="Arial" w:cs="Arial"/>
          <w:b/>
          <w:bCs/>
          <w:sz w:val="32"/>
          <w:szCs w:val="32"/>
          <w:lang w:val="en-US"/>
        </w:rPr>
        <w:t>Module Code:</w:t>
      </w:r>
      <w:r w:rsidRPr="00AF1EB8">
        <w:rPr>
          <w:rFonts w:ascii="Arial" w:hAnsi="Arial" w:cs="Arial"/>
          <w:sz w:val="32"/>
          <w:szCs w:val="32"/>
          <w:lang w:val="de-DE"/>
        </w:rPr>
        <w:t xml:space="preserve"> </w:t>
      </w:r>
      <w:r w:rsidRPr="00AF1EB8">
        <w:rPr>
          <w:rFonts w:ascii="Arial" w:hAnsi="Arial" w:cs="Arial"/>
          <w:sz w:val="32"/>
          <w:szCs w:val="32"/>
        </w:rPr>
        <w:t>(</w:t>
      </w:r>
      <w:r w:rsidRPr="00AF1EB8">
        <w:rPr>
          <w:rFonts w:ascii="Arial" w:hAnsi="Arial" w:cs="Arial"/>
          <w:bCs/>
          <w:sz w:val="32"/>
          <w:szCs w:val="32"/>
        </w:rPr>
        <w:t>BMSW4014</w:t>
      </w:r>
      <w:r w:rsidRPr="00AF1EB8">
        <w:rPr>
          <w:rFonts w:ascii="Arial" w:hAnsi="Arial" w:cs="Arial"/>
          <w:sz w:val="32"/>
          <w:szCs w:val="32"/>
        </w:rPr>
        <w:t>)</w:t>
      </w:r>
    </w:p>
    <w:p w14:paraId="5C3EFDEC" w14:textId="58CE2BDB" w:rsidR="00AF1EB8" w:rsidRPr="00AF1EB8" w:rsidRDefault="00AF1EB8" w:rsidP="00AF1EB8">
      <w:pPr>
        <w:spacing w:line="480" w:lineRule="auto"/>
        <w:rPr>
          <w:rFonts w:ascii="Arial" w:hAnsi="Arial" w:cs="Arial"/>
          <w:sz w:val="32"/>
          <w:szCs w:val="32"/>
        </w:rPr>
      </w:pPr>
      <w:r w:rsidRPr="00AF1EB8">
        <w:rPr>
          <w:rFonts w:ascii="Arial" w:hAnsi="Arial" w:cs="Arial"/>
          <w:b/>
          <w:bCs/>
          <w:sz w:val="32"/>
          <w:szCs w:val="32"/>
          <w:lang w:val="en-US"/>
        </w:rPr>
        <w:t>Assessment 1:</w:t>
      </w:r>
      <w:r w:rsidRPr="00AF1EB8">
        <w:rPr>
          <w:rFonts w:ascii="Arial" w:hAnsi="Arial" w:cs="Arial"/>
          <w:sz w:val="32"/>
          <w:szCs w:val="32"/>
          <w:lang w:val="de-DE"/>
        </w:rPr>
        <w:t xml:space="preserve"> </w:t>
      </w:r>
      <w:r w:rsidR="001364C7" w:rsidRPr="001364C7">
        <w:rPr>
          <w:rFonts w:ascii="Arial" w:hAnsi="Arial" w:cs="Arial"/>
          <w:sz w:val="32"/>
          <w:szCs w:val="32"/>
        </w:rPr>
        <w:t xml:space="preserve">Understanding the Business Environment of the Influencer </w:t>
      </w:r>
      <w:r w:rsidR="008927B2">
        <w:rPr>
          <w:rFonts w:ascii="Arial" w:hAnsi="Arial" w:cs="Arial"/>
          <w:sz w:val="32"/>
          <w:szCs w:val="32"/>
        </w:rPr>
        <w:t>I</w:t>
      </w:r>
      <w:r w:rsidR="001364C7" w:rsidRPr="001364C7">
        <w:rPr>
          <w:rFonts w:ascii="Arial" w:hAnsi="Arial" w:cs="Arial"/>
          <w:sz w:val="32"/>
          <w:szCs w:val="32"/>
        </w:rPr>
        <w:t>ndustry</w:t>
      </w:r>
    </w:p>
    <w:p w14:paraId="77A03DCB" w14:textId="77777777" w:rsidR="00AF1EB8" w:rsidRPr="00AF1EB8" w:rsidRDefault="00AF1EB8" w:rsidP="00AF1EB8">
      <w:pPr>
        <w:spacing w:line="480" w:lineRule="auto"/>
        <w:rPr>
          <w:rFonts w:ascii="Arial" w:hAnsi="Arial" w:cs="Arial"/>
          <w:b/>
          <w:bCs/>
          <w:sz w:val="32"/>
          <w:szCs w:val="32"/>
        </w:rPr>
      </w:pPr>
      <w:r w:rsidRPr="00AF1EB8">
        <w:rPr>
          <w:rFonts w:ascii="Arial" w:hAnsi="Arial" w:cs="Arial"/>
          <w:b/>
          <w:bCs/>
          <w:sz w:val="32"/>
          <w:szCs w:val="32"/>
          <w:lang w:val="de-DE"/>
        </w:rPr>
        <w:t>Student Name:</w:t>
      </w:r>
      <w:r w:rsidRPr="00AF1EB8">
        <w:rPr>
          <w:rFonts w:ascii="Arial" w:hAnsi="Arial" w:cs="Arial"/>
          <w:b/>
          <w:bCs/>
          <w:sz w:val="32"/>
          <w:szCs w:val="32"/>
          <w:lang w:val="en-US"/>
        </w:rPr>
        <w:t xml:space="preserve"> </w:t>
      </w:r>
      <w:r w:rsidRPr="00AF1EB8">
        <w:rPr>
          <w:rFonts w:ascii="Arial" w:hAnsi="Arial" w:cs="Arial"/>
          <w:sz w:val="32"/>
          <w:szCs w:val="32"/>
          <w:lang w:val="en-US"/>
        </w:rPr>
        <w:t>Josue David Rodriguez Castro</w:t>
      </w:r>
    </w:p>
    <w:p w14:paraId="596F86A3" w14:textId="77777777" w:rsidR="00AF1EB8" w:rsidRPr="00AF1EB8" w:rsidRDefault="00AF1EB8" w:rsidP="00AF1EB8">
      <w:pPr>
        <w:spacing w:line="480" w:lineRule="auto"/>
        <w:rPr>
          <w:rFonts w:ascii="Arial" w:hAnsi="Arial" w:cs="Arial"/>
          <w:b/>
          <w:bCs/>
          <w:sz w:val="32"/>
          <w:szCs w:val="32"/>
        </w:rPr>
      </w:pPr>
      <w:r w:rsidRPr="00AF1EB8">
        <w:rPr>
          <w:rFonts w:ascii="Arial" w:hAnsi="Arial" w:cs="Arial"/>
          <w:b/>
          <w:bCs/>
          <w:sz w:val="32"/>
          <w:szCs w:val="32"/>
          <w:lang w:val="en-US"/>
        </w:rPr>
        <w:t xml:space="preserve">Student Number: </w:t>
      </w:r>
      <w:r w:rsidRPr="00AF1EB8">
        <w:rPr>
          <w:rFonts w:ascii="Arial" w:hAnsi="Arial" w:cs="Arial"/>
          <w:sz w:val="32"/>
          <w:szCs w:val="32"/>
          <w:lang w:val="en-US"/>
        </w:rPr>
        <w:t xml:space="preserve">2506920  </w:t>
      </w:r>
    </w:p>
    <w:p w14:paraId="268CF8A7" w14:textId="0AE69785" w:rsidR="00AF1EB8" w:rsidRPr="00AF1EB8" w:rsidRDefault="00AF1EB8" w:rsidP="00AF1EB8">
      <w:pPr>
        <w:spacing w:line="480" w:lineRule="auto"/>
        <w:rPr>
          <w:rFonts w:ascii="Arial" w:hAnsi="Arial" w:cs="Arial"/>
          <w:sz w:val="32"/>
          <w:szCs w:val="32"/>
        </w:rPr>
      </w:pPr>
      <w:r w:rsidRPr="00AF1EB8">
        <w:rPr>
          <w:rFonts w:ascii="Arial" w:hAnsi="Arial" w:cs="Arial"/>
          <w:b/>
          <w:bCs/>
          <w:sz w:val="32"/>
          <w:szCs w:val="32"/>
          <w:lang w:val="fr-FR"/>
        </w:rPr>
        <w:t>Lecturer:</w:t>
      </w:r>
      <w:r w:rsidRPr="00AF1EB8">
        <w:rPr>
          <w:rFonts w:ascii="Arial" w:hAnsi="Arial" w:cs="Arial"/>
          <w:sz w:val="32"/>
          <w:szCs w:val="32"/>
        </w:rPr>
        <w:t xml:space="preserve"> Chris Wilkin</w:t>
      </w:r>
      <w:r w:rsidRPr="00AF1EB8">
        <w:rPr>
          <w:rFonts w:ascii="Arial" w:hAnsi="Arial" w:cs="Arial"/>
          <w:sz w:val="32"/>
          <w:szCs w:val="32"/>
        </w:rPr>
        <w:br/>
      </w:r>
      <w:r w:rsidRPr="00AF1EB8">
        <w:rPr>
          <w:rFonts w:ascii="Arial" w:hAnsi="Arial" w:cs="Arial"/>
          <w:b/>
          <w:bCs/>
          <w:sz w:val="32"/>
          <w:szCs w:val="32"/>
          <w:lang w:val="en-US"/>
        </w:rPr>
        <w:t>Deadline:</w:t>
      </w:r>
      <w:r w:rsidRPr="00AF1EB8">
        <w:rPr>
          <w:rFonts w:ascii="Arial" w:hAnsi="Arial" w:cs="Arial"/>
          <w:sz w:val="32"/>
          <w:szCs w:val="32"/>
          <w:lang w:val="en-US"/>
        </w:rPr>
        <w:t xml:space="preserve"> </w:t>
      </w:r>
      <w:r w:rsidRPr="00AF1EB8">
        <w:rPr>
          <w:rFonts w:ascii="Arial" w:hAnsi="Arial" w:cs="Arial"/>
          <w:sz w:val="32"/>
          <w:szCs w:val="32"/>
        </w:rPr>
        <w:t>1</w:t>
      </w:r>
      <w:r>
        <w:rPr>
          <w:rFonts w:ascii="Arial" w:hAnsi="Arial" w:cs="Arial"/>
          <w:sz w:val="32"/>
          <w:szCs w:val="32"/>
        </w:rPr>
        <w:t>0</w:t>
      </w:r>
      <w:r w:rsidRPr="00AF1EB8">
        <w:rPr>
          <w:rFonts w:ascii="Arial" w:hAnsi="Arial" w:cs="Arial"/>
          <w:sz w:val="32"/>
          <w:szCs w:val="32"/>
          <w:vertAlign w:val="superscript"/>
        </w:rPr>
        <w:t>th</w:t>
      </w:r>
      <w:r w:rsidRPr="00AF1EB8">
        <w:rPr>
          <w:rFonts w:ascii="Arial" w:hAnsi="Arial" w:cs="Arial"/>
          <w:sz w:val="32"/>
          <w:szCs w:val="32"/>
        </w:rPr>
        <w:t xml:space="preserve"> Ju</w:t>
      </w:r>
      <w:r>
        <w:rPr>
          <w:rFonts w:ascii="Arial" w:hAnsi="Arial" w:cs="Arial"/>
          <w:sz w:val="32"/>
          <w:szCs w:val="32"/>
        </w:rPr>
        <w:t>ly</w:t>
      </w:r>
      <w:r w:rsidRPr="00AF1EB8">
        <w:rPr>
          <w:rFonts w:ascii="Arial" w:hAnsi="Arial" w:cs="Arial"/>
          <w:sz w:val="32"/>
          <w:szCs w:val="32"/>
        </w:rPr>
        <w:t xml:space="preserve"> 2026 at 23:59</w:t>
      </w:r>
    </w:p>
    <w:bookmarkEnd w:id="0"/>
    <w:p w14:paraId="092BE58E" w14:textId="77777777" w:rsidR="00AF1EB8" w:rsidRPr="00AF1EB8" w:rsidRDefault="00AF1EB8" w:rsidP="00AF1EB8"/>
    <w:p w14:paraId="7412259D" w14:textId="77777777" w:rsidR="00AF1EB8" w:rsidRPr="00AF1EB8" w:rsidRDefault="00AF1EB8" w:rsidP="00AF1EB8"/>
    <w:p w14:paraId="3DE1AE9B" w14:textId="77777777" w:rsidR="000D0B48" w:rsidRDefault="000D0B48"/>
    <w:p w14:paraId="43790929" w14:textId="77777777" w:rsidR="00AF1EB8" w:rsidRDefault="00AF1EB8"/>
    <w:p w14:paraId="719B96EC" w14:textId="77777777" w:rsidR="00B865CD" w:rsidRDefault="00B865CD" w:rsidP="00B865CD">
      <w:pPr>
        <w:spacing w:line="360" w:lineRule="auto"/>
        <w:jc w:val="both"/>
      </w:pPr>
    </w:p>
    <w:p w14:paraId="107A5887" w14:textId="77777777" w:rsidR="007146BB" w:rsidRDefault="007146BB" w:rsidP="00B865CD">
      <w:pPr>
        <w:spacing w:line="360" w:lineRule="auto"/>
        <w:jc w:val="both"/>
      </w:pPr>
    </w:p>
    <w:p w14:paraId="7E42452D" w14:textId="77777777" w:rsidR="006210CD" w:rsidRDefault="006210CD" w:rsidP="006210CD">
      <w:pPr>
        <w:spacing w:line="360" w:lineRule="auto"/>
        <w:jc w:val="both"/>
        <w:rPr>
          <w:rFonts w:ascii="Arial" w:hAnsi="Arial" w:cs="Arial"/>
          <w:b/>
          <w:bCs/>
        </w:rPr>
      </w:pPr>
    </w:p>
    <w:p w14:paraId="5D80A8CB" w14:textId="77777777" w:rsidR="0002322A" w:rsidRDefault="0002322A" w:rsidP="006210CD">
      <w:pPr>
        <w:spacing w:line="360" w:lineRule="auto"/>
        <w:jc w:val="both"/>
        <w:rPr>
          <w:rFonts w:ascii="Arial" w:hAnsi="Arial" w:cs="Arial"/>
          <w:b/>
          <w:bCs/>
        </w:rPr>
      </w:pPr>
    </w:p>
    <w:p w14:paraId="27A33CF2" w14:textId="77777777" w:rsidR="0002322A" w:rsidRDefault="0002322A" w:rsidP="006210CD">
      <w:pPr>
        <w:spacing w:line="360" w:lineRule="auto"/>
        <w:jc w:val="both"/>
        <w:rPr>
          <w:rFonts w:ascii="Arial" w:hAnsi="Arial" w:cs="Arial"/>
          <w:b/>
          <w:bCs/>
        </w:rPr>
      </w:pPr>
    </w:p>
    <w:p w14:paraId="2A5B5E98" w14:textId="77777777" w:rsidR="0002322A" w:rsidRDefault="0002322A" w:rsidP="006210CD">
      <w:pPr>
        <w:spacing w:line="360" w:lineRule="auto"/>
        <w:jc w:val="both"/>
        <w:rPr>
          <w:rFonts w:ascii="Arial" w:hAnsi="Arial" w:cs="Arial"/>
          <w:b/>
          <w:bCs/>
        </w:rPr>
      </w:pPr>
    </w:p>
    <w:p w14:paraId="7E809963" w14:textId="77777777" w:rsidR="006210CD" w:rsidRPr="001C1CFB" w:rsidRDefault="006210CD" w:rsidP="001C1CFB">
      <w:pPr>
        <w:spacing w:line="360" w:lineRule="auto"/>
        <w:jc w:val="both"/>
        <w:rPr>
          <w:rFonts w:ascii="Arial" w:hAnsi="Arial" w:cs="Arial"/>
          <w:b/>
          <w:bCs/>
        </w:rPr>
      </w:pPr>
      <w:r w:rsidRPr="001C1CFB">
        <w:rPr>
          <w:rFonts w:ascii="Arial" w:hAnsi="Arial" w:cs="Arial"/>
          <w:b/>
          <w:bCs/>
        </w:rPr>
        <w:t>Executive Summary</w:t>
      </w:r>
    </w:p>
    <w:p w14:paraId="26896433" w14:textId="693373FD" w:rsidR="006210CD" w:rsidRPr="001C1CFB" w:rsidRDefault="006210CD" w:rsidP="001C1CFB">
      <w:pPr>
        <w:spacing w:line="360" w:lineRule="auto"/>
        <w:jc w:val="both"/>
        <w:rPr>
          <w:rFonts w:ascii="Arial" w:hAnsi="Arial" w:cs="Arial"/>
        </w:rPr>
      </w:pPr>
      <w:r w:rsidRPr="001C1CFB">
        <w:rPr>
          <w:rFonts w:ascii="Arial" w:hAnsi="Arial" w:cs="Arial"/>
        </w:rPr>
        <w:t>This report applies the DPSIR framework to show how external forces shape the creator economy. Key Drivers are Artificial Intelligence (Technology STEEPLE) and Platform Governance (Political/Legal STEEPLE). These drivers create Pressures such as automated content ranking and monetisation centralisation. The current State shows volatile algorithmic visibility and growing platform</w:t>
      </w:r>
      <w:r w:rsidRPr="001C1CFB">
        <w:rPr>
          <w:rFonts w:ascii="Arial" w:hAnsi="Arial" w:cs="Arial"/>
        </w:rPr>
        <w:noBreakHyphen/>
        <w:t>led commerce. Impacts include income concentration and reduced bargaining power for many creators. Responses by platforms and creators are mainly adaptive and partial. The Future Lens focuses on AI, algorithmic visibility, platform governance, creator sustainability, market saturation and digital regulation. Two practical recommendations follow: industry standards for algorithmic transparency and creator cooperatives for shared bargaining and services. Evidence is drawn from Ness, Anderberg and Olsson (2010) for DPSIR and from academic and industry sources listed in the references.</w:t>
      </w:r>
    </w:p>
    <w:p w14:paraId="5EAF19E0" w14:textId="77777777" w:rsidR="006210CD" w:rsidRPr="001C1CFB" w:rsidRDefault="006210CD" w:rsidP="001C1CFB">
      <w:pPr>
        <w:spacing w:line="360" w:lineRule="auto"/>
        <w:jc w:val="both"/>
        <w:rPr>
          <w:rFonts w:ascii="Arial" w:hAnsi="Arial" w:cs="Arial"/>
          <w:b/>
          <w:bCs/>
        </w:rPr>
      </w:pPr>
    </w:p>
    <w:p w14:paraId="4858F8CE" w14:textId="77777777" w:rsidR="006210CD" w:rsidRPr="001C1CFB" w:rsidRDefault="006210CD" w:rsidP="001C1CFB">
      <w:pPr>
        <w:spacing w:line="360" w:lineRule="auto"/>
        <w:jc w:val="both"/>
        <w:rPr>
          <w:rFonts w:ascii="Arial" w:hAnsi="Arial" w:cs="Arial"/>
          <w:b/>
          <w:bCs/>
        </w:rPr>
      </w:pPr>
    </w:p>
    <w:p w14:paraId="7B14DC7C" w14:textId="77777777" w:rsidR="006210CD" w:rsidRPr="001C1CFB" w:rsidRDefault="006210CD" w:rsidP="001C1CFB">
      <w:pPr>
        <w:spacing w:line="360" w:lineRule="auto"/>
        <w:jc w:val="both"/>
        <w:rPr>
          <w:rFonts w:ascii="Arial" w:hAnsi="Arial" w:cs="Arial"/>
          <w:b/>
          <w:bCs/>
        </w:rPr>
      </w:pPr>
    </w:p>
    <w:p w14:paraId="511EA128" w14:textId="77777777" w:rsidR="006210CD" w:rsidRPr="001C1CFB" w:rsidRDefault="006210CD" w:rsidP="001C1CFB">
      <w:pPr>
        <w:spacing w:line="360" w:lineRule="auto"/>
        <w:jc w:val="both"/>
        <w:rPr>
          <w:rFonts w:ascii="Arial" w:hAnsi="Arial" w:cs="Arial"/>
          <w:b/>
          <w:bCs/>
        </w:rPr>
      </w:pPr>
    </w:p>
    <w:p w14:paraId="285D6129" w14:textId="77777777" w:rsidR="006210CD" w:rsidRPr="001C1CFB" w:rsidRDefault="006210CD" w:rsidP="001C1CFB">
      <w:pPr>
        <w:spacing w:line="360" w:lineRule="auto"/>
        <w:jc w:val="both"/>
        <w:rPr>
          <w:rFonts w:ascii="Arial" w:hAnsi="Arial" w:cs="Arial"/>
          <w:b/>
          <w:bCs/>
        </w:rPr>
      </w:pPr>
    </w:p>
    <w:p w14:paraId="433B9245" w14:textId="77777777" w:rsidR="006210CD" w:rsidRPr="001C1CFB" w:rsidRDefault="006210CD" w:rsidP="001C1CFB">
      <w:pPr>
        <w:spacing w:line="360" w:lineRule="auto"/>
        <w:jc w:val="both"/>
        <w:rPr>
          <w:rFonts w:ascii="Arial" w:hAnsi="Arial" w:cs="Arial"/>
          <w:b/>
          <w:bCs/>
        </w:rPr>
      </w:pPr>
    </w:p>
    <w:p w14:paraId="188D6DF6" w14:textId="77777777" w:rsidR="006210CD" w:rsidRPr="001C1CFB" w:rsidRDefault="006210CD" w:rsidP="001C1CFB">
      <w:pPr>
        <w:spacing w:line="360" w:lineRule="auto"/>
        <w:jc w:val="both"/>
        <w:rPr>
          <w:rFonts w:ascii="Arial" w:hAnsi="Arial" w:cs="Arial"/>
          <w:b/>
          <w:bCs/>
        </w:rPr>
      </w:pPr>
    </w:p>
    <w:p w14:paraId="5D599AE3" w14:textId="77777777" w:rsidR="006210CD" w:rsidRPr="001C1CFB" w:rsidRDefault="006210CD" w:rsidP="001C1CFB">
      <w:pPr>
        <w:spacing w:line="360" w:lineRule="auto"/>
        <w:jc w:val="both"/>
        <w:rPr>
          <w:rFonts w:ascii="Arial" w:hAnsi="Arial" w:cs="Arial"/>
          <w:b/>
          <w:bCs/>
        </w:rPr>
      </w:pPr>
    </w:p>
    <w:p w14:paraId="492A65FB" w14:textId="77777777" w:rsidR="006210CD" w:rsidRPr="001C1CFB" w:rsidRDefault="006210CD" w:rsidP="001C1CFB">
      <w:pPr>
        <w:spacing w:line="360" w:lineRule="auto"/>
        <w:jc w:val="both"/>
        <w:rPr>
          <w:rFonts w:ascii="Arial" w:hAnsi="Arial" w:cs="Arial"/>
          <w:b/>
          <w:bCs/>
        </w:rPr>
      </w:pPr>
    </w:p>
    <w:p w14:paraId="13E45FFC" w14:textId="77777777" w:rsidR="006210CD" w:rsidRPr="001C1CFB" w:rsidRDefault="006210CD" w:rsidP="001C1CFB">
      <w:pPr>
        <w:spacing w:line="360" w:lineRule="auto"/>
        <w:jc w:val="both"/>
        <w:rPr>
          <w:rFonts w:ascii="Arial" w:hAnsi="Arial" w:cs="Arial"/>
          <w:b/>
          <w:bCs/>
        </w:rPr>
      </w:pPr>
    </w:p>
    <w:p w14:paraId="140E4363" w14:textId="77777777" w:rsidR="006210CD" w:rsidRPr="001C1CFB" w:rsidRDefault="006210CD" w:rsidP="001C1CFB">
      <w:pPr>
        <w:spacing w:line="360" w:lineRule="auto"/>
        <w:jc w:val="both"/>
        <w:rPr>
          <w:rFonts w:ascii="Arial" w:hAnsi="Arial" w:cs="Arial"/>
          <w:b/>
          <w:bCs/>
        </w:rPr>
      </w:pPr>
    </w:p>
    <w:p w14:paraId="51AA77DB" w14:textId="77777777" w:rsidR="006210CD" w:rsidRPr="001C1CFB" w:rsidRDefault="006210CD" w:rsidP="001C1CFB">
      <w:pPr>
        <w:spacing w:line="360" w:lineRule="auto"/>
        <w:jc w:val="both"/>
        <w:rPr>
          <w:rFonts w:ascii="Arial" w:hAnsi="Arial" w:cs="Arial"/>
          <w:b/>
          <w:bCs/>
        </w:rPr>
      </w:pPr>
    </w:p>
    <w:p w14:paraId="0406FCE3" w14:textId="77777777" w:rsidR="006210CD" w:rsidRPr="001C1CFB" w:rsidRDefault="006210CD" w:rsidP="001C1CFB">
      <w:pPr>
        <w:spacing w:line="360" w:lineRule="auto"/>
        <w:jc w:val="both"/>
        <w:rPr>
          <w:rFonts w:ascii="Arial" w:hAnsi="Arial" w:cs="Arial"/>
          <w:b/>
          <w:bCs/>
        </w:rPr>
      </w:pPr>
    </w:p>
    <w:p w14:paraId="13C538C7" w14:textId="77777777" w:rsidR="0002322A" w:rsidRPr="001C1CFB" w:rsidRDefault="0002322A" w:rsidP="001C1CFB">
      <w:pPr>
        <w:spacing w:line="360" w:lineRule="auto"/>
        <w:jc w:val="both"/>
        <w:rPr>
          <w:rFonts w:ascii="Arial" w:hAnsi="Arial" w:cs="Arial"/>
          <w:b/>
          <w:bCs/>
        </w:rPr>
      </w:pPr>
    </w:p>
    <w:p w14:paraId="33AAE7CC" w14:textId="77777777" w:rsidR="0002322A" w:rsidRPr="001C1CFB" w:rsidRDefault="0002322A" w:rsidP="001C1CFB">
      <w:pPr>
        <w:spacing w:line="360" w:lineRule="auto"/>
        <w:jc w:val="both"/>
        <w:rPr>
          <w:rFonts w:ascii="Arial" w:hAnsi="Arial" w:cs="Arial"/>
          <w:b/>
          <w:bCs/>
        </w:rPr>
      </w:pPr>
    </w:p>
    <w:p w14:paraId="0C6B3AA2" w14:textId="77777777" w:rsidR="00F926D7" w:rsidRDefault="00F926D7" w:rsidP="00A96DDD">
      <w:pPr>
        <w:spacing w:line="360" w:lineRule="auto"/>
        <w:jc w:val="both"/>
        <w:rPr>
          <w:rFonts w:ascii="Arial" w:eastAsiaTheme="majorEastAsia" w:hAnsi="Arial" w:cs="Arial"/>
          <w:b/>
          <w:bCs/>
          <w:color w:val="0F4761" w:themeColor="accent1" w:themeShade="BF"/>
          <w:kern w:val="0"/>
          <w:lang w:val="en-US"/>
          <w14:ligatures w14:val="none"/>
        </w:rPr>
      </w:pPr>
    </w:p>
    <w:p w14:paraId="664140C2" w14:textId="71B0CE2C" w:rsidR="00F926D7" w:rsidRDefault="00F926D7" w:rsidP="00F926D7">
      <w:pPr>
        <w:spacing w:line="360" w:lineRule="auto"/>
        <w:jc w:val="both"/>
        <w:rPr>
          <w:rFonts w:ascii="Arial" w:hAnsi="Arial" w:cs="Arial"/>
          <w:b/>
          <w:bCs/>
        </w:rPr>
      </w:pPr>
      <w:r w:rsidRPr="00F926D7">
        <w:rPr>
          <w:rFonts w:ascii="Arial" w:hAnsi="Arial" w:cs="Arial"/>
          <w:b/>
          <w:bCs/>
        </w:rPr>
        <w:lastRenderedPageBreak/>
        <w:t>Table Of Contents</w:t>
      </w:r>
    </w:p>
    <w:p w14:paraId="54909CE1" w14:textId="77777777" w:rsidR="00F926D7" w:rsidRPr="00F926D7" w:rsidRDefault="00F926D7" w:rsidP="00F926D7">
      <w:pPr>
        <w:spacing w:line="360" w:lineRule="auto"/>
        <w:jc w:val="both"/>
        <w:rPr>
          <w:rFonts w:ascii="Arial" w:hAnsi="Arial" w:cs="Arial"/>
          <w:b/>
          <w:bCs/>
        </w:rPr>
      </w:pPr>
    </w:p>
    <w:p w14:paraId="0C55016D" w14:textId="6F0B4E2C" w:rsidR="00F926D7" w:rsidRPr="001C1CFB" w:rsidRDefault="00F926D7" w:rsidP="00F926D7">
      <w:pPr>
        <w:spacing w:line="360" w:lineRule="auto"/>
        <w:jc w:val="both"/>
        <w:rPr>
          <w:rFonts w:ascii="Arial" w:hAnsi="Arial" w:cs="Arial"/>
        </w:rPr>
      </w:pPr>
      <w:r w:rsidRPr="001C1CFB">
        <w:rPr>
          <w:rFonts w:ascii="Arial" w:hAnsi="Arial" w:cs="Arial"/>
        </w:rPr>
        <w:t>Executive Summar</w:t>
      </w:r>
      <w:r w:rsidR="003C6472">
        <w:rPr>
          <w:rFonts w:ascii="Arial" w:hAnsi="Arial" w:cs="Arial"/>
        </w:rPr>
        <w:t>…</w:t>
      </w:r>
      <w:r w:rsidR="005D52D4">
        <w:rPr>
          <w:rFonts w:ascii="Arial" w:hAnsi="Arial" w:cs="Arial"/>
        </w:rPr>
        <w:t>……………………………………………………</w:t>
      </w:r>
      <w:r w:rsidR="003C6472">
        <w:rPr>
          <w:rFonts w:ascii="Arial" w:hAnsi="Arial" w:cs="Arial"/>
        </w:rPr>
        <w:t>…</w:t>
      </w:r>
      <w:r w:rsidR="008A1400">
        <w:rPr>
          <w:rFonts w:ascii="Arial" w:hAnsi="Arial" w:cs="Arial"/>
        </w:rPr>
        <w:t>…</w:t>
      </w:r>
      <w:r w:rsidR="005D52D4">
        <w:rPr>
          <w:rFonts w:ascii="Arial" w:hAnsi="Arial" w:cs="Arial"/>
        </w:rPr>
        <w:t>……………...</w:t>
      </w:r>
      <w:r w:rsidR="003C6472">
        <w:rPr>
          <w:rFonts w:ascii="Arial" w:hAnsi="Arial" w:cs="Arial"/>
        </w:rPr>
        <w:t>2</w:t>
      </w:r>
    </w:p>
    <w:p w14:paraId="342466F9" w14:textId="26BD1F10" w:rsidR="00F926D7" w:rsidRPr="001C1CFB" w:rsidRDefault="00F926D7" w:rsidP="00F926D7">
      <w:pPr>
        <w:spacing w:line="360" w:lineRule="auto"/>
        <w:jc w:val="both"/>
        <w:rPr>
          <w:rFonts w:ascii="Arial" w:hAnsi="Arial" w:cs="Arial"/>
        </w:rPr>
      </w:pPr>
      <w:r w:rsidRPr="001C1CFB">
        <w:rPr>
          <w:rFonts w:ascii="Arial" w:hAnsi="Arial" w:cs="Arial"/>
        </w:rPr>
        <w:t>AI Statement</w:t>
      </w:r>
      <w:r w:rsidR="003C6472">
        <w:rPr>
          <w:rFonts w:ascii="Arial" w:hAnsi="Arial" w:cs="Arial"/>
        </w:rPr>
        <w:t>……</w:t>
      </w:r>
      <w:r w:rsidR="005D52D4">
        <w:rPr>
          <w:rFonts w:ascii="Arial" w:hAnsi="Arial" w:cs="Arial"/>
        </w:rPr>
        <w:t>……………………………………………………</w:t>
      </w:r>
      <w:r w:rsidR="003C6472">
        <w:rPr>
          <w:rFonts w:ascii="Arial" w:hAnsi="Arial" w:cs="Arial"/>
        </w:rPr>
        <w:t>……</w:t>
      </w:r>
      <w:r w:rsidR="005D52D4">
        <w:rPr>
          <w:rFonts w:ascii="Arial" w:hAnsi="Arial" w:cs="Arial"/>
        </w:rPr>
        <w:t>…</w:t>
      </w:r>
      <w:r w:rsidR="008A1400">
        <w:rPr>
          <w:rFonts w:ascii="Arial" w:hAnsi="Arial" w:cs="Arial"/>
        </w:rPr>
        <w:t>…</w:t>
      </w:r>
      <w:r w:rsidR="005D52D4">
        <w:rPr>
          <w:rFonts w:ascii="Arial" w:hAnsi="Arial" w:cs="Arial"/>
        </w:rPr>
        <w:t>…………….</w:t>
      </w:r>
      <w:r w:rsidR="003C6472">
        <w:rPr>
          <w:rFonts w:ascii="Arial" w:hAnsi="Arial" w:cs="Arial"/>
        </w:rPr>
        <w:t>4</w:t>
      </w:r>
    </w:p>
    <w:p w14:paraId="738F3705" w14:textId="3E5840D5" w:rsidR="00F926D7" w:rsidRPr="001C1CFB" w:rsidRDefault="00F926D7" w:rsidP="00F926D7">
      <w:pPr>
        <w:spacing w:line="360" w:lineRule="auto"/>
        <w:jc w:val="both"/>
        <w:rPr>
          <w:rFonts w:ascii="Arial" w:hAnsi="Arial" w:cs="Arial"/>
        </w:rPr>
      </w:pPr>
      <w:r w:rsidRPr="001C1CFB">
        <w:rPr>
          <w:rFonts w:ascii="Arial" w:hAnsi="Arial" w:cs="Arial"/>
        </w:rPr>
        <w:t>1. Introduction</w:t>
      </w:r>
      <w:r w:rsidR="003C6472">
        <w:rPr>
          <w:rFonts w:ascii="Arial" w:hAnsi="Arial" w:cs="Arial"/>
        </w:rPr>
        <w:t>………………</w:t>
      </w:r>
      <w:r w:rsidR="005D52D4">
        <w:rPr>
          <w:rFonts w:ascii="Arial" w:hAnsi="Arial" w:cs="Arial"/>
        </w:rPr>
        <w:t>…………………………</w:t>
      </w:r>
      <w:r w:rsidR="003C6472">
        <w:rPr>
          <w:rFonts w:ascii="Arial" w:hAnsi="Arial" w:cs="Arial"/>
        </w:rPr>
        <w:t>……………</w:t>
      </w:r>
      <w:r w:rsidR="005D52D4">
        <w:rPr>
          <w:rFonts w:ascii="Arial" w:hAnsi="Arial" w:cs="Arial"/>
        </w:rPr>
        <w:t>………………</w:t>
      </w:r>
      <w:r w:rsidR="008A1400">
        <w:rPr>
          <w:rFonts w:ascii="Arial" w:hAnsi="Arial" w:cs="Arial"/>
        </w:rPr>
        <w:t>...</w:t>
      </w:r>
      <w:r w:rsidR="005D52D4">
        <w:rPr>
          <w:rFonts w:ascii="Arial" w:hAnsi="Arial" w:cs="Arial"/>
        </w:rPr>
        <w:t>………</w:t>
      </w:r>
      <w:r w:rsidR="003C6472">
        <w:rPr>
          <w:rFonts w:ascii="Arial" w:hAnsi="Arial" w:cs="Arial"/>
        </w:rPr>
        <w:t>5</w:t>
      </w:r>
    </w:p>
    <w:p w14:paraId="583EAF7B" w14:textId="4EFEB985" w:rsidR="00F926D7" w:rsidRPr="001C1CFB" w:rsidRDefault="00F926D7" w:rsidP="00F926D7">
      <w:pPr>
        <w:spacing w:line="360" w:lineRule="auto"/>
        <w:jc w:val="both"/>
        <w:rPr>
          <w:rFonts w:ascii="Arial" w:hAnsi="Arial" w:cs="Arial"/>
        </w:rPr>
      </w:pPr>
      <w:r w:rsidRPr="001C1CFB">
        <w:rPr>
          <w:rFonts w:ascii="Arial" w:hAnsi="Arial" w:cs="Arial"/>
        </w:rPr>
        <w:t xml:space="preserve">2. Main Analysis — DPSIR </w:t>
      </w:r>
      <w:r w:rsidR="003C6472">
        <w:rPr>
          <w:rFonts w:ascii="Arial" w:hAnsi="Arial" w:cs="Arial"/>
        </w:rPr>
        <w:t>…</w:t>
      </w:r>
      <w:r w:rsidR="005D52D4">
        <w:rPr>
          <w:rFonts w:ascii="Arial" w:hAnsi="Arial" w:cs="Arial"/>
        </w:rPr>
        <w:t>…………………………</w:t>
      </w:r>
      <w:r w:rsidR="003C6472">
        <w:rPr>
          <w:rFonts w:ascii="Arial" w:hAnsi="Arial" w:cs="Arial"/>
        </w:rPr>
        <w:t>…………………</w:t>
      </w:r>
      <w:r w:rsidR="008A1400">
        <w:rPr>
          <w:rFonts w:ascii="Arial" w:hAnsi="Arial" w:cs="Arial"/>
        </w:rPr>
        <w:t>.</w:t>
      </w:r>
      <w:r w:rsidR="003C6472">
        <w:rPr>
          <w:rFonts w:ascii="Arial" w:hAnsi="Arial" w:cs="Arial"/>
        </w:rPr>
        <w:t>……</w:t>
      </w:r>
      <w:r w:rsidR="005D52D4">
        <w:rPr>
          <w:rFonts w:ascii="Arial" w:hAnsi="Arial" w:cs="Arial"/>
        </w:rPr>
        <w:t>…</w:t>
      </w:r>
      <w:r w:rsidR="008A1400">
        <w:rPr>
          <w:rFonts w:ascii="Arial" w:hAnsi="Arial" w:cs="Arial"/>
        </w:rPr>
        <w:t>.</w:t>
      </w:r>
      <w:r w:rsidR="005D52D4">
        <w:rPr>
          <w:rFonts w:ascii="Arial" w:hAnsi="Arial" w:cs="Arial"/>
        </w:rPr>
        <w:t>……….</w:t>
      </w:r>
      <w:r w:rsidR="003C6472">
        <w:rPr>
          <w:rFonts w:ascii="Arial" w:hAnsi="Arial" w:cs="Arial"/>
        </w:rPr>
        <w:t>6</w:t>
      </w:r>
    </w:p>
    <w:p w14:paraId="77DED47A" w14:textId="27464CD8" w:rsidR="00F926D7" w:rsidRPr="001C1CFB" w:rsidRDefault="00F926D7" w:rsidP="00F926D7">
      <w:pPr>
        <w:spacing w:line="360" w:lineRule="auto"/>
        <w:jc w:val="both"/>
        <w:rPr>
          <w:rFonts w:ascii="Arial" w:hAnsi="Arial" w:cs="Arial"/>
        </w:rPr>
      </w:pPr>
      <w:r w:rsidRPr="001C1CFB">
        <w:rPr>
          <w:rFonts w:ascii="Arial" w:hAnsi="Arial" w:cs="Arial"/>
        </w:rPr>
        <w:t xml:space="preserve">2.1 </w:t>
      </w:r>
      <w:r w:rsidR="005D52D4" w:rsidRPr="001C1CFB">
        <w:rPr>
          <w:rFonts w:ascii="Arial" w:hAnsi="Arial" w:cs="Arial"/>
        </w:rPr>
        <w:t>Drivers …</w:t>
      </w:r>
      <w:r w:rsidR="005D52D4">
        <w:rPr>
          <w:rFonts w:ascii="Arial" w:hAnsi="Arial" w:cs="Arial"/>
        </w:rPr>
        <w:t>…………………………………………………………</w:t>
      </w:r>
      <w:r w:rsidR="005D52D4">
        <w:rPr>
          <w:rFonts w:ascii="Arial" w:hAnsi="Arial" w:cs="Arial"/>
        </w:rPr>
        <w:t>.</w:t>
      </w:r>
      <w:r w:rsidR="005D52D4">
        <w:rPr>
          <w:rFonts w:ascii="Arial" w:hAnsi="Arial" w:cs="Arial"/>
        </w:rPr>
        <w:t>…………</w:t>
      </w:r>
      <w:proofErr w:type="gramStart"/>
      <w:r w:rsidR="005D52D4">
        <w:rPr>
          <w:rFonts w:ascii="Arial" w:hAnsi="Arial" w:cs="Arial"/>
        </w:rPr>
        <w:t>…</w:t>
      </w:r>
      <w:r w:rsidR="008A1400">
        <w:rPr>
          <w:rFonts w:ascii="Arial" w:hAnsi="Arial" w:cs="Arial"/>
        </w:rPr>
        <w:t>..</w:t>
      </w:r>
      <w:proofErr w:type="gramEnd"/>
      <w:r w:rsidR="005D52D4">
        <w:rPr>
          <w:rFonts w:ascii="Arial" w:hAnsi="Arial" w:cs="Arial"/>
        </w:rPr>
        <w:t>………</w:t>
      </w:r>
      <w:r w:rsidR="005D52D4">
        <w:rPr>
          <w:rFonts w:ascii="Arial" w:hAnsi="Arial" w:cs="Arial"/>
        </w:rPr>
        <w:t>6</w:t>
      </w:r>
    </w:p>
    <w:p w14:paraId="3A8A4182" w14:textId="29D980BF" w:rsidR="00F926D7" w:rsidRPr="001C1CFB" w:rsidRDefault="00F926D7" w:rsidP="00F926D7">
      <w:pPr>
        <w:spacing w:line="360" w:lineRule="auto"/>
        <w:jc w:val="both"/>
        <w:rPr>
          <w:rFonts w:ascii="Arial" w:hAnsi="Arial" w:cs="Arial"/>
        </w:rPr>
      </w:pPr>
      <w:r w:rsidRPr="001C1CFB">
        <w:rPr>
          <w:rFonts w:ascii="Arial" w:hAnsi="Arial" w:cs="Arial"/>
        </w:rPr>
        <w:t xml:space="preserve">2.2 </w:t>
      </w:r>
      <w:r w:rsidR="005D52D4" w:rsidRPr="001C1CFB">
        <w:rPr>
          <w:rFonts w:ascii="Arial" w:hAnsi="Arial" w:cs="Arial"/>
        </w:rPr>
        <w:t>Pressures …</w:t>
      </w:r>
      <w:r w:rsidR="003C6472">
        <w:rPr>
          <w:rFonts w:ascii="Arial" w:hAnsi="Arial" w:cs="Arial"/>
        </w:rPr>
        <w:t>.</w:t>
      </w:r>
      <w:r w:rsidR="005D52D4">
        <w:rPr>
          <w:rFonts w:ascii="Arial" w:hAnsi="Arial" w:cs="Arial"/>
        </w:rPr>
        <w:t>………………………………………………………</w:t>
      </w:r>
      <w:r w:rsidR="008A1400">
        <w:rPr>
          <w:rFonts w:ascii="Arial" w:hAnsi="Arial" w:cs="Arial"/>
        </w:rPr>
        <w:t>…</w:t>
      </w:r>
      <w:r w:rsidR="005D52D4">
        <w:rPr>
          <w:rFonts w:ascii="Arial" w:hAnsi="Arial" w:cs="Arial"/>
        </w:rPr>
        <w:t>………………</w:t>
      </w:r>
      <w:r w:rsidR="008A1400">
        <w:rPr>
          <w:rFonts w:ascii="Arial" w:hAnsi="Arial" w:cs="Arial"/>
        </w:rPr>
        <w:t>….</w:t>
      </w:r>
      <w:r w:rsidR="005D52D4">
        <w:rPr>
          <w:rFonts w:ascii="Arial" w:hAnsi="Arial" w:cs="Arial"/>
        </w:rPr>
        <w:t>6</w:t>
      </w:r>
    </w:p>
    <w:p w14:paraId="64FFF55C" w14:textId="0BD98A53" w:rsidR="00F926D7" w:rsidRPr="001C1CFB" w:rsidRDefault="00F926D7" w:rsidP="00F926D7">
      <w:pPr>
        <w:spacing w:line="360" w:lineRule="auto"/>
        <w:jc w:val="both"/>
        <w:rPr>
          <w:rFonts w:ascii="Arial" w:hAnsi="Arial" w:cs="Arial"/>
        </w:rPr>
      </w:pPr>
      <w:r w:rsidRPr="001C1CFB">
        <w:rPr>
          <w:rFonts w:ascii="Arial" w:hAnsi="Arial" w:cs="Arial"/>
        </w:rPr>
        <w:t xml:space="preserve">2.3 </w:t>
      </w:r>
      <w:r w:rsidR="005D52D4" w:rsidRPr="001C1CFB">
        <w:rPr>
          <w:rFonts w:ascii="Arial" w:hAnsi="Arial" w:cs="Arial"/>
        </w:rPr>
        <w:t>State …</w:t>
      </w:r>
      <w:r w:rsidR="003C6472">
        <w:rPr>
          <w:rFonts w:ascii="Arial" w:hAnsi="Arial" w:cs="Arial"/>
        </w:rPr>
        <w:t>.</w:t>
      </w:r>
      <w:r w:rsidR="005D52D4">
        <w:rPr>
          <w:rFonts w:ascii="Arial" w:hAnsi="Arial" w:cs="Arial"/>
        </w:rPr>
        <w:t>……………………………………………………………</w:t>
      </w:r>
      <w:proofErr w:type="gramStart"/>
      <w:r w:rsidR="005D52D4">
        <w:rPr>
          <w:rFonts w:ascii="Arial" w:hAnsi="Arial" w:cs="Arial"/>
        </w:rPr>
        <w:t>…</w:t>
      </w:r>
      <w:r w:rsidR="008A1400">
        <w:rPr>
          <w:rFonts w:ascii="Arial" w:hAnsi="Arial" w:cs="Arial"/>
        </w:rPr>
        <w:t>..</w:t>
      </w:r>
      <w:proofErr w:type="gramEnd"/>
      <w:r w:rsidR="005D52D4">
        <w:rPr>
          <w:rFonts w:ascii="Arial" w:hAnsi="Arial" w:cs="Arial"/>
        </w:rPr>
        <w:t>………………</w:t>
      </w:r>
      <w:r w:rsidR="005D52D4">
        <w:rPr>
          <w:rFonts w:ascii="Arial" w:hAnsi="Arial" w:cs="Arial"/>
        </w:rPr>
        <w:t>...</w:t>
      </w:r>
      <w:r w:rsidR="003C6472">
        <w:rPr>
          <w:rFonts w:ascii="Arial" w:hAnsi="Arial" w:cs="Arial"/>
        </w:rPr>
        <w:t>6</w:t>
      </w:r>
    </w:p>
    <w:p w14:paraId="4A74C228" w14:textId="493E9BC1" w:rsidR="00F926D7" w:rsidRPr="001C1CFB" w:rsidRDefault="00F926D7" w:rsidP="00F926D7">
      <w:pPr>
        <w:spacing w:line="360" w:lineRule="auto"/>
        <w:jc w:val="both"/>
        <w:rPr>
          <w:rFonts w:ascii="Arial" w:hAnsi="Arial" w:cs="Arial"/>
        </w:rPr>
      </w:pPr>
      <w:r w:rsidRPr="001C1CFB">
        <w:rPr>
          <w:rFonts w:ascii="Arial" w:hAnsi="Arial" w:cs="Arial"/>
        </w:rPr>
        <w:t xml:space="preserve">2.4 </w:t>
      </w:r>
      <w:r w:rsidR="005D52D4" w:rsidRPr="001C1CFB">
        <w:rPr>
          <w:rFonts w:ascii="Arial" w:hAnsi="Arial" w:cs="Arial"/>
        </w:rPr>
        <w:t xml:space="preserve">Impacts </w:t>
      </w:r>
      <w:r w:rsidR="008A1400" w:rsidRPr="001C1CFB">
        <w:rPr>
          <w:rFonts w:ascii="Arial" w:hAnsi="Arial" w:cs="Arial"/>
        </w:rPr>
        <w:t>….</w:t>
      </w:r>
      <w:r w:rsidR="005D52D4">
        <w:rPr>
          <w:rFonts w:ascii="Arial" w:hAnsi="Arial" w:cs="Arial"/>
        </w:rPr>
        <w:t>…………………………………………………………</w:t>
      </w:r>
      <w:r w:rsidR="008A1400">
        <w:rPr>
          <w:rFonts w:ascii="Arial" w:hAnsi="Arial" w:cs="Arial"/>
        </w:rPr>
        <w:t>…</w:t>
      </w:r>
      <w:r w:rsidR="005D52D4">
        <w:rPr>
          <w:rFonts w:ascii="Arial" w:hAnsi="Arial" w:cs="Arial"/>
        </w:rPr>
        <w:t>………………</w:t>
      </w:r>
      <w:r w:rsidR="008A1400">
        <w:rPr>
          <w:rFonts w:ascii="Arial" w:hAnsi="Arial" w:cs="Arial"/>
        </w:rPr>
        <w:t>….</w:t>
      </w:r>
      <w:r w:rsidR="003C6472">
        <w:rPr>
          <w:rFonts w:ascii="Arial" w:hAnsi="Arial" w:cs="Arial"/>
        </w:rPr>
        <w:t>7</w:t>
      </w:r>
    </w:p>
    <w:p w14:paraId="7C495C68" w14:textId="4446A48E" w:rsidR="00F926D7" w:rsidRPr="001C1CFB" w:rsidRDefault="00F926D7" w:rsidP="00F926D7">
      <w:pPr>
        <w:spacing w:line="360" w:lineRule="auto"/>
        <w:jc w:val="both"/>
        <w:rPr>
          <w:rFonts w:ascii="Arial" w:hAnsi="Arial" w:cs="Arial"/>
        </w:rPr>
      </w:pPr>
      <w:r w:rsidRPr="001C1CFB">
        <w:rPr>
          <w:rFonts w:ascii="Arial" w:hAnsi="Arial" w:cs="Arial"/>
        </w:rPr>
        <w:t>2.5 Responses</w:t>
      </w:r>
      <w:r w:rsidR="003C6472">
        <w:rPr>
          <w:rFonts w:ascii="Arial" w:hAnsi="Arial" w:cs="Arial"/>
        </w:rPr>
        <w:t>…</w:t>
      </w:r>
      <w:r w:rsidR="005D52D4">
        <w:rPr>
          <w:rFonts w:ascii="Arial" w:hAnsi="Arial" w:cs="Arial"/>
        </w:rPr>
        <w:t>….</w:t>
      </w:r>
      <w:r w:rsidR="005D52D4">
        <w:rPr>
          <w:rFonts w:ascii="Arial" w:hAnsi="Arial" w:cs="Arial"/>
        </w:rPr>
        <w:t>…………………………………………………………………………</w:t>
      </w:r>
      <w:r w:rsidR="003C6472">
        <w:rPr>
          <w:rFonts w:ascii="Arial" w:hAnsi="Arial" w:cs="Arial"/>
        </w:rPr>
        <w:t>7</w:t>
      </w:r>
    </w:p>
    <w:p w14:paraId="256B06DB" w14:textId="290F6C14" w:rsidR="00F926D7" w:rsidRPr="001C1CFB" w:rsidRDefault="00F926D7" w:rsidP="00F926D7">
      <w:pPr>
        <w:spacing w:line="360" w:lineRule="auto"/>
        <w:jc w:val="both"/>
        <w:rPr>
          <w:rFonts w:ascii="Arial" w:hAnsi="Arial" w:cs="Arial"/>
        </w:rPr>
      </w:pPr>
      <w:r w:rsidRPr="001C1CFB">
        <w:rPr>
          <w:rFonts w:ascii="Arial" w:hAnsi="Arial" w:cs="Arial"/>
        </w:rPr>
        <w:t>3. Future Lens</w:t>
      </w:r>
      <w:r w:rsidR="003C6472">
        <w:rPr>
          <w:rFonts w:ascii="Arial" w:hAnsi="Arial" w:cs="Arial"/>
        </w:rPr>
        <w:t>……</w:t>
      </w:r>
      <w:r w:rsidR="005D52D4">
        <w:rPr>
          <w:rFonts w:ascii="Arial" w:hAnsi="Arial" w:cs="Arial"/>
        </w:rPr>
        <w:t>………………………………………………………………</w:t>
      </w:r>
      <w:r w:rsidR="008A1400">
        <w:rPr>
          <w:rFonts w:ascii="Arial" w:hAnsi="Arial" w:cs="Arial"/>
        </w:rPr>
        <w:t>….</w:t>
      </w:r>
      <w:r w:rsidR="005D52D4">
        <w:rPr>
          <w:rFonts w:ascii="Arial" w:hAnsi="Arial" w:cs="Arial"/>
        </w:rPr>
        <w:t>……</w:t>
      </w:r>
      <w:r w:rsidR="003C6472">
        <w:rPr>
          <w:rFonts w:ascii="Arial" w:hAnsi="Arial" w:cs="Arial"/>
        </w:rPr>
        <w:t>…7</w:t>
      </w:r>
    </w:p>
    <w:p w14:paraId="15F2C9D1" w14:textId="62567378" w:rsidR="00F926D7" w:rsidRPr="001C1CFB" w:rsidRDefault="00F926D7" w:rsidP="00F926D7">
      <w:pPr>
        <w:spacing w:line="360" w:lineRule="auto"/>
        <w:jc w:val="both"/>
        <w:rPr>
          <w:rFonts w:ascii="Arial" w:hAnsi="Arial" w:cs="Arial"/>
        </w:rPr>
      </w:pPr>
      <w:r w:rsidRPr="001C1CFB">
        <w:rPr>
          <w:rFonts w:ascii="Arial" w:hAnsi="Arial" w:cs="Arial"/>
        </w:rPr>
        <w:t>4. Recommendations</w:t>
      </w:r>
      <w:r w:rsidR="003C6472">
        <w:rPr>
          <w:rFonts w:ascii="Arial" w:hAnsi="Arial" w:cs="Arial"/>
        </w:rPr>
        <w:t>…………….</w:t>
      </w:r>
      <w:r w:rsidR="005D52D4">
        <w:rPr>
          <w:rFonts w:ascii="Arial" w:hAnsi="Arial" w:cs="Arial"/>
        </w:rPr>
        <w:t>……………………………………………………</w:t>
      </w:r>
      <w:r w:rsidR="005D52D4">
        <w:rPr>
          <w:rFonts w:ascii="Arial" w:hAnsi="Arial" w:cs="Arial"/>
        </w:rPr>
        <w:t>…….</w:t>
      </w:r>
      <w:r w:rsidR="003C6472">
        <w:rPr>
          <w:rFonts w:ascii="Arial" w:hAnsi="Arial" w:cs="Arial"/>
        </w:rPr>
        <w:t>8</w:t>
      </w:r>
    </w:p>
    <w:p w14:paraId="1E350AA1" w14:textId="1FC2E3A0" w:rsidR="00F926D7" w:rsidRPr="001C1CFB" w:rsidRDefault="00F926D7" w:rsidP="00F926D7">
      <w:pPr>
        <w:spacing w:line="360" w:lineRule="auto"/>
        <w:jc w:val="both"/>
        <w:rPr>
          <w:rFonts w:ascii="Arial" w:hAnsi="Arial" w:cs="Arial"/>
        </w:rPr>
      </w:pPr>
      <w:r w:rsidRPr="001C1CFB">
        <w:rPr>
          <w:rFonts w:ascii="Arial" w:hAnsi="Arial" w:cs="Arial"/>
        </w:rPr>
        <w:t xml:space="preserve">4.1.  Recommendation 1 </w:t>
      </w:r>
      <w:r w:rsidR="003C6472">
        <w:rPr>
          <w:rFonts w:ascii="Arial" w:hAnsi="Arial" w:cs="Arial"/>
        </w:rPr>
        <w:t>…………….</w:t>
      </w:r>
      <w:r w:rsidR="005D52D4">
        <w:rPr>
          <w:rFonts w:ascii="Arial" w:hAnsi="Arial" w:cs="Arial"/>
        </w:rPr>
        <w:t>……………………………………………</w:t>
      </w:r>
      <w:r w:rsidR="008A1400">
        <w:rPr>
          <w:rFonts w:ascii="Arial" w:hAnsi="Arial" w:cs="Arial"/>
        </w:rPr>
        <w:t>.</w:t>
      </w:r>
      <w:r w:rsidR="005D52D4">
        <w:rPr>
          <w:rFonts w:ascii="Arial" w:hAnsi="Arial" w:cs="Arial"/>
        </w:rPr>
        <w:t>……</w:t>
      </w:r>
      <w:r w:rsidR="008A1400">
        <w:rPr>
          <w:rFonts w:ascii="Arial" w:hAnsi="Arial" w:cs="Arial"/>
        </w:rPr>
        <w:t>….</w:t>
      </w:r>
      <w:r w:rsidR="003C6472">
        <w:rPr>
          <w:rFonts w:ascii="Arial" w:hAnsi="Arial" w:cs="Arial"/>
        </w:rPr>
        <w:t>8</w:t>
      </w:r>
    </w:p>
    <w:p w14:paraId="73E582B3" w14:textId="18C2ADFB" w:rsidR="00F926D7" w:rsidRPr="001C1CFB" w:rsidRDefault="00F926D7" w:rsidP="00F926D7">
      <w:pPr>
        <w:spacing w:line="360" w:lineRule="auto"/>
        <w:jc w:val="both"/>
        <w:rPr>
          <w:rFonts w:ascii="Arial" w:hAnsi="Arial" w:cs="Arial"/>
        </w:rPr>
      </w:pPr>
      <w:r w:rsidRPr="001C1CFB">
        <w:rPr>
          <w:rFonts w:ascii="Arial" w:hAnsi="Arial" w:cs="Arial"/>
        </w:rPr>
        <w:t>4.2.  Recommendation 2</w:t>
      </w:r>
      <w:r w:rsidR="003C6472">
        <w:rPr>
          <w:rFonts w:ascii="Arial" w:hAnsi="Arial" w:cs="Arial"/>
        </w:rPr>
        <w:t>………</w:t>
      </w:r>
      <w:r w:rsidR="008A1400">
        <w:rPr>
          <w:rFonts w:ascii="Arial" w:hAnsi="Arial" w:cs="Arial"/>
        </w:rPr>
        <w:t>….</w:t>
      </w:r>
      <w:r w:rsidR="005D52D4">
        <w:rPr>
          <w:rFonts w:ascii="Arial" w:hAnsi="Arial" w:cs="Arial"/>
        </w:rPr>
        <w:t>………………………………………………</w:t>
      </w:r>
      <w:proofErr w:type="gramStart"/>
      <w:r w:rsidR="005D52D4">
        <w:rPr>
          <w:rFonts w:ascii="Arial" w:hAnsi="Arial" w:cs="Arial"/>
        </w:rPr>
        <w:t>…</w:t>
      </w:r>
      <w:r w:rsidR="008A1400">
        <w:rPr>
          <w:rFonts w:ascii="Arial" w:hAnsi="Arial" w:cs="Arial"/>
        </w:rPr>
        <w:t>..</w:t>
      </w:r>
      <w:proofErr w:type="gramEnd"/>
      <w:r w:rsidR="005D52D4">
        <w:rPr>
          <w:rFonts w:ascii="Arial" w:hAnsi="Arial" w:cs="Arial"/>
        </w:rPr>
        <w:t>…</w:t>
      </w:r>
      <w:r w:rsidR="008A1400">
        <w:rPr>
          <w:rFonts w:ascii="Arial" w:hAnsi="Arial" w:cs="Arial"/>
        </w:rPr>
        <w:t>….</w:t>
      </w:r>
      <w:r w:rsidR="003C6472">
        <w:rPr>
          <w:rFonts w:ascii="Arial" w:hAnsi="Arial" w:cs="Arial"/>
        </w:rPr>
        <w:t>8</w:t>
      </w:r>
    </w:p>
    <w:p w14:paraId="46D4006B" w14:textId="7F746764" w:rsidR="00F926D7" w:rsidRPr="001C1CFB" w:rsidRDefault="00F926D7" w:rsidP="00F926D7">
      <w:pPr>
        <w:spacing w:line="360" w:lineRule="auto"/>
        <w:jc w:val="both"/>
        <w:rPr>
          <w:rFonts w:ascii="Arial" w:hAnsi="Arial" w:cs="Arial"/>
        </w:rPr>
      </w:pPr>
      <w:r w:rsidRPr="001C1CFB">
        <w:rPr>
          <w:rFonts w:ascii="Arial" w:hAnsi="Arial" w:cs="Arial"/>
        </w:rPr>
        <w:t>5. Conclusion</w:t>
      </w:r>
      <w:r w:rsidR="003C6472">
        <w:rPr>
          <w:rFonts w:ascii="Arial" w:hAnsi="Arial" w:cs="Arial"/>
        </w:rPr>
        <w:t>…………</w:t>
      </w:r>
      <w:r w:rsidR="005D52D4">
        <w:rPr>
          <w:rFonts w:ascii="Arial" w:hAnsi="Arial" w:cs="Arial"/>
        </w:rPr>
        <w:t>…………………………………………………………………</w:t>
      </w:r>
      <w:r w:rsidR="005D52D4">
        <w:rPr>
          <w:rFonts w:ascii="Arial" w:hAnsi="Arial" w:cs="Arial"/>
        </w:rPr>
        <w:t>...</w:t>
      </w:r>
      <w:r w:rsidR="003C6472">
        <w:rPr>
          <w:rFonts w:ascii="Arial" w:hAnsi="Arial" w:cs="Arial"/>
        </w:rPr>
        <w:t>….</w:t>
      </w:r>
      <w:r w:rsidR="003117B6">
        <w:rPr>
          <w:rFonts w:ascii="Arial" w:hAnsi="Arial" w:cs="Arial"/>
        </w:rPr>
        <w:t>9</w:t>
      </w:r>
    </w:p>
    <w:p w14:paraId="4E20D838" w14:textId="2C7403EF" w:rsidR="00F926D7" w:rsidRPr="001C1CFB" w:rsidRDefault="00F926D7" w:rsidP="00F926D7">
      <w:pPr>
        <w:spacing w:line="360" w:lineRule="auto"/>
        <w:jc w:val="both"/>
        <w:rPr>
          <w:rFonts w:ascii="Arial" w:hAnsi="Arial" w:cs="Arial"/>
        </w:rPr>
      </w:pPr>
      <w:r w:rsidRPr="001C1CFB">
        <w:rPr>
          <w:rFonts w:ascii="Arial" w:hAnsi="Arial" w:cs="Arial"/>
        </w:rPr>
        <w:t>6. References</w:t>
      </w:r>
      <w:r w:rsidR="003C6472">
        <w:rPr>
          <w:rFonts w:ascii="Arial" w:hAnsi="Arial" w:cs="Arial"/>
        </w:rPr>
        <w:t>……</w:t>
      </w:r>
      <w:r w:rsidR="005D52D4">
        <w:rPr>
          <w:rFonts w:ascii="Arial" w:hAnsi="Arial" w:cs="Arial"/>
        </w:rPr>
        <w:t>……………………………………………………………………</w:t>
      </w:r>
      <w:r w:rsidR="008A1400">
        <w:rPr>
          <w:rFonts w:ascii="Arial" w:hAnsi="Arial" w:cs="Arial"/>
        </w:rPr>
        <w:t>…</w:t>
      </w:r>
      <w:r w:rsidR="003C6472">
        <w:rPr>
          <w:rFonts w:ascii="Arial" w:hAnsi="Arial" w:cs="Arial"/>
        </w:rPr>
        <w:t>…</w:t>
      </w:r>
      <w:r w:rsidR="008A1400">
        <w:rPr>
          <w:rFonts w:ascii="Arial" w:hAnsi="Arial" w:cs="Arial"/>
        </w:rPr>
        <w:t>….</w:t>
      </w:r>
      <w:r w:rsidR="003117B6">
        <w:rPr>
          <w:rFonts w:ascii="Arial" w:hAnsi="Arial" w:cs="Arial"/>
        </w:rPr>
        <w:t>10</w:t>
      </w:r>
    </w:p>
    <w:p w14:paraId="5D13C3E5" w14:textId="40E79B76" w:rsidR="00F926D7" w:rsidRPr="001C1CFB" w:rsidRDefault="00F926D7" w:rsidP="00F926D7">
      <w:pPr>
        <w:spacing w:line="360" w:lineRule="auto"/>
        <w:jc w:val="both"/>
        <w:rPr>
          <w:rFonts w:ascii="Arial" w:hAnsi="Arial" w:cs="Arial"/>
        </w:rPr>
      </w:pPr>
      <w:r w:rsidRPr="001C1CFB">
        <w:rPr>
          <w:rFonts w:ascii="Arial" w:hAnsi="Arial" w:cs="Arial"/>
        </w:rPr>
        <w:t>7. Appendix A — STEEPLE</w:t>
      </w:r>
      <w:r w:rsidR="005D52D4">
        <w:rPr>
          <w:rFonts w:ascii="Arial" w:hAnsi="Arial" w:cs="Arial"/>
        </w:rPr>
        <w:t>……….</w:t>
      </w:r>
      <w:r w:rsidR="005D52D4">
        <w:rPr>
          <w:rFonts w:ascii="Arial" w:hAnsi="Arial" w:cs="Arial"/>
        </w:rPr>
        <w:t>……………………………………………………</w:t>
      </w:r>
      <w:r w:rsidR="005D52D4">
        <w:rPr>
          <w:rFonts w:ascii="Arial" w:hAnsi="Arial" w:cs="Arial"/>
        </w:rPr>
        <w:t>…...11</w:t>
      </w:r>
    </w:p>
    <w:p w14:paraId="5A4F0314" w14:textId="736DC884" w:rsidR="00F926D7" w:rsidRPr="001C1CFB" w:rsidRDefault="00F926D7" w:rsidP="00F926D7">
      <w:pPr>
        <w:spacing w:line="360" w:lineRule="auto"/>
        <w:jc w:val="both"/>
        <w:rPr>
          <w:rFonts w:ascii="Arial" w:hAnsi="Arial" w:cs="Arial"/>
        </w:rPr>
      </w:pPr>
      <w:r w:rsidRPr="001C1CFB">
        <w:rPr>
          <w:rFonts w:ascii="Arial" w:hAnsi="Arial" w:cs="Arial"/>
        </w:rPr>
        <w:t>8. Appendix B — SWOT (KSI vs Molly</w:t>
      </w:r>
      <w:r w:rsidRPr="001C1CFB">
        <w:rPr>
          <w:rFonts w:ascii="Cambria Math" w:hAnsi="Cambria Math" w:cs="Cambria Math"/>
        </w:rPr>
        <w:t>‑</w:t>
      </w:r>
      <w:r w:rsidRPr="001C1CFB">
        <w:rPr>
          <w:rFonts w:ascii="Arial" w:hAnsi="Arial" w:cs="Arial"/>
        </w:rPr>
        <w:t xml:space="preserve">Mae </w:t>
      </w:r>
      <w:r w:rsidR="008A1400" w:rsidRPr="001C1CFB">
        <w:rPr>
          <w:rFonts w:ascii="Arial" w:hAnsi="Arial" w:cs="Arial"/>
        </w:rPr>
        <w:t>Hague)</w:t>
      </w:r>
      <w:r w:rsidR="008A1400">
        <w:rPr>
          <w:rFonts w:ascii="Arial" w:hAnsi="Arial" w:cs="Arial"/>
        </w:rPr>
        <w:t xml:space="preserve"> …</w:t>
      </w:r>
      <w:r w:rsidR="005D52D4">
        <w:rPr>
          <w:rFonts w:ascii="Arial" w:hAnsi="Arial" w:cs="Arial"/>
        </w:rPr>
        <w:t>……….</w:t>
      </w:r>
      <w:r w:rsidR="005D52D4">
        <w:rPr>
          <w:rFonts w:ascii="Arial" w:hAnsi="Arial" w:cs="Arial"/>
        </w:rPr>
        <w:t>…………………………</w:t>
      </w:r>
      <w:r w:rsidR="005D52D4">
        <w:rPr>
          <w:rFonts w:ascii="Arial" w:hAnsi="Arial" w:cs="Arial"/>
        </w:rPr>
        <w:t>.13</w:t>
      </w:r>
    </w:p>
    <w:p w14:paraId="4B927DE9" w14:textId="77777777" w:rsidR="006210CD" w:rsidRPr="001C1CFB" w:rsidRDefault="006210CD" w:rsidP="001C1CFB">
      <w:pPr>
        <w:spacing w:line="360" w:lineRule="auto"/>
        <w:jc w:val="both"/>
        <w:rPr>
          <w:rFonts w:ascii="Arial" w:hAnsi="Arial" w:cs="Arial"/>
        </w:rPr>
      </w:pPr>
    </w:p>
    <w:p w14:paraId="4FD956FF" w14:textId="77777777" w:rsidR="006210CD" w:rsidRPr="001C1CFB" w:rsidRDefault="006210CD" w:rsidP="001C1CFB">
      <w:pPr>
        <w:spacing w:line="360" w:lineRule="auto"/>
        <w:jc w:val="both"/>
        <w:rPr>
          <w:rFonts w:ascii="Arial" w:hAnsi="Arial" w:cs="Arial"/>
        </w:rPr>
      </w:pPr>
    </w:p>
    <w:p w14:paraId="630B9A86" w14:textId="77777777" w:rsidR="006210CD" w:rsidRPr="001C1CFB" w:rsidRDefault="006210CD" w:rsidP="001C1CFB">
      <w:pPr>
        <w:spacing w:line="360" w:lineRule="auto"/>
        <w:jc w:val="both"/>
        <w:rPr>
          <w:rFonts w:ascii="Arial" w:hAnsi="Arial" w:cs="Arial"/>
        </w:rPr>
      </w:pPr>
    </w:p>
    <w:p w14:paraId="151F15A5" w14:textId="77777777" w:rsidR="006210CD" w:rsidRDefault="006210CD" w:rsidP="001C1CFB">
      <w:pPr>
        <w:spacing w:line="360" w:lineRule="auto"/>
        <w:jc w:val="both"/>
        <w:rPr>
          <w:rFonts w:ascii="Arial" w:hAnsi="Arial" w:cs="Arial"/>
        </w:rPr>
      </w:pPr>
    </w:p>
    <w:p w14:paraId="3FE74375" w14:textId="77777777" w:rsidR="00A96DDD" w:rsidRPr="001C1CFB" w:rsidRDefault="00A96DDD" w:rsidP="001C1CFB">
      <w:pPr>
        <w:spacing w:line="360" w:lineRule="auto"/>
        <w:jc w:val="both"/>
        <w:rPr>
          <w:rFonts w:ascii="Arial" w:hAnsi="Arial" w:cs="Arial"/>
        </w:rPr>
      </w:pPr>
    </w:p>
    <w:p w14:paraId="59C5253F" w14:textId="77777777" w:rsidR="006210CD" w:rsidRPr="001C1CFB" w:rsidRDefault="006210CD" w:rsidP="001C1CFB">
      <w:pPr>
        <w:spacing w:line="360" w:lineRule="auto"/>
        <w:jc w:val="both"/>
        <w:rPr>
          <w:rFonts w:ascii="Arial" w:hAnsi="Arial" w:cs="Arial"/>
        </w:rPr>
      </w:pPr>
    </w:p>
    <w:p w14:paraId="661E55B3" w14:textId="77777777" w:rsidR="0002322A" w:rsidRPr="001C1CFB" w:rsidRDefault="0002322A" w:rsidP="001C1CFB">
      <w:pPr>
        <w:spacing w:line="360" w:lineRule="auto"/>
        <w:jc w:val="both"/>
        <w:rPr>
          <w:rFonts w:ascii="Arial" w:hAnsi="Arial" w:cs="Arial"/>
        </w:rPr>
      </w:pPr>
    </w:p>
    <w:p w14:paraId="25DA0316" w14:textId="77777777" w:rsidR="0002322A" w:rsidRPr="001C1CFB" w:rsidRDefault="0002322A" w:rsidP="001C1CFB">
      <w:pPr>
        <w:spacing w:line="360" w:lineRule="auto"/>
        <w:jc w:val="both"/>
        <w:rPr>
          <w:rFonts w:ascii="Arial" w:hAnsi="Arial" w:cs="Arial"/>
        </w:rPr>
      </w:pPr>
    </w:p>
    <w:p w14:paraId="60C70673" w14:textId="57918963" w:rsidR="00A0193E" w:rsidRPr="00A0193E" w:rsidRDefault="006210CD" w:rsidP="00A0193E">
      <w:pPr>
        <w:spacing w:line="360" w:lineRule="auto"/>
        <w:jc w:val="both"/>
        <w:rPr>
          <w:rFonts w:ascii="Arial" w:hAnsi="Arial" w:cs="Arial"/>
          <w:b/>
          <w:bCs/>
        </w:rPr>
      </w:pPr>
      <w:r w:rsidRPr="001C1CFB">
        <w:rPr>
          <w:rFonts w:ascii="Arial" w:hAnsi="Arial" w:cs="Arial"/>
          <w:b/>
          <w:bCs/>
        </w:rPr>
        <w:t>AI Statement</w:t>
      </w:r>
    </w:p>
    <w:p w14:paraId="24DB4C34" w14:textId="4E4F6376" w:rsidR="006210CD" w:rsidRPr="001C1CFB" w:rsidRDefault="00A0193E" w:rsidP="00A0193E">
      <w:pPr>
        <w:spacing w:line="360" w:lineRule="auto"/>
        <w:jc w:val="both"/>
        <w:rPr>
          <w:rFonts w:ascii="Arial" w:hAnsi="Arial" w:cs="Arial"/>
        </w:rPr>
      </w:pPr>
      <w:r w:rsidRPr="00A0193E">
        <w:rPr>
          <w:rFonts w:ascii="Arial" w:hAnsi="Arial" w:cs="Arial"/>
        </w:rPr>
        <w:t>I confirm that I have not presented any AI-generated text as my own work. I confirm that I have copies of my drafts, notes and other resources used in preparing this assessment, which I can provide as evidence if requested.</w:t>
      </w:r>
    </w:p>
    <w:p w14:paraId="6ED82FA8" w14:textId="77777777" w:rsidR="006210CD" w:rsidRPr="001C1CFB" w:rsidRDefault="006210CD" w:rsidP="001C1CFB">
      <w:pPr>
        <w:spacing w:line="360" w:lineRule="auto"/>
        <w:jc w:val="both"/>
        <w:rPr>
          <w:rFonts w:ascii="Arial" w:hAnsi="Arial" w:cs="Arial"/>
        </w:rPr>
      </w:pPr>
    </w:p>
    <w:p w14:paraId="526BD980" w14:textId="77777777" w:rsidR="006210CD" w:rsidRPr="001C1CFB" w:rsidRDefault="006210CD" w:rsidP="001C1CFB">
      <w:pPr>
        <w:spacing w:line="360" w:lineRule="auto"/>
        <w:jc w:val="both"/>
        <w:rPr>
          <w:rFonts w:ascii="Arial" w:hAnsi="Arial" w:cs="Arial"/>
        </w:rPr>
      </w:pPr>
    </w:p>
    <w:p w14:paraId="0179DC3D" w14:textId="77777777" w:rsidR="006210CD" w:rsidRDefault="006210CD" w:rsidP="001C1CFB">
      <w:pPr>
        <w:spacing w:line="360" w:lineRule="auto"/>
        <w:jc w:val="both"/>
        <w:rPr>
          <w:rFonts w:ascii="Arial" w:hAnsi="Arial" w:cs="Arial"/>
        </w:rPr>
      </w:pPr>
    </w:p>
    <w:p w14:paraId="25C1C582" w14:textId="77777777" w:rsidR="00801A01" w:rsidRDefault="00801A01" w:rsidP="001C1CFB">
      <w:pPr>
        <w:spacing w:line="360" w:lineRule="auto"/>
        <w:jc w:val="both"/>
        <w:rPr>
          <w:rFonts w:ascii="Arial" w:hAnsi="Arial" w:cs="Arial"/>
        </w:rPr>
      </w:pPr>
    </w:p>
    <w:p w14:paraId="6FD8D92A" w14:textId="77777777" w:rsidR="00801A01" w:rsidRDefault="00801A01" w:rsidP="001C1CFB">
      <w:pPr>
        <w:spacing w:line="360" w:lineRule="auto"/>
        <w:jc w:val="both"/>
        <w:rPr>
          <w:rFonts w:ascii="Arial" w:hAnsi="Arial" w:cs="Arial"/>
        </w:rPr>
      </w:pPr>
    </w:p>
    <w:p w14:paraId="1F07BD0D" w14:textId="77777777" w:rsidR="00801A01" w:rsidRPr="001C1CFB" w:rsidRDefault="00801A01" w:rsidP="001C1CFB">
      <w:pPr>
        <w:spacing w:line="360" w:lineRule="auto"/>
        <w:jc w:val="both"/>
        <w:rPr>
          <w:rFonts w:ascii="Arial" w:hAnsi="Arial" w:cs="Arial"/>
        </w:rPr>
      </w:pPr>
    </w:p>
    <w:p w14:paraId="766B1B1D" w14:textId="77777777" w:rsidR="006210CD" w:rsidRPr="001C1CFB" w:rsidRDefault="006210CD" w:rsidP="001C1CFB">
      <w:pPr>
        <w:spacing w:line="360" w:lineRule="auto"/>
        <w:jc w:val="both"/>
        <w:rPr>
          <w:rFonts w:ascii="Arial" w:hAnsi="Arial" w:cs="Arial"/>
        </w:rPr>
      </w:pPr>
    </w:p>
    <w:p w14:paraId="35D80C0C" w14:textId="77777777" w:rsidR="006210CD" w:rsidRPr="001C1CFB" w:rsidRDefault="006210CD" w:rsidP="001C1CFB">
      <w:pPr>
        <w:spacing w:line="360" w:lineRule="auto"/>
        <w:jc w:val="both"/>
        <w:rPr>
          <w:rFonts w:ascii="Arial" w:hAnsi="Arial" w:cs="Arial"/>
        </w:rPr>
      </w:pPr>
    </w:p>
    <w:p w14:paraId="53F33974" w14:textId="77777777" w:rsidR="006210CD" w:rsidRPr="001C1CFB" w:rsidRDefault="006210CD" w:rsidP="001C1CFB">
      <w:pPr>
        <w:spacing w:line="360" w:lineRule="auto"/>
        <w:jc w:val="both"/>
        <w:rPr>
          <w:rFonts w:ascii="Arial" w:hAnsi="Arial" w:cs="Arial"/>
        </w:rPr>
      </w:pPr>
    </w:p>
    <w:p w14:paraId="75752DE9" w14:textId="77777777" w:rsidR="006210CD" w:rsidRPr="001C1CFB" w:rsidRDefault="006210CD" w:rsidP="001C1CFB">
      <w:pPr>
        <w:spacing w:line="360" w:lineRule="auto"/>
        <w:jc w:val="both"/>
        <w:rPr>
          <w:rFonts w:ascii="Arial" w:hAnsi="Arial" w:cs="Arial"/>
        </w:rPr>
      </w:pPr>
    </w:p>
    <w:p w14:paraId="660F1310" w14:textId="77777777" w:rsidR="006210CD" w:rsidRPr="001C1CFB" w:rsidRDefault="006210CD" w:rsidP="001C1CFB">
      <w:pPr>
        <w:spacing w:line="360" w:lineRule="auto"/>
        <w:jc w:val="both"/>
        <w:rPr>
          <w:rFonts w:ascii="Arial" w:hAnsi="Arial" w:cs="Arial"/>
        </w:rPr>
      </w:pPr>
    </w:p>
    <w:p w14:paraId="26649E1F" w14:textId="77777777" w:rsidR="006210CD" w:rsidRPr="001C1CFB" w:rsidRDefault="006210CD" w:rsidP="001C1CFB">
      <w:pPr>
        <w:spacing w:line="360" w:lineRule="auto"/>
        <w:jc w:val="both"/>
        <w:rPr>
          <w:rFonts w:ascii="Arial" w:hAnsi="Arial" w:cs="Arial"/>
        </w:rPr>
      </w:pPr>
    </w:p>
    <w:p w14:paraId="5684C3CB" w14:textId="77777777" w:rsidR="006210CD" w:rsidRPr="001C1CFB" w:rsidRDefault="006210CD" w:rsidP="001C1CFB">
      <w:pPr>
        <w:spacing w:line="360" w:lineRule="auto"/>
        <w:jc w:val="both"/>
        <w:rPr>
          <w:rFonts w:ascii="Arial" w:hAnsi="Arial" w:cs="Arial"/>
        </w:rPr>
      </w:pPr>
    </w:p>
    <w:p w14:paraId="552AF9B7" w14:textId="77777777" w:rsidR="006210CD" w:rsidRPr="001C1CFB" w:rsidRDefault="006210CD" w:rsidP="001C1CFB">
      <w:pPr>
        <w:spacing w:line="360" w:lineRule="auto"/>
        <w:jc w:val="both"/>
        <w:rPr>
          <w:rFonts w:ascii="Arial" w:hAnsi="Arial" w:cs="Arial"/>
        </w:rPr>
      </w:pPr>
    </w:p>
    <w:p w14:paraId="54493819" w14:textId="77777777" w:rsidR="006210CD" w:rsidRPr="001C1CFB" w:rsidRDefault="006210CD" w:rsidP="001C1CFB">
      <w:pPr>
        <w:spacing w:line="360" w:lineRule="auto"/>
        <w:jc w:val="both"/>
        <w:rPr>
          <w:rFonts w:ascii="Arial" w:hAnsi="Arial" w:cs="Arial"/>
        </w:rPr>
      </w:pPr>
    </w:p>
    <w:p w14:paraId="691570FE" w14:textId="77777777" w:rsidR="006210CD" w:rsidRPr="001C1CFB" w:rsidRDefault="006210CD" w:rsidP="001C1CFB">
      <w:pPr>
        <w:spacing w:line="360" w:lineRule="auto"/>
        <w:jc w:val="both"/>
        <w:rPr>
          <w:rFonts w:ascii="Arial" w:hAnsi="Arial" w:cs="Arial"/>
        </w:rPr>
      </w:pPr>
    </w:p>
    <w:p w14:paraId="7440B4A1" w14:textId="77777777" w:rsidR="006210CD" w:rsidRPr="001C1CFB" w:rsidRDefault="006210CD" w:rsidP="001C1CFB">
      <w:pPr>
        <w:spacing w:line="360" w:lineRule="auto"/>
        <w:jc w:val="both"/>
        <w:rPr>
          <w:rFonts w:ascii="Arial" w:hAnsi="Arial" w:cs="Arial"/>
        </w:rPr>
      </w:pPr>
    </w:p>
    <w:p w14:paraId="42BF30FC" w14:textId="77777777" w:rsidR="006210CD" w:rsidRPr="001C1CFB" w:rsidRDefault="006210CD" w:rsidP="001C1CFB">
      <w:pPr>
        <w:spacing w:line="360" w:lineRule="auto"/>
        <w:jc w:val="both"/>
        <w:rPr>
          <w:rFonts w:ascii="Arial" w:hAnsi="Arial" w:cs="Arial"/>
        </w:rPr>
      </w:pPr>
    </w:p>
    <w:p w14:paraId="21812A67" w14:textId="77777777" w:rsidR="006210CD" w:rsidRPr="001C1CFB" w:rsidRDefault="006210CD" w:rsidP="001C1CFB">
      <w:pPr>
        <w:spacing w:line="360" w:lineRule="auto"/>
        <w:jc w:val="both"/>
        <w:rPr>
          <w:rFonts w:ascii="Arial" w:hAnsi="Arial" w:cs="Arial"/>
        </w:rPr>
      </w:pPr>
    </w:p>
    <w:p w14:paraId="5E819ED3" w14:textId="77777777" w:rsidR="006210CD" w:rsidRPr="001C1CFB" w:rsidRDefault="006210CD" w:rsidP="001C1CFB">
      <w:pPr>
        <w:spacing w:line="360" w:lineRule="auto"/>
        <w:jc w:val="both"/>
        <w:rPr>
          <w:rFonts w:ascii="Arial" w:hAnsi="Arial" w:cs="Arial"/>
        </w:rPr>
      </w:pPr>
    </w:p>
    <w:p w14:paraId="5DC91038" w14:textId="77777777" w:rsidR="0002322A" w:rsidRPr="001C1CFB" w:rsidRDefault="0002322A" w:rsidP="001C1CFB">
      <w:pPr>
        <w:spacing w:line="360" w:lineRule="auto"/>
        <w:jc w:val="both"/>
        <w:rPr>
          <w:rFonts w:ascii="Arial" w:hAnsi="Arial" w:cs="Arial"/>
        </w:rPr>
      </w:pPr>
    </w:p>
    <w:p w14:paraId="60F240A4" w14:textId="77777777" w:rsidR="003C6472" w:rsidRDefault="003C6472" w:rsidP="001C1CFB">
      <w:pPr>
        <w:spacing w:line="360" w:lineRule="auto"/>
        <w:jc w:val="both"/>
        <w:rPr>
          <w:rFonts w:ascii="Arial" w:hAnsi="Arial" w:cs="Arial"/>
        </w:rPr>
      </w:pPr>
    </w:p>
    <w:p w14:paraId="4F491163" w14:textId="1922A3CA" w:rsidR="006210CD" w:rsidRPr="001C1CFB" w:rsidRDefault="006210CD" w:rsidP="001C1CFB">
      <w:pPr>
        <w:spacing w:line="360" w:lineRule="auto"/>
        <w:jc w:val="both"/>
        <w:rPr>
          <w:rFonts w:ascii="Arial" w:hAnsi="Arial" w:cs="Arial"/>
          <w:b/>
          <w:bCs/>
        </w:rPr>
      </w:pPr>
      <w:r w:rsidRPr="001C1CFB">
        <w:rPr>
          <w:rFonts w:ascii="Arial" w:hAnsi="Arial" w:cs="Arial"/>
          <w:b/>
          <w:bCs/>
        </w:rPr>
        <w:lastRenderedPageBreak/>
        <w:t>Introduction</w:t>
      </w:r>
    </w:p>
    <w:p w14:paraId="412CE100" w14:textId="64086907" w:rsidR="006210CD" w:rsidRDefault="006210CD" w:rsidP="001C1CFB">
      <w:pPr>
        <w:spacing w:line="360" w:lineRule="auto"/>
        <w:jc w:val="both"/>
        <w:rPr>
          <w:rFonts w:ascii="Arial" w:hAnsi="Arial" w:cs="Arial"/>
        </w:rPr>
      </w:pPr>
      <w:r w:rsidRPr="001C1CFB">
        <w:rPr>
          <w:rFonts w:ascii="Arial" w:hAnsi="Arial" w:cs="Arial"/>
        </w:rPr>
        <w:t xml:space="preserve">The creator economy covers individuals and small teams who produce digital content and earn via ads, sponsorships, subscriptions and social commerce on platforms such as TikTok, YouTube and Instagram. It matters because millions of people now rely on platform income and because creators shape consumer culture and small business marketing (Libai et al., 2025). </w:t>
      </w:r>
      <w:r w:rsidR="008A1400" w:rsidRPr="008A1400">
        <w:rPr>
          <w:rFonts w:ascii="Arial" w:hAnsi="Arial" w:cs="Arial"/>
        </w:rPr>
        <w:t>purposes of the report</w:t>
      </w:r>
      <w:r w:rsidR="008A1400" w:rsidRPr="008A1400">
        <w:rPr>
          <w:rFonts w:ascii="Arial" w:hAnsi="Arial" w:cs="Arial"/>
        </w:rPr>
        <w:t xml:space="preserve"> </w:t>
      </w:r>
      <w:r w:rsidR="008A1400" w:rsidRPr="001C1CFB">
        <w:rPr>
          <w:rFonts w:ascii="Arial" w:hAnsi="Arial" w:cs="Arial"/>
        </w:rPr>
        <w:t>are</w:t>
      </w:r>
      <w:r w:rsidR="008A1400">
        <w:rPr>
          <w:rFonts w:ascii="Arial" w:hAnsi="Arial" w:cs="Arial"/>
        </w:rPr>
        <w:t xml:space="preserve"> to </w:t>
      </w:r>
      <w:r w:rsidRPr="001C1CFB">
        <w:rPr>
          <w:rFonts w:ascii="Arial" w:hAnsi="Arial" w:cs="Arial"/>
        </w:rPr>
        <w:t>critically analyse external factors that influence creator opportunities and risks using the DPSIR framework as the main tool. STEEPLE and SWOT are used as supporting tools in Appendix A and Appendix B. DPSIR is chosen because it forces a causal chain from Driver to Response, which helps to design realistic recommendations (Ness, Anderberg and Olsson, 2010).</w:t>
      </w:r>
    </w:p>
    <w:p w14:paraId="0D8DB45A" w14:textId="77777777" w:rsidR="003C6472" w:rsidRDefault="003C6472" w:rsidP="001C1CFB">
      <w:pPr>
        <w:spacing w:line="360" w:lineRule="auto"/>
        <w:jc w:val="both"/>
        <w:rPr>
          <w:rFonts w:ascii="Arial" w:hAnsi="Arial" w:cs="Arial"/>
        </w:rPr>
      </w:pPr>
    </w:p>
    <w:p w14:paraId="65B1E416" w14:textId="77777777" w:rsidR="003C6472" w:rsidRDefault="003C6472" w:rsidP="001C1CFB">
      <w:pPr>
        <w:spacing w:line="360" w:lineRule="auto"/>
        <w:jc w:val="both"/>
        <w:rPr>
          <w:rFonts w:ascii="Arial" w:hAnsi="Arial" w:cs="Arial"/>
        </w:rPr>
      </w:pPr>
    </w:p>
    <w:p w14:paraId="1FC1AF77" w14:textId="77777777" w:rsidR="003C6472" w:rsidRDefault="003C6472" w:rsidP="001C1CFB">
      <w:pPr>
        <w:spacing w:line="360" w:lineRule="auto"/>
        <w:jc w:val="both"/>
        <w:rPr>
          <w:rFonts w:ascii="Arial" w:hAnsi="Arial" w:cs="Arial"/>
        </w:rPr>
      </w:pPr>
    </w:p>
    <w:p w14:paraId="0088C8D2" w14:textId="77777777" w:rsidR="003C6472" w:rsidRDefault="003C6472" w:rsidP="001C1CFB">
      <w:pPr>
        <w:spacing w:line="360" w:lineRule="auto"/>
        <w:jc w:val="both"/>
        <w:rPr>
          <w:rFonts w:ascii="Arial" w:hAnsi="Arial" w:cs="Arial"/>
        </w:rPr>
      </w:pPr>
    </w:p>
    <w:p w14:paraId="2679E554" w14:textId="77777777" w:rsidR="003C6472" w:rsidRDefault="003C6472" w:rsidP="001C1CFB">
      <w:pPr>
        <w:spacing w:line="360" w:lineRule="auto"/>
        <w:jc w:val="both"/>
        <w:rPr>
          <w:rFonts w:ascii="Arial" w:hAnsi="Arial" w:cs="Arial"/>
        </w:rPr>
      </w:pPr>
    </w:p>
    <w:p w14:paraId="45A3257D" w14:textId="77777777" w:rsidR="003C6472" w:rsidRDefault="003C6472" w:rsidP="001C1CFB">
      <w:pPr>
        <w:spacing w:line="360" w:lineRule="auto"/>
        <w:jc w:val="both"/>
        <w:rPr>
          <w:rFonts w:ascii="Arial" w:hAnsi="Arial" w:cs="Arial"/>
        </w:rPr>
      </w:pPr>
    </w:p>
    <w:p w14:paraId="612EDA59" w14:textId="77777777" w:rsidR="003C6472" w:rsidRDefault="003C6472" w:rsidP="001C1CFB">
      <w:pPr>
        <w:spacing w:line="360" w:lineRule="auto"/>
        <w:jc w:val="both"/>
        <w:rPr>
          <w:rFonts w:ascii="Arial" w:hAnsi="Arial" w:cs="Arial"/>
        </w:rPr>
      </w:pPr>
    </w:p>
    <w:p w14:paraId="64ED1B90" w14:textId="77777777" w:rsidR="003C6472" w:rsidRDefault="003C6472" w:rsidP="001C1CFB">
      <w:pPr>
        <w:spacing w:line="360" w:lineRule="auto"/>
        <w:jc w:val="both"/>
        <w:rPr>
          <w:rFonts w:ascii="Arial" w:hAnsi="Arial" w:cs="Arial"/>
        </w:rPr>
      </w:pPr>
    </w:p>
    <w:p w14:paraId="06F5A552" w14:textId="77777777" w:rsidR="003C6472" w:rsidRDefault="003C6472" w:rsidP="001C1CFB">
      <w:pPr>
        <w:spacing w:line="360" w:lineRule="auto"/>
        <w:jc w:val="both"/>
        <w:rPr>
          <w:rFonts w:ascii="Arial" w:hAnsi="Arial" w:cs="Arial"/>
        </w:rPr>
      </w:pPr>
    </w:p>
    <w:p w14:paraId="166B2CBD" w14:textId="77777777" w:rsidR="003C6472" w:rsidRDefault="003C6472" w:rsidP="001C1CFB">
      <w:pPr>
        <w:spacing w:line="360" w:lineRule="auto"/>
        <w:jc w:val="both"/>
        <w:rPr>
          <w:rFonts w:ascii="Arial" w:hAnsi="Arial" w:cs="Arial"/>
        </w:rPr>
      </w:pPr>
    </w:p>
    <w:p w14:paraId="1F56352E" w14:textId="77777777" w:rsidR="003C6472" w:rsidRDefault="003C6472" w:rsidP="001C1CFB">
      <w:pPr>
        <w:spacing w:line="360" w:lineRule="auto"/>
        <w:jc w:val="both"/>
        <w:rPr>
          <w:rFonts w:ascii="Arial" w:hAnsi="Arial" w:cs="Arial"/>
        </w:rPr>
      </w:pPr>
    </w:p>
    <w:p w14:paraId="26B4FF8A" w14:textId="77777777" w:rsidR="003C6472" w:rsidRDefault="003C6472" w:rsidP="001C1CFB">
      <w:pPr>
        <w:spacing w:line="360" w:lineRule="auto"/>
        <w:jc w:val="both"/>
        <w:rPr>
          <w:rFonts w:ascii="Arial" w:hAnsi="Arial" w:cs="Arial"/>
        </w:rPr>
      </w:pPr>
    </w:p>
    <w:p w14:paraId="335C8010" w14:textId="77777777" w:rsidR="003C6472" w:rsidRDefault="003C6472" w:rsidP="001C1CFB">
      <w:pPr>
        <w:spacing w:line="360" w:lineRule="auto"/>
        <w:jc w:val="both"/>
        <w:rPr>
          <w:rFonts w:ascii="Arial" w:hAnsi="Arial" w:cs="Arial"/>
        </w:rPr>
      </w:pPr>
    </w:p>
    <w:p w14:paraId="5243EEAA" w14:textId="77777777" w:rsidR="003C6472" w:rsidRDefault="003C6472" w:rsidP="001C1CFB">
      <w:pPr>
        <w:spacing w:line="360" w:lineRule="auto"/>
        <w:jc w:val="both"/>
        <w:rPr>
          <w:rFonts w:ascii="Arial" w:hAnsi="Arial" w:cs="Arial"/>
        </w:rPr>
      </w:pPr>
    </w:p>
    <w:p w14:paraId="7B1425BB" w14:textId="77777777" w:rsidR="003C6472" w:rsidRDefault="003C6472" w:rsidP="001C1CFB">
      <w:pPr>
        <w:spacing w:line="360" w:lineRule="auto"/>
        <w:jc w:val="both"/>
        <w:rPr>
          <w:rFonts w:ascii="Arial" w:hAnsi="Arial" w:cs="Arial"/>
        </w:rPr>
      </w:pPr>
    </w:p>
    <w:p w14:paraId="2AE8A385" w14:textId="77777777" w:rsidR="003C6472" w:rsidRDefault="003C6472" w:rsidP="001C1CFB">
      <w:pPr>
        <w:spacing w:line="360" w:lineRule="auto"/>
        <w:jc w:val="both"/>
        <w:rPr>
          <w:rFonts w:ascii="Arial" w:hAnsi="Arial" w:cs="Arial"/>
        </w:rPr>
      </w:pPr>
    </w:p>
    <w:p w14:paraId="5CC80B75" w14:textId="77777777" w:rsidR="003C6472" w:rsidRDefault="003C6472" w:rsidP="001C1CFB">
      <w:pPr>
        <w:spacing w:line="360" w:lineRule="auto"/>
        <w:jc w:val="both"/>
        <w:rPr>
          <w:rFonts w:ascii="Arial" w:hAnsi="Arial" w:cs="Arial"/>
        </w:rPr>
      </w:pPr>
    </w:p>
    <w:p w14:paraId="39FE2F2E" w14:textId="77777777" w:rsidR="003C6472" w:rsidRDefault="003C6472" w:rsidP="001C1CFB">
      <w:pPr>
        <w:spacing w:line="360" w:lineRule="auto"/>
        <w:jc w:val="both"/>
        <w:rPr>
          <w:rFonts w:ascii="Arial" w:hAnsi="Arial" w:cs="Arial"/>
        </w:rPr>
      </w:pPr>
    </w:p>
    <w:p w14:paraId="1F46E833" w14:textId="77777777" w:rsidR="003C6472" w:rsidRPr="001C1CFB" w:rsidRDefault="003C6472" w:rsidP="001C1CFB">
      <w:pPr>
        <w:spacing w:line="360" w:lineRule="auto"/>
        <w:jc w:val="both"/>
        <w:rPr>
          <w:rFonts w:ascii="Arial" w:hAnsi="Arial" w:cs="Arial"/>
        </w:rPr>
      </w:pPr>
    </w:p>
    <w:p w14:paraId="61D0875E" w14:textId="77777777" w:rsidR="006210CD" w:rsidRPr="001C1CFB" w:rsidRDefault="006210CD" w:rsidP="001C1CFB">
      <w:pPr>
        <w:spacing w:line="360" w:lineRule="auto"/>
        <w:jc w:val="both"/>
        <w:rPr>
          <w:rFonts w:ascii="Arial" w:hAnsi="Arial" w:cs="Arial"/>
          <w:b/>
          <w:bCs/>
        </w:rPr>
      </w:pPr>
      <w:r w:rsidRPr="001C1CFB">
        <w:rPr>
          <w:rFonts w:ascii="Arial" w:hAnsi="Arial" w:cs="Arial"/>
          <w:b/>
          <w:bCs/>
        </w:rPr>
        <w:lastRenderedPageBreak/>
        <w:t>Main Analysis — DPSIR</w:t>
      </w:r>
    </w:p>
    <w:p w14:paraId="17E5F991" w14:textId="77777777" w:rsidR="006210CD" w:rsidRPr="001C1CFB" w:rsidRDefault="006210CD" w:rsidP="001C1CFB">
      <w:pPr>
        <w:spacing w:line="360" w:lineRule="auto"/>
        <w:jc w:val="both"/>
        <w:rPr>
          <w:rFonts w:ascii="Arial" w:hAnsi="Arial" w:cs="Arial"/>
        </w:rPr>
      </w:pPr>
      <w:r w:rsidRPr="001C1CFB">
        <w:rPr>
          <w:rFonts w:ascii="Arial" w:hAnsi="Arial" w:cs="Arial"/>
        </w:rPr>
        <w:t>The analysis below follows the required chain: Driver → Pressure → State → Impact → Response. Each Driver is linked to a STEEPLE factor and to SWOT implications in Appendix B.</w:t>
      </w:r>
    </w:p>
    <w:p w14:paraId="6CA3F009" w14:textId="77777777" w:rsidR="006210CD" w:rsidRPr="001C1CFB" w:rsidRDefault="006210CD" w:rsidP="001C1CFB">
      <w:pPr>
        <w:spacing w:line="360" w:lineRule="auto"/>
        <w:jc w:val="both"/>
        <w:rPr>
          <w:rFonts w:ascii="Arial" w:hAnsi="Arial" w:cs="Arial"/>
          <w:b/>
          <w:bCs/>
        </w:rPr>
      </w:pPr>
      <w:r w:rsidRPr="001C1CFB">
        <w:rPr>
          <w:rFonts w:ascii="Arial" w:hAnsi="Arial" w:cs="Arial"/>
          <w:b/>
          <w:bCs/>
        </w:rPr>
        <w:t>Drivers</w:t>
      </w:r>
    </w:p>
    <w:p w14:paraId="22D3B0E8" w14:textId="7EA21980" w:rsidR="00EB1AE6" w:rsidRPr="001C1CFB" w:rsidRDefault="00EB1AE6" w:rsidP="001C1CFB">
      <w:pPr>
        <w:spacing w:line="360" w:lineRule="auto"/>
        <w:jc w:val="both"/>
        <w:rPr>
          <w:rFonts w:ascii="Arial" w:hAnsi="Arial" w:cs="Arial"/>
        </w:rPr>
      </w:pPr>
      <w:r w:rsidRPr="001C1CFB">
        <w:rPr>
          <w:rFonts w:ascii="Arial" w:hAnsi="Arial" w:cs="Arial"/>
        </w:rPr>
        <w:t>Platform governance also affects the wider digital economy. Changes in platform monetisation influence advertising spending, small businesses, creator income and social commerce. If a major platform changes its payment model or recommendation system, thousands of creators and businesses can lose visibility and revenue almost immediately (GlobalData Plc., 2025d).</w:t>
      </w:r>
    </w:p>
    <w:p w14:paraId="683C8A98" w14:textId="33FF7FC2" w:rsidR="006210CD" w:rsidRPr="001C1CFB" w:rsidRDefault="006210CD" w:rsidP="001C1CFB">
      <w:pPr>
        <w:spacing w:line="360" w:lineRule="auto"/>
        <w:jc w:val="both"/>
        <w:rPr>
          <w:rFonts w:ascii="Arial" w:hAnsi="Arial" w:cs="Arial"/>
        </w:rPr>
      </w:pPr>
      <w:r w:rsidRPr="001C1CFB">
        <w:rPr>
          <w:rFonts w:ascii="Arial" w:hAnsi="Arial" w:cs="Arial"/>
        </w:rPr>
        <w:t xml:space="preserve">Driver 1 — Artificial Intelligence (Technological STEEPLE). AI tools for content creation and recommendation are now central to platforms and brands (Sands et al., 2022).  AI changes who can produce content and how content is discovered. </w:t>
      </w:r>
      <w:r w:rsidR="00C03360">
        <w:rPr>
          <w:rFonts w:ascii="Arial" w:hAnsi="Arial" w:cs="Arial"/>
        </w:rPr>
        <w:t>This</w:t>
      </w:r>
      <w:r w:rsidRPr="001C1CFB">
        <w:rPr>
          <w:rFonts w:ascii="Arial" w:hAnsi="Arial" w:cs="Arial"/>
        </w:rPr>
        <w:t xml:space="preserve"> </w:t>
      </w:r>
      <w:r w:rsidR="008A1400" w:rsidRPr="008A1400">
        <w:rPr>
          <w:rFonts w:ascii="Arial" w:hAnsi="Arial" w:cs="Arial"/>
        </w:rPr>
        <w:t>impact</w:t>
      </w:r>
      <w:r w:rsidR="008A1400">
        <w:rPr>
          <w:rFonts w:ascii="Arial" w:hAnsi="Arial" w:cs="Arial"/>
        </w:rPr>
        <w:t xml:space="preserve"> in </w:t>
      </w:r>
      <w:r w:rsidRPr="001C1CFB">
        <w:rPr>
          <w:rFonts w:ascii="Arial" w:hAnsi="Arial" w:cs="Arial"/>
        </w:rPr>
        <w:t>entry barriers and the value of human creativity.  AI can lower production costs for some creators but also enable mass</w:t>
      </w:r>
      <w:r w:rsidRPr="001C1CFB">
        <w:rPr>
          <w:rFonts w:ascii="Arial" w:hAnsi="Arial" w:cs="Arial"/>
        </w:rPr>
        <w:noBreakHyphen/>
        <w:t>produced content that competes with authentic creators, shifting competitive dynamics.  Sands et al. (2022) discuss AI’s role in influencer marketing; Pan et al. (2024) show effectiveness varies by context.</w:t>
      </w:r>
    </w:p>
    <w:p w14:paraId="062B0FD9" w14:textId="4275B60D" w:rsidR="00F35E45" w:rsidRPr="001C1CFB" w:rsidRDefault="006210CD" w:rsidP="001C1CFB">
      <w:pPr>
        <w:spacing w:line="360" w:lineRule="auto"/>
        <w:jc w:val="both"/>
        <w:rPr>
          <w:rFonts w:ascii="Arial" w:hAnsi="Arial" w:cs="Arial"/>
        </w:rPr>
      </w:pPr>
      <w:r w:rsidRPr="001C1CFB">
        <w:rPr>
          <w:rFonts w:ascii="Arial" w:hAnsi="Arial" w:cs="Arial"/>
        </w:rPr>
        <w:t>Driver 2 — Platform Governance and Regulation (Political/Legal STEEPLE). Laws like the EU Digital Services Act and platform policies shape content moderation and monetisation rules (European Union, 2022; Duffy and Meisner, 2023). Governance sets the rules of visibility and revenue sharing. Creators operate inside these rules, not outside them</w:t>
      </w:r>
      <w:r w:rsidR="00356980">
        <w:rPr>
          <w:rFonts w:ascii="Arial" w:hAnsi="Arial" w:cs="Arial"/>
        </w:rPr>
        <w:t xml:space="preserve">. </w:t>
      </w:r>
      <w:r w:rsidRPr="001C1CFB">
        <w:rPr>
          <w:rFonts w:ascii="Arial" w:hAnsi="Arial" w:cs="Arial"/>
        </w:rPr>
        <w:t>Tighter regulation can protect users but also increase compliance costs and change monetisation models. Duffy and Meisner (2023) document creators’ experiences with algorithmic (in)visibility; the Digital Services Act sets new legal expectations.</w:t>
      </w:r>
    </w:p>
    <w:p w14:paraId="6F9DC87D" w14:textId="77777777" w:rsidR="006210CD" w:rsidRPr="001C1CFB" w:rsidRDefault="006210CD" w:rsidP="001C1CFB">
      <w:pPr>
        <w:spacing w:line="360" w:lineRule="auto"/>
        <w:jc w:val="both"/>
        <w:rPr>
          <w:rFonts w:ascii="Arial" w:hAnsi="Arial" w:cs="Arial"/>
          <w:b/>
          <w:bCs/>
        </w:rPr>
      </w:pPr>
      <w:r w:rsidRPr="001C1CFB">
        <w:rPr>
          <w:rFonts w:ascii="Arial" w:hAnsi="Arial" w:cs="Arial"/>
          <w:b/>
          <w:bCs/>
        </w:rPr>
        <w:t>Pressures</w:t>
      </w:r>
    </w:p>
    <w:p w14:paraId="132147E4" w14:textId="7A9C1077" w:rsidR="006210CD" w:rsidRPr="001C1CFB" w:rsidRDefault="00A94853" w:rsidP="001C1CFB">
      <w:pPr>
        <w:spacing w:line="360" w:lineRule="auto"/>
        <w:jc w:val="both"/>
        <w:rPr>
          <w:rFonts w:ascii="Arial" w:hAnsi="Arial" w:cs="Arial"/>
        </w:rPr>
      </w:pPr>
      <w:r w:rsidRPr="001C1CFB">
        <w:rPr>
          <w:rFonts w:ascii="Arial" w:hAnsi="Arial" w:cs="Arial"/>
        </w:rPr>
        <w:t>1.</w:t>
      </w:r>
      <w:r w:rsidR="006210CD" w:rsidRPr="001C1CFB">
        <w:rPr>
          <w:rFonts w:ascii="Arial" w:hAnsi="Arial" w:cs="Arial"/>
        </w:rPr>
        <w:t xml:space="preserve"> Algorithmic optimisation and automation. Platforms use AI to maximise engagement and ad revenue (Sands et al., 2022). Algorithms decide reach; they create winners and losers quickly. </w:t>
      </w:r>
      <w:r w:rsidR="00356980" w:rsidRPr="001C1CFB">
        <w:rPr>
          <w:rFonts w:ascii="Arial" w:hAnsi="Arial" w:cs="Arial"/>
        </w:rPr>
        <w:t xml:space="preserve"> </w:t>
      </w:r>
      <w:r w:rsidR="006210CD" w:rsidRPr="001C1CFB">
        <w:rPr>
          <w:rFonts w:ascii="Arial" w:hAnsi="Arial" w:cs="Arial"/>
        </w:rPr>
        <w:t>Creators face pressure to conform to algorithmic formats and to invest in paid promotion or optimisation skills. This is a threat in Appendix B (SWOT: threat — algorithm dependence).  Duffy and Meisner (2023) show creators experience algorithmic invisibility.</w:t>
      </w:r>
    </w:p>
    <w:p w14:paraId="7ECFBFA1" w14:textId="5030A2F6" w:rsidR="006210CD" w:rsidRDefault="00A94853" w:rsidP="001C1CFB">
      <w:pPr>
        <w:spacing w:line="360" w:lineRule="auto"/>
        <w:jc w:val="both"/>
        <w:rPr>
          <w:rFonts w:ascii="Arial" w:hAnsi="Arial" w:cs="Arial"/>
        </w:rPr>
      </w:pPr>
      <w:r w:rsidRPr="001C1CFB">
        <w:rPr>
          <w:rFonts w:ascii="Arial" w:hAnsi="Arial" w:cs="Arial"/>
        </w:rPr>
        <w:t xml:space="preserve">2. </w:t>
      </w:r>
      <w:r w:rsidR="006210CD" w:rsidRPr="001C1CFB">
        <w:rPr>
          <w:rFonts w:ascii="Arial" w:hAnsi="Arial" w:cs="Arial"/>
        </w:rPr>
        <w:t>Platform monetisation centralisation. Platforms bundle commerce, payments and analytics, reducing creators’ direct control (GlobalData Plc., 2025d). Centralisation shifts bargaining power toward platforms.</w:t>
      </w:r>
      <w:r w:rsidR="00356980" w:rsidRPr="001C1CFB">
        <w:rPr>
          <w:rFonts w:ascii="Arial" w:hAnsi="Arial" w:cs="Arial"/>
        </w:rPr>
        <w:t xml:space="preserve"> </w:t>
      </w:r>
      <w:r w:rsidR="006210CD" w:rsidRPr="001C1CFB">
        <w:rPr>
          <w:rFonts w:ascii="Arial" w:hAnsi="Arial" w:cs="Arial"/>
        </w:rPr>
        <w:t>Creators may earn more from platform features but lose negotiating power with brands and platforms.  GlobalData Plc. (2025d) reports growth in social shopping and platform commerce.</w:t>
      </w:r>
    </w:p>
    <w:p w14:paraId="332B6340" w14:textId="77777777" w:rsidR="00801A01" w:rsidRPr="001C1CFB" w:rsidRDefault="00801A01" w:rsidP="001C1CFB">
      <w:pPr>
        <w:spacing w:line="360" w:lineRule="auto"/>
        <w:jc w:val="both"/>
        <w:rPr>
          <w:rFonts w:ascii="Arial" w:hAnsi="Arial" w:cs="Arial"/>
        </w:rPr>
      </w:pPr>
    </w:p>
    <w:p w14:paraId="7B82316E" w14:textId="77777777" w:rsidR="006210CD" w:rsidRPr="001C1CFB" w:rsidRDefault="006210CD" w:rsidP="001C1CFB">
      <w:pPr>
        <w:spacing w:line="360" w:lineRule="auto"/>
        <w:jc w:val="both"/>
        <w:rPr>
          <w:rFonts w:ascii="Arial" w:hAnsi="Arial" w:cs="Arial"/>
          <w:b/>
          <w:bCs/>
        </w:rPr>
      </w:pPr>
      <w:r w:rsidRPr="001C1CFB">
        <w:rPr>
          <w:rFonts w:ascii="Arial" w:hAnsi="Arial" w:cs="Arial"/>
          <w:b/>
          <w:bCs/>
        </w:rPr>
        <w:lastRenderedPageBreak/>
        <w:t>State</w:t>
      </w:r>
    </w:p>
    <w:p w14:paraId="6B4B3836" w14:textId="6452AFBB" w:rsidR="006210CD" w:rsidRPr="001C1CFB" w:rsidRDefault="006210CD" w:rsidP="001C1CFB">
      <w:pPr>
        <w:spacing w:line="360" w:lineRule="auto"/>
        <w:jc w:val="both"/>
        <w:rPr>
          <w:rFonts w:ascii="Arial" w:hAnsi="Arial" w:cs="Arial"/>
        </w:rPr>
      </w:pPr>
      <w:r w:rsidRPr="001C1CFB">
        <w:rPr>
          <w:rFonts w:ascii="Arial" w:hAnsi="Arial" w:cs="Arial"/>
        </w:rPr>
        <w:t>Volatile algorithmic visibility and market concentration. The platform environment shows rapid shifts in who is visible and which formats succeed (Duffy and Meisner, 2023; Libai et al., 2025).</w:t>
      </w:r>
      <w:r w:rsidR="00EB1AE6" w:rsidRPr="001C1CFB">
        <w:rPr>
          <w:rFonts w:ascii="Arial" w:hAnsi="Arial" w:cs="Arial"/>
        </w:rPr>
        <w:t xml:space="preserve"> </w:t>
      </w:r>
      <w:r w:rsidRPr="001C1CFB">
        <w:rPr>
          <w:rFonts w:ascii="Arial" w:hAnsi="Arial" w:cs="Arial"/>
        </w:rPr>
        <w:t>Volatility makes income unpredictable and planning hard for creators.</w:t>
      </w:r>
      <w:r w:rsidR="00356980" w:rsidRPr="001C1CFB">
        <w:rPr>
          <w:rFonts w:ascii="Arial" w:hAnsi="Arial" w:cs="Arial"/>
        </w:rPr>
        <w:t xml:space="preserve"> </w:t>
      </w:r>
      <w:r w:rsidRPr="001C1CFB">
        <w:rPr>
          <w:rFonts w:ascii="Arial" w:hAnsi="Arial" w:cs="Arial"/>
        </w:rPr>
        <w:t>Many creators face income instabilit</w:t>
      </w:r>
      <w:r w:rsidR="00A94853" w:rsidRPr="001C1CFB">
        <w:rPr>
          <w:rFonts w:ascii="Arial" w:hAnsi="Arial" w:cs="Arial"/>
        </w:rPr>
        <w:t>y, a</w:t>
      </w:r>
      <w:r w:rsidR="00A94853" w:rsidRPr="001C1CFB">
        <w:rPr>
          <w:rFonts w:ascii="Arial" w:hAnsi="Arial" w:cs="Arial"/>
        </w:rPr>
        <w:t>t the same time, competition continues to increase because AI tools allow more users to produce professional-looking content with fewer resources, making long-term sustainability more difficult.</w:t>
      </w:r>
    </w:p>
    <w:p w14:paraId="3FB84EB4" w14:textId="77777777" w:rsidR="006210CD" w:rsidRPr="001C1CFB" w:rsidRDefault="006210CD" w:rsidP="001C1CFB">
      <w:pPr>
        <w:spacing w:line="360" w:lineRule="auto"/>
        <w:jc w:val="both"/>
        <w:rPr>
          <w:rFonts w:ascii="Arial" w:hAnsi="Arial" w:cs="Arial"/>
          <w:b/>
          <w:bCs/>
        </w:rPr>
      </w:pPr>
      <w:r w:rsidRPr="001C1CFB">
        <w:rPr>
          <w:rFonts w:ascii="Arial" w:hAnsi="Arial" w:cs="Arial"/>
          <w:b/>
          <w:bCs/>
        </w:rPr>
        <w:t>Impacts</w:t>
      </w:r>
    </w:p>
    <w:p w14:paraId="4F182EC4" w14:textId="3A524D78" w:rsidR="00356980" w:rsidRDefault="00A94853" w:rsidP="001C1CFB">
      <w:pPr>
        <w:spacing w:line="360" w:lineRule="auto"/>
        <w:jc w:val="both"/>
        <w:rPr>
          <w:rFonts w:ascii="Arial" w:hAnsi="Arial" w:cs="Arial"/>
        </w:rPr>
      </w:pPr>
      <w:r w:rsidRPr="001C1CFB">
        <w:rPr>
          <w:rFonts w:ascii="Arial" w:hAnsi="Arial" w:cs="Arial"/>
        </w:rPr>
        <w:t xml:space="preserve">1. </w:t>
      </w:r>
      <w:r w:rsidR="006210CD" w:rsidRPr="001C1CFB">
        <w:rPr>
          <w:rFonts w:ascii="Arial" w:hAnsi="Arial" w:cs="Arial"/>
        </w:rPr>
        <w:t xml:space="preserve">Reduced bargaining power and income instability. As platforms centralise monetisation and visibility </w:t>
      </w:r>
      <w:r w:rsidR="00856179" w:rsidRPr="001C1CFB">
        <w:rPr>
          <w:rFonts w:ascii="Arial" w:hAnsi="Arial" w:cs="Arial"/>
        </w:rPr>
        <w:t>fluctuate</w:t>
      </w:r>
      <w:r w:rsidR="006210CD" w:rsidRPr="001C1CFB">
        <w:rPr>
          <w:rFonts w:ascii="Arial" w:hAnsi="Arial" w:cs="Arial"/>
        </w:rPr>
        <w:t>, creators lose leverage with brands and platforms (Libai et al., 2025). Lower bargaining power reduces long</w:t>
      </w:r>
      <w:r w:rsidR="006210CD" w:rsidRPr="001C1CFB">
        <w:rPr>
          <w:rFonts w:ascii="Arial" w:hAnsi="Arial" w:cs="Arial"/>
        </w:rPr>
        <w:noBreakHyphen/>
        <w:t>term career viability. </w:t>
      </w:r>
    </w:p>
    <w:p w14:paraId="1CB01633" w14:textId="74E88943" w:rsidR="006210CD" w:rsidRPr="001C1CFB" w:rsidRDefault="006210CD" w:rsidP="001C1CFB">
      <w:pPr>
        <w:spacing w:line="360" w:lineRule="auto"/>
        <w:jc w:val="both"/>
        <w:rPr>
          <w:rFonts w:ascii="Arial" w:hAnsi="Arial" w:cs="Arial"/>
        </w:rPr>
      </w:pPr>
      <w:r w:rsidRPr="001C1CFB">
        <w:rPr>
          <w:rFonts w:ascii="Arial" w:hAnsi="Arial" w:cs="Arial"/>
        </w:rPr>
        <w:t>Fewer sustainable creator careers; higher churn and talent loss.  Libai et al. (2025); Pan et al. (2024) on variable effectiveness.</w:t>
      </w:r>
    </w:p>
    <w:p w14:paraId="2A506EF5" w14:textId="2A3DDBB8" w:rsidR="006210CD" w:rsidRPr="001C1CFB" w:rsidRDefault="00A94853" w:rsidP="001C1CFB">
      <w:pPr>
        <w:spacing w:line="360" w:lineRule="auto"/>
        <w:jc w:val="both"/>
        <w:rPr>
          <w:rFonts w:ascii="Arial" w:hAnsi="Arial" w:cs="Arial"/>
        </w:rPr>
      </w:pPr>
      <w:r w:rsidRPr="001C1CFB">
        <w:rPr>
          <w:rFonts w:ascii="Arial" w:hAnsi="Arial" w:cs="Arial"/>
        </w:rPr>
        <w:t xml:space="preserve">2. </w:t>
      </w:r>
      <w:r w:rsidR="006210CD" w:rsidRPr="001C1CFB">
        <w:rPr>
          <w:rFonts w:ascii="Arial" w:hAnsi="Arial" w:cs="Arial"/>
        </w:rPr>
        <w:t xml:space="preserve"> Trust and authenticity challenges. AI content and virtual influencers can erode trust if disclosure is weak (Allal</w:t>
      </w:r>
      <w:r w:rsidR="006210CD" w:rsidRPr="001C1CFB">
        <w:rPr>
          <w:rFonts w:ascii="Arial" w:hAnsi="Arial" w:cs="Arial"/>
        </w:rPr>
        <w:noBreakHyphen/>
        <w:t>Chérif et al., 2023; Sands et al., 2022). </w:t>
      </w:r>
      <w:r w:rsidR="00EB1AE6" w:rsidRPr="001C1CFB">
        <w:rPr>
          <w:rFonts w:ascii="Arial" w:hAnsi="Arial" w:cs="Arial"/>
        </w:rPr>
        <w:t xml:space="preserve"> </w:t>
      </w:r>
      <w:r w:rsidR="006210CD" w:rsidRPr="001C1CFB">
        <w:rPr>
          <w:rFonts w:ascii="Arial" w:hAnsi="Arial" w:cs="Arial"/>
        </w:rPr>
        <w:t xml:space="preserve">Trust </w:t>
      </w:r>
      <w:r w:rsidR="00403D54" w:rsidRPr="00403D54">
        <w:rPr>
          <w:rFonts w:ascii="Arial" w:hAnsi="Arial" w:cs="Arial"/>
        </w:rPr>
        <w:t>consumer belief</w:t>
      </w:r>
      <w:r w:rsidR="00403D54" w:rsidRPr="00403D54">
        <w:rPr>
          <w:rFonts w:ascii="Arial" w:hAnsi="Arial" w:cs="Arial"/>
        </w:rPr>
        <w:t xml:space="preserve"> </w:t>
      </w:r>
      <w:r w:rsidR="006210CD" w:rsidRPr="001C1CFB">
        <w:rPr>
          <w:rFonts w:ascii="Arial" w:hAnsi="Arial" w:cs="Arial"/>
        </w:rPr>
        <w:t>engagement and brand partnerships.</w:t>
      </w:r>
      <w:r w:rsidR="00356980" w:rsidRPr="001C1CFB">
        <w:rPr>
          <w:rFonts w:ascii="Arial" w:hAnsi="Arial" w:cs="Arial"/>
        </w:rPr>
        <w:t xml:space="preserve"> </w:t>
      </w:r>
      <w:r w:rsidR="006210CD" w:rsidRPr="001C1CFB">
        <w:rPr>
          <w:rFonts w:ascii="Arial" w:hAnsi="Arial" w:cs="Arial"/>
        </w:rPr>
        <w:t>Loss of trust reduces monetisation opportunities for human creators. Allal</w:t>
      </w:r>
      <w:r w:rsidR="006210CD" w:rsidRPr="001C1CFB">
        <w:rPr>
          <w:rFonts w:ascii="Arial" w:hAnsi="Arial" w:cs="Arial"/>
        </w:rPr>
        <w:noBreakHyphen/>
        <w:t>Chérif et al. (2023) discuss AI influencers outperforming humans in some metrics.</w:t>
      </w:r>
    </w:p>
    <w:p w14:paraId="6B9A37A5" w14:textId="77777777" w:rsidR="006210CD" w:rsidRPr="001C1CFB" w:rsidRDefault="006210CD" w:rsidP="001C1CFB">
      <w:pPr>
        <w:spacing w:line="360" w:lineRule="auto"/>
        <w:jc w:val="both"/>
        <w:rPr>
          <w:rFonts w:ascii="Arial" w:hAnsi="Arial" w:cs="Arial"/>
          <w:b/>
          <w:bCs/>
        </w:rPr>
      </w:pPr>
      <w:r w:rsidRPr="001C1CFB">
        <w:rPr>
          <w:rFonts w:ascii="Arial" w:hAnsi="Arial" w:cs="Arial"/>
          <w:b/>
          <w:bCs/>
        </w:rPr>
        <w:t>Responses</w:t>
      </w:r>
    </w:p>
    <w:p w14:paraId="3A2F8676" w14:textId="77777777" w:rsidR="001C349E" w:rsidRDefault="00A94853" w:rsidP="001C1CFB">
      <w:pPr>
        <w:spacing w:line="360" w:lineRule="auto"/>
        <w:jc w:val="both"/>
        <w:rPr>
          <w:rFonts w:ascii="Arial" w:hAnsi="Arial" w:cs="Arial"/>
        </w:rPr>
      </w:pPr>
      <w:r w:rsidRPr="001C1CFB">
        <w:rPr>
          <w:rFonts w:ascii="Arial" w:hAnsi="Arial" w:cs="Arial"/>
        </w:rPr>
        <w:t>1.</w:t>
      </w:r>
      <w:r w:rsidR="006210CD" w:rsidRPr="001C1CFB">
        <w:rPr>
          <w:rFonts w:ascii="Arial" w:hAnsi="Arial" w:cs="Arial"/>
        </w:rPr>
        <w:t xml:space="preserve"> Platform tools and creator education. Platforms add monetisation features and creators learn optimisation skills (GlobalData Plc., 2025d; Preston and Mujahid, 2025). These are adaptive responses that help some creators but do not change structural incentives. </w:t>
      </w:r>
    </w:p>
    <w:p w14:paraId="16559BAC" w14:textId="17E6BDA3" w:rsidR="006210CD" w:rsidRPr="001C1CFB" w:rsidRDefault="006210CD" w:rsidP="001C1CFB">
      <w:pPr>
        <w:spacing w:line="360" w:lineRule="auto"/>
        <w:jc w:val="both"/>
        <w:rPr>
          <w:rFonts w:ascii="Arial" w:hAnsi="Arial" w:cs="Arial"/>
        </w:rPr>
      </w:pPr>
      <w:r w:rsidRPr="001C1CFB">
        <w:rPr>
          <w:rFonts w:ascii="Arial" w:hAnsi="Arial" w:cs="Arial"/>
        </w:rPr>
        <w:t>Short</w:t>
      </w:r>
      <w:r w:rsidRPr="001C1CFB">
        <w:rPr>
          <w:rFonts w:ascii="Arial" w:hAnsi="Arial" w:cs="Arial"/>
        </w:rPr>
        <w:noBreakHyphen/>
        <w:t>term relief for some; long</w:t>
      </w:r>
      <w:r w:rsidRPr="001C1CFB">
        <w:rPr>
          <w:rFonts w:ascii="Arial" w:hAnsi="Arial" w:cs="Arial"/>
        </w:rPr>
        <w:noBreakHyphen/>
        <w:t>term concentration may persist.  GlobalData reports and industry webinars (Preston and Mujahid, 2025).</w:t>
      </w:r>
    </w:p>
    <w:p w14:paraId="6D41CA28" w14:textId="0A05D815" w:rsidR="006210CD" w:rsidRPr="001C1CFB" w:rsidRDefault="00A94853" w:rsidP="001C1CFB">
      <w:pPr>
        <w:spacing w:line="360" w:lineRule="auto"/>
        <w:jc w:val="both"/>
        <w:rPr>
          <w:rFonts w:ascii="Arial" w:hAnsi="Arial" w:cs="Arial"/>
        </w:rPr>
      </w:pPr>
      <w:r w:rsidRPr="001C1CFB">
        <w:rPr>
          <w:rFonts w:ascii="Arial" w:hAnsi="Arial" w:cs="Arial"/>
        </w:rPr>
        <w:t xml:space="preserve">2. </w:t>
      </w:r>
      <w:r w:rsidR="006210CD" w:rsidRPr="001C1CFB">
        <w:rPr>
          <w:rFonts w:ascii="Arial" w:hAnsi="Arial" w:cs="Arial"/>
        </w:rPr>
        <w:t>Calls for transparency and regulation. Industry and regulators push for disclosure and algorithmic accountability (Duffy and Meisner, 2023; European Union, 2022). Transparency could rebalance power and protect trust.</w:t>
      </w:r>
      <w:r w:rsidR="001C349E" w:rsidRPr="001C1CFB">
        <w:rPr>
          <w:rFonts w:ascii="Arial" w:hAnsi="Arial" w:cs="Arial"/>
        </w:rPr>
        <w:t xml:space="preserve"> </w:t>
      </w:r>
      <w:r w:rsidR="006210CD" w:rsidRPr="001C1CFB">
        <w:rPr>
          <w:rFonts w:ascii="Arial" w:hAnsi="Arial" w:cs="Arial"/>
        </w:rPr>
        <w:t>If implemented well, it may stabilise incomes and protect authenticity; if poorly designed, it could raise costs.  DSA (European Union, 2022) sets new rules; Duffy and Meisner (2023) show creators’ governance concerns.</w:t>
      </w:r>
    </w:p>
    <w:p w14:paraId="6BA18ABD" w14:textId="77777777" w:rsidR="006210CD" w:rsidRPr="001C1CFB" w:rsidRDefault="006210CD" w:rsidP="001C1CFB">
      <w:pPr>
        <w:spacing w:line="360" w:lineRule="auto"/>
        <w:jc w:val="both"/>
        <w:rPr>
          <w:rFonts w:ascii="Arial" w:hAnsi="Arial" w:cs="Arial"/>
          <w:b/>
          <w:bCs/>
        </w:rPr>
      </w:pPr>
      <w:r w:rsidRPr="001C1CFB">
        <w:rPr>
          <w:rFonts w:ascii="Arial" w:hAnsi="Arial" w:cs="Arial"/>
          <w:b/>
          <w:bCs/>
        </w:rPr>
        <w:t>Future Lens</w:t>
      </w:r>
    </w:p>
    <w:p w14:paraId="2AE187D4" w14:textId="3B2F03E2" w:rsidR="008F48D1" w:rsidRDefault="008F48D1" w:rsidP="001C1CFB">
      <w:pPr>
        <w:spacing w:line="360" w:lineRule="auto"/>
        <w:jc w:val="both"/>
        <w:rPr>
          <w:rFonts w:ascii="Arial" w:hAnsi="Arial" w:cs="Arial"/>
        </w:rPr>
      </w:pPr>
      <w:r w:rsidRPr="008F48D1">
        <w:rPr>
          <w:rFonts w:ascii="Arial" w:hAnsi="Arial" w:cs="Arial"/>
        </w:rPr>
        <w:t xml:space="preserve">Looking ahead, </w:t>
      </w:r>
      <w:r>
        <w:rPr>
          <w:rFonts w:ascii="Arial" w:hAnsi="Arial" w:cs="Arial"/>
        </w:rPr>
        <w:t>the research show,</w:t>
      </w:r>
      <w:r w:rsidRPr="008F48D1">
        <w:rPr>
          <w:rFonts w:ascii="Arial" w:hAnsi="Arial" w:cs="Arial"/>
        </w:rPr>
        <w:t xml:space="preserve"> AI will become part of everyday content creation rather than something exceptional. The biggest challenge may not be AI itself, but how platforms decide which content people </w:t>
      </w:r>
      <w:proofErr w:type="gramStart"/>
      <w:r w:rsidRPr="008F48D1">
        <w:rPr>
          <w:rFonts w:ascii="Arial" w:hAnsi="Arial" w:cs="Arial"/>
        </w:rPr>
        <w:t>actually see</w:t>
      </w:r>
      <w:proofErr w:type="gramEnd"/>
      <w:r w:rsidRPr="008F48D1">
        <w:rPr>
          <w:rFonts w:ascii="Arial" w:hAnsi="Arial" w:cs="Arial"/>
        </w:rPr>
        <w:t>. If algorithms continue rewarding speed over originality, smaller creators could struggle even more to build sustainable careers.</w:t>
      </w:r>
      <w:r w:rsidRPr="008F48D1">
        <w:rPr>
          <w:rFonts w:ascii="Arial" w:hAnsi="Arial" w:cs="Arial"/>
        </w:rPr>
        <w:t xml:space="preserve"> </w:t>
      </w:r>
    </w:p>
    <w:p w14:paraId="2F54625B" w14:textId="3616FC80" w:rsidR="006210CD" w:rsidRPr="001C1CFB" w:rsidRDefault="006210CD" w:rsidP="001C1CFB">
      <w:pPr>
        <w:spacing w:line="360" w:lineRule="auto"/>
        <w:jc w:val="both"/>
        <w:rPr>
          <w:rFonts w:ascii="Arial" w:hAnsi="Arial" w:cs="Arial"/>
        </w:rPr>
      </w:pPr>
      <w:r w:rsidRPr="001C1CFB">
        <w:rPr>
          <w:rFonts w:ascii="Arial" w:hAnsi="Arial" w:cs="Arial"/>
        </w:rPr>
        <w:lastRenderedPageBreak/>
        <w:t>AI will continue to reshape content creation and recommendation. Virtual influencers and AI</w:t>
      </w:r>
      <w:r w:rsidRPr="001C1CFB">
        <w:rPr>
          <w:rFonts w:ascii="Arial" w:hAnsi="Arial" w:cs="Arial"/>
        </w:rPr>
        <w:noBreakHyphen/>
        <w:t>generated content may grow, changing trust dynamics (Allal</w:t>
      </w:r>
      <w:r w:rsidRPr="001C1CFB">
        <w:rPr>
          <w:rFonts w:ascii="Arial" w:hAnsi="Arial" w:cs="Arial"/>
        </w:rPr>
        <w:noBreakHyphen/>
        <w:t>Chérif et al., 2023). Platform governance and algorithmic visibility will remain central; platforms may face stronger regulation that forces transparency but also compliance costs (European Union, 2022). Market saturation will increase competition and lower average incomes unless creators diversify revenue and form collective structures. Creator sustainability depends on balancing AI tools with authentic human value and on governance that protects fair access to visibility. These trends matter because they determine whether the creator economy supports many livelihoods or concentrates value among a few. Evidence comes from industry reports and academic reviews (Libai et al., 2025; GlobalData Plc., 2026; Pan et al., 2024).</w:t>
      </w:r>
    </w:p>
    <w:p w14:paraId="64ECC395" w14:textId="77777777" w:rsidR="006210CD" w:rsidRPr="001C1CFB" w:rsidRDefault="006210CD" w:rsidP="001C1CFB">
      <w:pPr>
        <w:spacing w:line="360" w:lineRule="auto"/>
        <w:jc w:val="both"/>
        <w:rPr>
          <w:rFonts w:ascii="Arial" w:hAnsi="Arial" w:cs="Arial"/>
          <w:b/>
          <w:bCs/>
        </w:rPr>
      </w:pPr>
      <w:r w:rsidRPr="001C1CFB">
        <w:rPr>
          <w:rFonts w:ascii="Arial" w:hAnsi="Arial" w:cs="Arial"/>
          <w:b/>
          <w:bCs/>
        </w:rPr>
        <w:t>Recommendations</w:t>
      </w:r>
    </w:p>
    <w:p w14:paraId="5658AD28" w14:textId="77777777" w:rsidR="00DA1CA3" w:rsidRPr="00DA1CA3" w:rsidRDefault="00DA1CA3" w:rsidP="00DA1CA3">
      <w:pPr>
        <w:spacing w:line="360" w:lineRule="auto"/>
        <w:jc w:val="both"/>
        <w:rPr>
          <w:rFonts w:ascii="Arial" w:hAnsi="Arial" w:cs="Arial"/>
          <w:b/>
          <w:bCs/>
        </w:rPr>
      </w:pPr>
      <w:r w:rsidRPr="00DA1CA3">
        <w:rPr>
          <w:rFonts w:ascii="Arial" w:hAnsi="Arial" w:cs="Arial"/>
          <w:b/>
          <w:bCs/>
        </w:rPr>
        <w:t>Recommendation 1: Improve algorithmic transparency</w:t>
      </w:r>
    </w:p>
    <w:p w14:paraId="2F9AF2C0" w14:textId="0421AFDD" w:rsidR="00DA1CA3" w:rsidRDefault="00DA1CA3" w:rsidP="001C349E">
      <w:pPr>
        <w:spacing w:line="360" w:lineRule="auto"/>
        <w:jc w:val="both"/>
        <w:rPr>
          <w:rFonts w:ascii="Arial" w:hAnsi="Arial" w:cs="Arial"/>
        </w:rPr>
      </w:pPr>
      <w:r w:rsidRPr="00DA1CA3">
        <w:rPr>
          <w:rFonts w:ascii="Arial" w:hAnsi="Arial" w:cs="Arial"/>
        </w:rPr>
        <w:t xml:space="preserve">A useful step would be for digital platforms to share clearer information about how their algorithms decide visibility and monetisation. Many creators feel confused when their content suddenly loses reach, and having basic explanations or standard visibility indicators would help them understand what is happening. With this information, creators could plan their content better and make decisions that support their income. It could also improve trust between creators and platforms, because creators would feel the system is </w:t>
      </w:r>
      <w:proofErr w:type="gramStart"/>
      <w:r w:rsidRPr="00DA1CA3">
        <w:rPr>
          <w:rFonts w:ascii="Arial" w:hAnsi="Arial" w:cs="Arial"/>
        </w:rPr>
        <w:t>more fair</w:t>
      </w:r>
      <w:proofErr w:type="gramEnd"/>
      <w:r w:rsidRPr="00DA1CA3">
        <w:rPr>
          <w:rFonts w:ascii="Arial" w:hAnsi="Arial" w:cs="Arial"/>
        </w:rPr>
        <w:t>. The problem is that platforms might not want to reveal too much, since their algorithms are part of their business advantage. For this reason, future regulation may be needed to encourage more transparency, as discussed by Duffy and Meisner (2023) and in the Digital Services Act (European Union, 2022).</w:t>
      </w:r>
    </w:p>
    <w:p w14:paraId="770EC1B3" w14:textId="1F08BF6B" w:rsidR="00AB14D9" w:rsidRPr="00AB14D9" w:rsidRDefault="00AB14D9" w:rsidP="00DA1CA3">
      <w:pPr>
        <w:spacing w:line="360" w:lineRule="auto"/>
        <w:jc w:val="both"/>
        <w:rPr>
          <w:rFonts w:ascii="Arial" w:hAnsi="Arial" w:cs="Arial"/>
          <w:b/>
          <w:bCs/>
        </w:rPr>
      </w:pPr>
      <w:r w:rsidRPr="00AB14D9">
        <w:rPr>
          <w:rFonts w:ascii="Arial" w:hAnsi="Arial" w:cs="Arial"/>
          <w:b/>
          <w:bCs/>
        </w:rPr>
        <w:t>Recommendation 2: Encourage creator cooperatives</w:t>
      </w:r>
    </w:p>
    <w:p w14:paraId="0D7C0D6E" w14:textId="0F56267A" w:rsidR="00DA1CA3" w:rsidRPr="00DA1CA3" w:rsidRDefault="00DA1CA3" w:rsidP="00DA1CA3">
      <w:pPr>
        <w:spacing w:line="360" w:lineRule="auto"/>
        <w:jc w:val="both"/>
        <w:rPr>
          <w:rFonts w:ascii="Arial" w:hAnsi="Arial" w:cs="Arial"/>
        </w:rPr>
      </w:pPr>
      <w:r w:rsidRPr="00DA1CA3">
        <w:rPr>
          <w:rFonts w:ascii="Arial" w:hAnsi="Arial" w:cs="Arial"/>
        </w:rPr>
        <w:t>Another realistic recommendation is to support creator cooperatives. Many small creators struggle with contracts, legal issues or monetisation tools, and doing everything alone can be expensive and stressful. A cooperative could offer shared services such as legal advice, negotiation support or help with brand deals. Working together would give creators more bargaining power and reduce individual costs. This idea could be supported at the beginning by industry organisations or innovation programmes, so creators do not have to carry all the costs from the start.</w:t>
      </w:r>
    </w:p>
    <w:p w14:paraId="738D8458" w14:textId="2A04131A" w:rsidR="00DA1CA3" w:rsidRDefault="00DA1CA3" w:rsidP="00DA1CA3">
      <w:pPr>
        <w:spacing w:line="360" w:lineRule="auto"/>
        <w:jc w:val="both"/>
        <w:rPr>
          <w:rFonts w:ascii="Arial" w:hAnsi="Arial" w:cs="Arial"/>
        </w:rPr>
      </w:pPr>
      <w:r w:rsidRPr="00DA1CA3">
        <w:rPr>
          <w:rFonts w:ascii="Arial" w:hAnsi="Arial" w:cs="Arial"/>
        </w:rPr>
        <w:t>In the future, it is very likely that creator cooperatives will become more common, especially if the creator economy continues to grow and platforms keep centralising monetisation. If this happens, creators may look for more stable structures to protect their income, and cooperatives could become a normal part of the industry. Of course, coordinating many creators is not easy, and keeping everyone engaged long</w:t>
      </w:r>
      <w:r w:rsidRPr="00DA1CA3">
        <w:rPr>
          <w:rFonts w:ascii="Cambria Math" w:hAnsi="Cambria Math" w:cs="Cambria Math"/>
        </w:rPr>
        <w:t>‑</w:t>
      </w:r>
      <w:r w:rsidRPr="00DA1CA3">
        <w:rPr>
          <w:rFonts w:ascii="Arial" w:hAnsi="Arial" w:cs="Arial"/>
        </w:rPr>
        <w:t xml:space="preserve">term can be challenging. Even so, cooperatives could make the creator </w:t>
      </w:r>
      <w:r w:rsidRPr="00DA1CA3">
        <w:rPr>
          <w:rFonts w:ascii="Arial" w:hAnsi="Arial" w:cs="Arial"/>
        </w:rPr>
        <w:lastRenderedPageBreak/>
        <w:t xml:space="preserve">economy </w:t>
      </w:r>
      <w:proofErr w:type="gramStart"/>
      <w:r w:rsidRPr="00DA1CA3">
        <w:rPr>
          <w:rFonts w:ascii="Arial" w:hAnsi="Arial" w:cs="Arial"/>
        </w:rPr>
        <w:t>more sustainable and fair</w:t>
      </w:r>
      <w:proofErr w:type="gramEnd"/>
      <w:r w:rsidRPr="00DA1CA3">
        <w:rPr>
          <w:rFonts w:ascii="Arial" w:hAnsi="Arial" w:cs="Arial"/>
        </w:rPr>
        <w:t>, especially for smaller creators who often have fewer resources (Libai et al., 2025).</w:t>
      </w:r>
    </w:p>
    <w:p w14:paraId="60ADD301" w14:textId="3939A576" w:rsidR="006210CD" w:rsidRPr="001C1CFB" w:rsidRDefault="006210CD" w:rsidP="00DA1CA3">
      <w:pPr>
        <w:spacing w:line="360" w:lineRule="auto"/>
        <w:jc w:val="both"/>
        <w:rPr>
          <w:rFonts w:ascii="Arial" w:hAnsi="Arial" w:cs="Arial"/>
          <w:b/>
          <w:bCs/>
        </w:rPr>
      </w:pPr>
      <w:r w:rsidRPr="001C1CFB">
        <w:rPr>
          <w:rFonts w:ascii="Arial" w:hAnsi="Arial" w:cs="Arial"/>
          <w:b/>
          <w:bCs/>
        </w:rPr>
        <w:t>Conclusion</w:t>
      </w:r>
    </w:p>
    <w:p w14:paraId="5EB3EF2A" w14:textId="4816B7AE" w:rsidR="003C6472" w:rsidRDefault="006210CD" w:rsidP="00801A01">
      <w:pPr>
        <w:spacing w:line="360" w:lineRule="auto"/>
        <w:jc w:val="both"/>
        <w:rPr>
          <w:rFonts w:ascii="Arial" w:hAnsi="Arial" w:cs="Arial"/>
        </w:rPr>
      </w:pPr>
      <w:r w:rsidRPr="001C1CFB">
        <w:rPr>
          <w:rFonts w:ascii="Arial" w:hAnsi="Arial" w:cs="Arial"/>
        </w:rPr>
        <w:t xml:space="preserve">External factors—especially AI and platform governance—will continue to shape who succeeds in the creator </w:t>
      </w:r>
      <w:r w:rsidR="001C349E">
        <w:rPr>
          <w:rFonts w:ascii="Arial" w:hAnsi="Arial" w:cs="Arial"/>
        </w:rPr>
        <w:t>econom</w:t>
      </w:r>
      <w:r w:rsidRPr="001C1CFB">
        <w:rPr>
          <w:rFonts w:ascii="Arial" w:hAnsi="Arial" w:cs="Arial"/>
        </w:rPr>
        <w:t xml:space="preserve">y. The DPSIR analysis shows a causal chain from drivers to responses and highlights that current responses are mostly adaptive, not preventive. </w:t>
      </w:r>
      <w:r w:rsidR="008A1400" w:rsidRPr="008A1400">
        <w:rPr>
          <w:rFonts w:ascii="Arial" w:hAnsi="Arial" w:cs="Arial"/>
        </w:rPr>
        <w:t xml:space="preserve">this is significant </w:t>
      </w:r>
      <w:r w:rsidR="008A1400" w:rsidRPr="008A1400">
        <w:rPr>
          <w:rFonts w:ascii="Arial" w:hAnsi="Arial" w:cs="Arial"/>
        </w:rPr>
        <w:t xml:space="preserve">cause </w:t>
      </w:r>
      <w:r w:rsidRPr="001C1CFB">
        <w:rPr>
          <w:rFonts w:ascii="Arial" w:hAnsi="Arial" w:cs="Arial"/>
        </w:rPr>
        <w:t xml:space="preserve">without structural change, income concentration and instability will persist. The two recommendations aim to rebalance power and improve creator sustainability. If platforms, regulators and creators act together, the creator economy </w:t>
      </w:r>
      <w:r w:rsidR="007429D7" w:rsidRPr="001C1CFB">
        <w:rPr>
          <w:rFonts w:ascii="Arial" w:hAnsi="Arial" w:cs="Arial"/>
        </w:rPr>
        <w:t>can continue creating economic value while offering more sustainable opportunities for both established and emerging creators.</w:t>
      </w:r>
    </w:p>
    <w:p w14:paraId="2B7A69B6" w14:textId="77777777" w:rsidR="003117B6" w:rsidRDefault="003117B6" w:rsidP="00801A01">
      <w:pPr>
        <w:spacing w:line="360" w:lineRule="auto"/>
        <w:jc w:val="both"/>
        <w:rPr>
          <w:rFonts w:ascii="Arial" w:hAnsi="Arial" w:cs="Arial"/>
        </w:rPr>
      </w:pPr>
    </w:p>
    <w:p w14:paraId="443FFC5C" w14:textId="77777777" w:rsidR="003117B6" w:rsidRDefault="003117B6" w:rsidP="00801A01">
      <w:pPr>
        <w:spacing w:line="360" w:lineRule="auto"/>
        <w:jc w:val="both"/>
        <w:rPr>
          <w:rFonts w:ascii="Arial" w:hAnsi="Arial" w:cs="Arial"/>
        </w:rPr>
      </w:pPr>
    </w:p>
    <w:p w14:paraId="41023AB5" w14:textId="77777777" w:rsidR="003117B6" w:rsidRDefault="003117B6" w:rsidP="00801A01">
      <w:pPr>
        <w:spacing w:line="360" w:lineRule="auto"/>
        <w:jc w:val="both"/>
        <w:rPr>
          <w:rFonts w:ascii="Arial" w:hAnsi="Arial" w:cs="Arial"/>
        </w:rPr>
      </w:pPr>
    </w:p>
    <w:p w14:paraId="5DE5AFBE" w14:textId="77777777" w:rsidR="003117B6" w:rsidRDefault="003117B6" w:rsidP="00801A01">
      <w:pPr>
        <w:spacing w:line="360" w:lineRule="auto"/>
        <w:jc w:val="both"/>
        <w:rPr>
          <w:rFonts w:ascii="Arial" w:hAnsi="Arial" w:cs="Arial"/>
        </w:rPr>
      </w:pPr>
    </w:p>
    <w:p w14:paraId="792AF257" w14:textId="77777777" w:rsidR="003117B6" w:rsidRDefault="003117B6" w:rsidP="00801A01">
      <w:pPr>
        <w:spacing w:line="360" w:lineRule="auto"/>
        <w:jc w:val="both"/>
        <w:rPr>
          <w:rFonts w:ascii="Arial" w:hAnsi="Arial" w:cs="Arial"/>
        </w:rPr>
      </w:pPr>
    </w:p>
    <w:p w14:paraId="357BC7D5" w14:textId="77777777" w:rsidR="003117B6" w:rsidRDefault="003117B6" w:rsidP="00801A01">
      <w:pPr>
        <w:spacing w:line="360" w:lineRule="auto"/>
        <w:jc w:val="both"/>
        <w:rPr>
          <w:rFonts w:ascii="Arial" w:hAnsi="Arial" w:cs="Arial"/>
        </w:rPr>
      </w:pPr>
    </w:p>
    <w:p w14:paraId="747276E6" w14:textId="77777777" w:rsidR="003117B6" w:rsidRDefault="003117B6" w:rsidP="00801A01">
      <w:pPr>
        <w:spacing w:line="360" w:lineRule="auto"/>
        <w:jc w:val="both"/>
        <w:rPr>
          <w:rFonts w:ascii="Arial" w:hAnsi="Arial" w:cs="Arial"/>
        </w:rPr>
      </w:pPr>
    </w:p>
    <w:p w14:paraId="7DB8E01F" w14:textId="77777777" w:rsidR="003117B6" w:rsidRDefault="003117B6" w:rsidP="00801A01">
      <w:pPr>
        <w:spacing w:line="360" w:lineRule="auto"/>
        <w:jc w:val="both"/>
        <w:rPr>
          <w:rFonts w:ascii="Arial" w:hAnsi="Arial" w:cs="Arial"/>
        </w:rPr>
      </w:pPr>
    </w:p>
    <w:p w14:paraId="5FC1B81A" w14:textId="77777777" w:rsidR="003117B6" w:rsidRDefault="003117B6" w:rsidP="00801A01">
      <w:pPr>
        <w:spacing w:line="360" w:lineRule="auto"/>
        <w:jc w:val="both"/>
        <w:rPr>
          <w:rFonts w:ascii="Arial" w:hAnsi="Arial" w:cs="Arial"/>
        </w:rPr>
      </w:pPr>
    </w:p>
    <w:p w14:paraId="6CB44C6F" w14:textId="77777777" w:rsidR="003117B6" w:rsidRDefault="003117B6" w:rsidP="00801A01">
      <w:pPr>
        <w:spacing w:line="360" w:lineRule="auto"/>
        <w:jc w:val="both"/>
        <w:rPr>
          <w:rFonts w:ascii="Arial" w:hAnsi="Arial" w:cs="Arial"/>
        </w:rPr>
      </w:pPr>
    </w:p>
    <w:p w14:paraId="01AE5479" w14:textId="77777777" w:rsidR="003117B6" w:rsidRDefault="003117B6" w:rsidP="00801A01">
      <w:pPr>
        <w:spacing w:line="360" w:lineRule="auto"/>
        <w:jc w:val="both"/>
        <w:rPr>
          <w:rFonts w:ascii="Arial" w:hAnsi="Arial" w:cs="Arial"/>
        </w:rPr>
      </w:pPr>
    </w:p>
    <w:p w14:paraId="3AF82751" w14:textId="77777777" w:rsidR="003117B6" w:rsidRDefault="003117B6" w:rsidP="00801A01">
      <w:pPr>
        <w:spacing w:line="360" w:lineRule="auto"/>
        <w:jc w:val="both"/>
        <w:rPr>
          <w:rFonts w:ascii="Arial" w:hAnsi="Arial" w:cs="Arial"/>
        </w:rPr>
      </w:pPr>
    </w:p>
    <w:p w14:paraId="44743DB3" w14:textId="77777777" w:rsidR="003117B6" w:rsidRDefault="003117B6" w:rsidP="00801A01">
      <w:pPr>
        <w:spacing w:line="360" w:lineRule="auto"/>
        <w:jc w:val="both"/>
        <w:rPr>
          <w:rFonts w:ascii="Arial" w:hAnsi="Arial" w:cs="Arial"/>
        </w:rPr>
      </w:pPr>
    </w:p>
    <w:p w14:paraId="7212D8CC" w14:textId="77777777" w:rsidR="003117B6" w:rsidRDefault="003117B6" w:rsidP="00801A01">
      <w:pPr>
        <w:spacing w:line="360" w:lineRule="auto"/>
        <w:jc w:val="both"/>
        <w:rPr>
          <w:rFonts w:ascii="Arial" w:hAnsi="Arial" w:cs="Arial"/>
        </w:rPr>
      </w:pPr>
    </w:p>
    <w:p w14:paraId="11C5C8DE" w14:textId="77777777" w:rsidR="003117B6" w:rsidRDefault="003117B6" w:rsidP="00801A01">
      <w:pPr>
        <w:spacing w:line="360" w:lineRule="auto"/>
        <w:jc w:val="both"/>
        <w:rPr>
          <w:rFonts w:ascii="Arial" w:hAnsi="Arial" w:cs="Arial"/>
        </w:rPr>
      </w:pPr>
    </w:p>
    <w:p w14:paraId="7F641356" w14:textId="77777777" w:rsidR="003117B6" w:rsidRDefault="003117B6" w:rsidP="00801A01">
      <w:pPr>
        <w:spacing w:line="360" w:lineRule="auto"/>
        <w:jc w:val="both"/>
        <w:rPr>
          <w:rFonts w:ascii="Arial" w:hAnsi="Arial" w:cs="Arial"/>
        </w:rPr>
      </w:pPr>
    </w:p>
    <w:p w14:paraId="5E335BC8" w14:textId="77777777" w:rsidR="003117B6" w:rsidRDefault="003117B6" w:rsidP="00801A01">
      <w:pPr>
        <w:spacing w:line="360" w:lineRule="auto"/>
        <w:jc w:val="both"/>
        <w:rPr>
          <w:rFonts w:ascii="Arial" w:hAnsi="Arial" w:cs="Arial"/>
        </w:rPr>
      </w:pPr>
    </w:p>
    <w:p w14:paraId="1E078C85" w14:textId="77777777" w:rsidR="003117B6" w:rsidRPr="00801A01" w:rsidRDefault="003117B6" w:rsidP="00801A01">
      <w:pPr>
        <w:spacing w:line="360" w:lineRule="auto"/>
        <w:jc w:val="both"/>
        <w:rPr>
          <w:rFonts w:ascii="Arial" w:hAnsi="Arial" w:cs="Arial"/>
        </w:rPr>
      </w:pPr>
    </w:p>
    <w:p w14:paraId="2C7B7128" w14:textId="559C0D38" w:rsidR="00F35E45" w:rsidRPr="007F2E87" w:rsidRDefault="00F35E45" w:rsidP="007F2E87">
      <w:pPr>
        <w:spacing w:after="240" w:line="360" w:lineRule="auto"/>
        <w:rPr>
          <w:rFonts w:ascii="Arial" w:eastAsia="Times New Roman" w:hAnsi="Arial" w:cs="Arial"/>
          <w:b/>
          <w:bCs/>
          <w:kern w:val="0"/>
          <w:lang w:eastAsia="en-GB"/>
          <w14:ligatures w14:val="none"/>
        </w:rPr>
      </w:pPr>
      <w:r w:rsidRPr="007F2E87">
        <w:rPr>
          <w:rFonts w:ascii="Arial" w:eastAsia="Times New Roman" w:hAnsi="Arial" w:cs="Arial"/>
          <w:b/>
          <w:bCs/>
          <w:kern w:val="0"/>
          <w:lang w:eastAsia="en-GB"/>
          <w14:ligatures w14:val="none"/>
        </w:rPr>
        <w:lastRenderedPageBreak/>
        <w:t>Reference list</w:t>
      </w:r>
    </w:p>
    <w:p w14:paraId="16B0E5D3" w14:textId="77777777" w:rsidR="00F35E45" w:rsidRPr="007F2E87" w:rsidRDefault="00F35E45" w:rsidP="007F2E87">
      <w:pPr>
        <w:spacing w:after="240" w:line="360" w:lineRule="auto"/>
        <w:rPr>
          <w:rFonts w:ascii="Arial" w:eastAsia="Times New Roman" w:hAnsi="Arial" w:cs="Arial"/>
          <w:kern w:val="0"/>
          <w:lang w:eastAsia="en-GB"/>
          <w14:ligatures w14:val="none"/>
        </w:rPr>
      </w:pPr>
      <w:r w:rsidRPr="007F2E87">
        <w:rPr>
          <w:rFonts w:ascii="Arial" w:eastAsia="Times New Roman" w:hAnsi="Arial" w:cs="Arial"/>
          <w:kern w:val="0"/>
          <w:lang w:eastAsia="en-GB"/>
          <w14:ligatures w14:val="none"/>
        </w:rPr>
        <w:t xml:space="preserve">Allal-Chérif, O., Puertas, R. and Carracedo, P. (2023). Intelligent influencer marketing: How AI-powered virtual influencers outperform human influencers. </w:t>
      </w:r>
      <w:r w:rsidRPr="007F2E87">
        <w:rPr>
          <w:rFonts w:ascii="Arial" w:eastAsia="Times New Roman" w:hAnsi="Arial" w:cs="Arial"/>
          <w:i/>
          <w:iCs/>
          <w:kern w:val="0"/>
          <w:lang w:eastAsia="en-GB"/>
          <w14:ligatures w14:val="none"/>
        </w:rPr>
        <w:t>Technological Forecasting &amp; Social Change</w:t>
      </w:r>
      <w:r w:rsidRPr="007F2E87">
        <w:rPr>
          <w:rFonts w:ascii="Arial" w:eastAsia="Times New Roman" w:hAnsi="Arial" w:cs="Arial"/>
          <w:kern w:val="0"/>
          <w:lang w:eastAsia="en-GB"/>
          <w14:ligatures w14:val="none"/>
        </w:rPr>
        <w:t>. [online] Available at: http://www.elsevier.com/locate/techfore [Accessed 10 July 2026].</w:t>
      </w:r>
    </w:p>
    <w:p w14:paraId="1B6D7E69" w14:textId="77777777" w:rsidR="00F35E45" w:rsidRPr="007F2E87" w:rsidRDefault="00F35E45" w:rsidP="007F2E87">
      <w:pPr>
        <w:spacing w:after="240" w:line="360" w:lineRule="auto"/>
        <w:rPr>
          <w:rFonts w:ascii="Arial" w:eastAsia="Times New Roman" w:hAnsi="Arial" w:cs="Arial"/>
          <w:kern w:val="0"/>
          <w:lang w:eastAsia="en-GB"/>
          <w14:ligatures w14:val="none"/>
        </w:rPr>
      </w:pPr>
      <w:r w:rsidRPr="007F2E87">
        <w:rPr>
          <w:rFonts w:ascii="Arial" w:eastAsia="Times New Roman" w:hAnsi="Arial" w:cs="Arial"/>
          <w:kern w:val="0"/>
          <w:lang w:eastAsia="en-GB"/>
          <w14:ligatures w14:val="none"/>
        </w:rPr>
        <w:t xml:space="preserve">Belanche, D., Casaló, L.V., Flavián, M. and Ibáñez-Sánchez, S. (2021). Understanding influencer marketing: The role of congruence between influencers, products and consumers. </w:t>
      </w:r>
      <w:r w:rsidRPr="007F2E87">
        <w:rPr>
          <w:rFonts w:ascii="Arial" w:eastAsia="Times New Roman" w:hAnsi="Arial" w:cs="Arial"/>
          <w:i/>
          <w:iCs/>
          <w:kern w:val="0"/>
          <w:lang w:eastAsia="en-GB"/>
          <w14:ligatures w14:val="none"/>
        </w:rPr>
        <w:t>Journal of business research</w:t>
      </w:r>
      <w:r w:rsidRPr="007F2E87">
        <w:rPr>
          <w:rFonts w:ascii="Arial" w:eastAsia="Times New Roman" w:hAnsi="Arial" w:cs="Arial"/>
          <w:kern w:val="0"/>
          <w:lang w:eastAsia="en-GB"/>
          <w14:ligatures w14:val="none"/>
        </w:rPr>
        <w:t>, 132, pp.186–195.</w:t>
      </w:r>
    </w:p>
    <w:p w14:paraId="529742CF" w14:textId="77777777" w:rsidR="00F35E45" w:rsidRPr="007F2E87" w:rsidRDefault="00F35E45" w:rsidP="007F2E87">
      <w:pPr>
        <w:spacing w:after="240" w:line="360" w:lineRule="auto"/>
        <w:rPr>
          <w:rFonts w:ascii="Arial" w:eastAsia="Times New Roman" w:hAnsi="Arial" w:cs="Arial"/>
          <w:kern w:val="0"/>
          <w:lang w:eastAsia="en-GB"/>
          <w14:ligatures w14:val="none"/>
        </w:rPr>
      </w:pPr>
      <w:r w:rsidRPr="007F2E87">
        <w:rPr>
          <w:rFonts w:ascii="Arial" w:eastAsia="Times New Roman" w:hAnsi="Arial" w:cs="Arial"/>
          <w:kern w:val="0"/>
          <w:lang w:eastAsia="en-GB"/>
          <w14:ligatures w14:val="none"/>
        </w:rPr>
        <w:t xml:space="preserve">Chartered Institute of Personnel and Development (CIPD) (2024). </w:t>
      </w:r>
      <w:r w:rsidRPr="007F2E87">
        <w:rPr>
          <w:rFonts w:ascii="Arial" w:eastAsia="Times New Roman" w:hAnsi="Arial" w:cs="Arial"/>
          <w:i/>
          <w:iCs/>
          <w:kern w:val="0"/>
          <w:lang w:eastAsia="en-GB"/>
          <w14:ligatures w14:val="none"/>
        </w:rPr>
        <w:t>PESTLE analysis factsheet</w:t>
      </w:r>
      <w:r w:rsidRPr="007F2E87">
        <w:rPr>
          <w:rFonts w:ascii="Arial" w:eastAsia="Times New Roman" w:hAnsi="Arial" w:cs="Arial"/>
          <w:kern w:val="0"/>
          <w:lang w:eastAsia="en-GB"/>
          <w14:ligatures w14:val="none"/>
        </w:rPr>
        <w:t>. [online] Https://www.cipd.org/uk/knowledge/factsheets/pestle-analysis-factsheet/. Available at: https://www.cipd.org/uk/knowledge/factsheets/pestle-analysis-factsheet/ [Accessed 10 July 2026].</w:t>
      </w:r>
    </w:p>
    <w:p w14:paraId="0FEACFAD" w14:textId="77777777" w:rsidR="00F35E45" w:rsidRPr="007F2E87" w:rsidRDefault="00F35E45" w:rsidP="007F2E87">
      <w:pPr>
        <w:spacing w:after="240" w:line="360" w:lineRule="auto"/>
        <w:rPr>
          <w:rFonts w:ascii="Arial" w:eastAsia="Times New Roman" w:hAnsi="Arial" w:cs="Arial"/>
          <w:kern w:val="0"/>
          <w:lang w:eastAsia="en-GB"/>
          <w14:ligatures w14:val="none"/>
        </w:rPr>
      </w:pPr>
      <w:r w:rsidRPr="007F2E87">
        <w:rPr>
          <w:rFonts w:ascii="Arial" w:eastAsia="Times New Roman" w:hAnsi="Arial" w:cs="Arial"/>
          <w:kern w:val="0"/>
          <w:lang w:eastAsia="en-GB"/>
          <w14:ligatures w14:val="none"/>
        </w:rPr>
        <w:t xml:space="preserve">Duffy, B.E. and Meisner, C. (2023). Platform governance at the margins: Social media creators’ experiences with algorithmic (in)visibility. </w:t>
      </w:r>
      <w:r w:rsidRPr="007F2E87">
        <w:rPr>
          <w:rFonts w:ascii="Arial" w:eastAsia="Times New Roman" w:hAnsi="Arial" w:cs="Arial"/>
          <w:i/>
          <w:iCs/>
          <w:kern w:val="0"/>
          <w:lang w:eastAsia="en-GB"/>
          <w14:ligatures w14:val="none"/>
        </w:rPr>
        <w:t>Media, culture &amp; society</w:t>
      </w:r>
      <w:r w:rsidRPr="007F2E87">
        <w:rPr>
          <w:rFonts w:ascii="Arial" w:eastAsia="Times New Roman" w:hAnsi="Arial" w:cs="Arial"/>
          <w:kern w:val="0"/>
          <w:lang w:eastAsia="en-GB"/>
          <w14:ligatures w14:val="none"/>
        </w:rPr>
        <w:t>, 45(2), pp.285–304.</w:t>
      </w:r>
    </w:p>
    <w:p w14:paraId="3E2DD679" w14:textId="18DA95F9" w:rsidR="00F35E45" w:rsidRPr="007F2E87" w:rsidRDefault="00F35E45" w:rsidP="007F2E87">
      <w:pPr>
        <w:spacing w:after="240" w:line="360" w:lineRule="auto"/>
        <w:rPr>
          <w:rFonts w:ascii="Arial" w:eastAsia="Times New Roman" w:hAnsi="Arial" w:cs="Arial"/>
          <w:kern w:val="0"/>
          <w:lang w:eastAsia="en-GB"/>
          <w14:ligatures w14:val="none"/>
        </w:rPr>
      </w:pPr>
      <w:r w:rsidRPr="007F2E87">
        <w:rPr>
          <w:rFonts w:ascii="Arial" w:eastAsia="Times New Roman" w:hAnsi="Arial" w:cs="Arial"/>
          <w:kern w:val="0"/>
          <w:lang w:eastAsia="en-GB"/>
          <w14:ligatures w14:val="none"/>
        </w:rPr>
        <w:t xml:space="preserve">European Union (2022). </w:t>
      </w:r>
      <w:r w:rsidRPr="007F2E87">
        <w:rPr>
          <w:rFonts w:ascii="Arial" w:eastAsia="Times New Roman" w:hAnsi="Arial" w:cs="Arial"/>
          <w:i/>
          <w:iCs/>
          <w:kern w:val="0"/>
          <w:lang w:eastAsia="en-GB"/>
          <w14:ligatures w14:val="none"/>
        </w:rPr>
        <w:t>Regulation (EU) 2022/2065 of the European Parliament and of the Council of 19 October 2022 on a Single Market for Digital Services (Digital Services Act)</w:t>
      </w:r>
      <w:r w:rsidRPr="007F2E87">
        <w:rPr>
          <w:rFonts w:ascii="Arial" w:eastAsia="Times New Roman" w:hAnsi="Arial" w:cs="Arial"/>
          <w:kern w:val="0"/>
          <w:lang w:eastAsia="en-GB"/>
          <w14:ligatures w14:val="none"/>
        </w:rPr>
        <w:t xml:space="preserve">. </w:t>
      </w:r>
      <w:r w:rsidRPr="007F2E87">
        <w:rPr>
          <w:rFonts w:ascii="Arial" w:eastAsia="Times New Roman" w:hAnsi="Arial" w:cs="Arial"/>
          <w:i/>
          <w:iCs/>
          <w:kern w:val="0"/>
          <w:lang w:eastAsia="en-GB"/>
          <w14:ligatures w14:val="none"/>
        </w:rPr>
        <w:t>Official Journal of the European Union</w:t>
      </w:r>
      <w:r w:rsidR="00856179" w:rsidRPr="007F2E87">
        <w:rPr>
          <w:rFonts w:ascii="Arial" w:eastAsia="Times New Roman" w:hAnsi="Arial" w:cs="Arial"/>
          <w:kern w:val="0"/>
          <w:lang w:eastAsia="en-GB"/>
          <w14:ligatures w14:val="none"/>
        </w:rPr>
        <w:t>.</w:t>
      </w:r>
    </w:p>
    <w:p w14:paraId="7F89A364" w14:textId="77777777" w:rsidR="00F35E45" w:rsidRPr="007F2E87" w:rsidRDefault="00F35E45" w:rsidP="007F2E87">
      <w:pPr>
        <w:spacing w:after="240" w:line="360" w:lineRule="auto"/>
        <w:rPr>
          <w:rFonts w:ascii="Arial" w:eastAsia="Times New Roman" w:hAnsi="Arial" w:cs="Arial"/>
          <w:kern w:val="0"/>
          <w:lang w:eastAsia="en-GB"/>
          <w14:ligatures w14:val="none"/>
        </w:rPr>
      </w:pPr>
      <w:r w:rsidRPr="007F2E87">
        <w:rPr>
          <w:rFonts w:ascii="Arial" w:eastAsia="Times New Roman" w:hAnsi="Arial" w:cs="Arial"/>
          <w:kern w:val="0"/>
          <w:lang w:eastAsia="en-GB"/>
          <w14:ligatures w14:val="none"/>
        </w:rPr>
        <w:t xml:space="preserve">GlobalData Plc. (2021). </w:t>
      </w:r>
      <w:r w:rsidRPr="007F2E87">
        <w:rPr>
          <w:rFonts w:ascii="Arial" w:eastAsia="Times New Roman" w:hAnsi="Arial" w:cs="Arial"/>
          <w:i/>
          <w:iCs/>
          <w:kern w:val="0"/>
          <w:lang w:eastAsia="en-GB"/>
          <w14:ligatures w14:val="none"/>
        </w:rPr>
        <w:t>Social Commerce: Global Industry Data (2021–2030)</w:t>
      </w:r>
      <w:r w:rsidRPr="007F2E87">
        <w:rPr>
          <w:rFonts w:ascii="Arial" w:eastAsia="Times New Roman" w:hAnsi="Arial" w:cs="Arial"/>
          <w:kern w:val="0"/>
          <w:lang w:eastAsia="en-GB"/>
          <w14:ligatures w14:val="none"/>
        </w:rPr>
        <w:t>.</w:t>
      </w:r>
    </w:p>
    <w:p w14:paraId="5E4E1F73" w14:textId="77777777" w:rsidR="00F35E45" w:rsidRPr="007F2E87" w:rsidRDefault="00F35E45" w:rsidP="007F2E87">
      <w:pPr>
        <w:spacing w:after="240" w:line="360" w:lineRule="auto"/>
        <w:rPr>
          <w:rFonts w:ascii="Arial" w:eastAsia="Times New Roman" w:hAnsi="Arial" w:cs="Arial"/>
          <w:kern w:val="0"/>
          <w:lang w:eastAsia="en-GB"/>
          <w14:ligatures w14:val="none"/>
        </w:rPr>
      </w:pPr>
      <w:r w:rsidRPr="007F2E87">
        <w:rPr>
          <w:rFonts w:ascii="Arial" w:eastAsia="Times New Roman" w:hAnsi="Arial" w:cs="Arial"/>
          <w:kern w:val="0"/>
          <w:lang w:eastAsia="en-GB"/>
          <w14:ligatures w14:val="none"/>
        </w:rPr>
        <w:t xml:space="preserve">GlobalData Plc. (2025a). </w:t>
      </w:r>
      <w:r w:rsidRPr="007F2E87">
        <w:rPr>
          <w:rFonts w:ascii="Arial" w:eastAsia="Times New Roman" w:hAnsi="Arial" w:cs="Arial"/>
          <w:i/>
          <w:iCs/>
          <w:kern w:val="0"/>
          <w:lang w:eastAsia="en-GB"/>
          <w14:ligatures w14:val="none"/>
        </w:rPr>
        <w:t>Global Advertising Industry GDVC006-080</w:t>
      </w:r>
      <w:r w:rsidRPr="007F2E87">
        <w:rPr>
          <w:rFonts w:ascii="Arial" w:eastAsia="Times New Roman" w:hAnsi="Arial" w:cs="Arial"/>
          <w:kern w:val="0"/>
          <w:lang w:eastAsia="en-GB"/>
          <w14:ligatures w14:val="none"/>
        </w:rPr>
        <w:t>.</w:t>
      </w:r>
    </w:p>
    <w:p w14:paraId="76195CCF" w14:textId="77777777" w:rsidR="00F35E45" w:rsidRPr="007F2E87" w:rsidRDefault="00F35E45" w:rsidP="007F2E87">
      <w:pPr>
        <w:spacing w:after="240" w:line="360" w:lineRule="auto"/>
        <w:rPr>
          <w:rFonts w:ascii="Arial" w:eastAsia="Times New Roman" w:hAnsi="Arial" w:cs="Arial"/>
          <w:kern w:val="0"/>
          <w:lang w:eastAsia="en-GB"/>
          <w14:ligatures w14:val="none"/>
        </w:rPr>
      </w:pPr>
      <w:r w:rsidRPr="007F2E87">
        <w:rPr>
          <w:rFonts w:ascii="Arial" w:eastAsia="Times New Roman" w:hAnsi="Arial" w:cs="Arial"/>
          <w:kern w:val="0"/>
          <w:lang w:eastAsia="en-GB"/>
          <w14:ligatures w14:val="none"/>
        </w:rPr>
        <w:t xml:space="preserve">GlobalData Plc. (2025a). </w:t>
      </w:r>
      <w:r w:rsidRPr="007F2E87">
        <w:rPr>
          <w:rFonts w:ascii="Arial" w:eastAsia="Times New Roman" w:hAnsi="Arial" w:cs="Arial"/>
          <w:i/>
          <w:iCs/>
          <w:kern w:val="0"/>
          <w:lang w:eastAsia="en-GB"/>
          <w14:ligatures w14:val="none"/>
        </w:rPr>
        <w:t>Global Artificial Intelligence</w:t>
      </w:r>
      <w:r w:rsidRPr="007F2E87">
        <w:rPr>
          <w:rFonts w:ascii="Arial" w:eastAsia="Times New Roman" w:hAnsi="Arial" w:cs="Arial"/>
          <w:kern w:val="0"/>
          <w:lang w:eastAsia="en-GB"/>
          <w14:ligatures w14:val="none"/>
        </w:rPr>
        <w:t xml:space="preserve">. </w:t>
      </w:r>
      <w:r w:rsidRPr="007F2E87">
        <w:rPr>
          <w:rFonts w:ascii="Arial" w:eastAsia="Times New Roman" w:hAnsi="Arial" w:cs="Arial"/>
          <w:i/>
          <w:iCs/>
          <w:kern w:val="0"/>
          <w:lang w:eastAsia="en-GB"/>
          <w14:ligatures w14:val="none"/>
        </w:rPr>
        <w:t>GlobalData Industry Profile</w:t>
      </w:r>
      <w:r w:rsidRPr="007F2E87">
        <w:rPr>
          <w:rFonts w:ascii="Arial" w:eastAsia="Times New Roman" w:hAnsi="Arial" w:cs="Arial"/>
          <w:kern w:val="0"/>
          <w:lang w:eastAsia="en-GB"/>
          <w14:ligatures w14:val="none"/>
        </w:rPr>
        <w:t>.</w:t>
      </w:r>
    </w:p>
    <w:p w14:paraId="460A6FD4" w14:textId="77777777" w:rsidR="00F35E45" w:rsidRPr="007F2E87" w:rsidRDefault="00F35E45" w:rsidP="007F2E87">
      <w:pPr>
        <w:spacing w:after="240" w:line="360" w:lineRule="auto"/>
        <w:rPr>
          <w:rFonts w:ascii="Arial" w:eastAsia="Times New Roman" w:hAnsi="Arial" w:cs="Arial"/>
          <w:kern w:val="0"/>
          <w:lang w:eastAsia="en-GB"/>
          <w14:ligatures w14:val="none"/>
        </w:rPr>
      </w:pPr>
      <w:r w:rsidRPr="007F2E87">
        <w:rPr>
          <w:rFonts w:ascii="Arial" w:eastAsia="Times New Roman" w:hAnsi="Arial" w:cs="Arial"/>
          <w:kern w:val="0"/>
          <w:lang w:eastAsia="en-GB"/>
          <w14:ligatures w14:val="none"/>
        </w:rPr>
        <w:t xml:space="preserve">GlobalData Plc. (2025b). </w:t>
      </w:r>
      <w:r w:rsidRPr="007F2E87">
        <w:rPr>
          <w:rFonts w:ascii="Arial" w:eastAsia="Times New Roman" w:hAnsi="Arial" w:cs="Arial"/>
          <w:i/>
          <w:iCs/>
          <w:kern w:val="0"/>
          <w:lang w:eastAsia="en-GB"/>
          <w14:ligatures w14:val="none"/>
        </w:rPr>
        <w:t>Global Artificial Intelligence Market Supply Chain Analysis GDVC006-072</w:t>
      </w:r>
      <w:r w:rsidRPr="007F2E87">
        <w:rPr>
          <w:rFonts w:ascii="Arial" w:eastAsia="Times New Roman" w:hAnsi="Arial" w:cs="Arial"/>
          <w:kern w:val="0"/>
          <w:lang w:eastAsia="en-GB"/>
          <w14:ligatures w14:val="none"/>
        </w:rPr>
        <w:t>.</w:t>
      </w:r>
    </w:p>
    <w:p w14:paraId="1970F0CF" w14:textId="77777777" w:rsidR="00F35E45" w:rsidRPr="007F2E87" w:rsidRDefault="00F35E45" w:rsidP="007F2E87">
      <w:pPr>
        <w:spacing w:after="240" w:line="360" w:lineRule="auto"/>
        <w:rPr>
          <w:rFonts w:ascii="Arial" w:eastAsia="Times New Roman" w:hAnsi="Arial" w:cs="Arial"/>
          <w:kern w:val="0"/>
          <w:lang w:eastAsia="en-GB"/>
          <w14:ligatures w14:val="none"/>
        </w:rPr>
      </w:pPr>
      <w:r w:rsidRPr="007F2E87">
        <w:rPr>
          <w:rFonts w:ascii="Arial" w:eastAsia="Times New Roman" w:hAnsi="Arial" w:cs="Arial"/>
          <w:kern w:val="0"/>
          <w:lang w:eastAsia="en-GB"/>
          <w14:ligatures w14:val="none"/>
        </w:rPr>
        <w:t xml:space="preserve">GlobalData Plc. (2025b). </w:t>
      </w:r>
      <w:r w:rsidRPr="007F2E87">
        <w:rPr>
          <w:rFonts w:ascii="Arial" w:eastAsia="Times New Roman" w:hAnsi="Arial" w:cs="Arial"/>
          <w:i/>
          <w:iCs/>
          <w:kern w:val="0"/>
          <w:lang w:eastAsia="en-GB"/>
          <w14:ligatures w14:val="none"/>
        </w:rPr>
        <w:t>Industry Profile Advertising in Europe December 2025</w:t>
      </w:r>
      <w:r w:rsidRPr="007F2E87">
        <w:rPr>
          <w:rFonts w:ascii="Arial" w:eastAsia="Times New Roman" w:hAnsi="Arial" w:cs="Arial"/>
          <w:kern w:val="0"/>
          <w:lang w:eastAsia="en-GB"/>
          <w14:ligatures w14:val="none"/>
        </w:rPr>
        <w:t>.</w:t>
      </w:r>
    </w:p>
    <w:p w14:paraId="1CD2F20B" w14:textId="77777777" w:rsidR="00F35E45" w:rsidRPr="007F2E87" w:rsidRDefault="00F35E45" w:rsidP="007F2E87">
      <w:pPr>
        <w:spacing w:after="240" w:line="360" w:lineRule="auto"/>
        <w:rPr>
          <w:rFonts w:ascii="Arial" w:eastAsia="Times New Roman" w:hAnsi="Arial" w:cs="Arial"/>
          <w:kern w:val="0"/>
          <w:lang w:eastAsia="en-GB"/>
          <w14:ligatures w14:val="none"/>
        </w:rPr>
      </w:pPr>
      <w:r w:rsidRPr="007F2E87">
        <w:rPr>
          <w:rFonts w:ascii="Arial" w:eastAsia="Times New Roman" w:hAnsi="Arial" w:cs="Arial"/>
          <w:kern w:val="0"/>
          <w:lang w:eastAsia="en-GB"/>
          <w14:ligatures w14:val="none"/>
        </w:rPr>
        <w:t xml:space="preserve">GlobalData Plc. (2025c). </w:t>
      </w:r>
      <w:r w:rsidRPr="007F2E87">
        <w:rPr>
          <w:rFonts w:ascii="Arial" w:eastAsia="Times New Roman" w:hAnsi="Arial" w:cs="Arial"/>
          <w:i/>
          <w:iCs/>
          <w:kern w:val="0"/>
          <w:lang w:eastAsia="en-GB"/>
          <w14:ligatures w14:val="none"/>
        </w:rPr>
        <w:t>Industry Profile Publishing in the United Kingdom</w:t>
      </w:r>
      <w:r w:rsidRPr="007F2E87">
        <w:rPr>
          <w:rFonts w:ascii="Arial" w:eastAsia="Times New Roman" w:hAnsi="Arial" w:cs="Arial"/>
          <w:kern w:val="0"/>
          <w:lang w:eastAsia="en-GB"/>
          <w14:ligatures w14:val="none"/>
        </w:rPr>
        <w:t>. GlobalData.</w:t>
      </w:r>
    </w:p>
    <w:p w14:paraId="639C565A" w14:textId="77777777" w:rsidR="00F35E45" w:rsidRPr="007F2E87" w:rsidRDefault="00F35E45" w:rsidP="007F2E87">
      <w:pPr>
        <w:spacing w:after="240" w:line="360" w:lineRule="auto"/>
        <w:rPr>
          <w:rFonts w:ascii="Arial" w:eastAsia="Times New Roman" w:hAnsi="Arial" w:cs="Arial"/>
          <w:kern w:val="0"/>
          <w:lang w:eastAsia="en-GB"/>
          <w14:ligatures w14:val="none"/>
        </w:rPr>
      </w:pPr>
      <w:r w:rsidRPr="007F2E87">
        <w:rPr>
          <w:rFonts w:ascii="Arial" w:eastAsia="Times New Roman" w:hAnsi="Arial" w:cs="Arial"/>
          <w:kern w:val="0"/>
          <w:lang w:eastAsia="en-GB"/>
          <w14:ligatures w14:val="none"/>
        </w:rPr>
        <w:t xml:space="preserve">GlobalData Plc. (2025d). </w:t>
      </w:r>
      <w:r w:rsidRPr="007F2E87">
        <w:rPr>
          <w:rFonts w:ascii="Arial" w:eastAsia="Times New Roman" w:hAnsi="Arial" w:cs="Arial"/>
          <w:i/>
          <w:iCs/>
          <w:kern w:val="0"/>
          <w:lang w:eastAsia="en-GB"/>
          <w14:ligatures w14:val="none"/>
        </w:rPr>
        <w:t>UK Retail Hot Topics: Social media shopping behaviour May 2025</w:t>
      </w:r>
      <w:r w:rsidRPr="007F2E87">
        <w:rPr>
          <w:rFonts w:ascii="Arial" w:eastAsia="Times New Roman" w:hAnsi="Arial" w:cs="Arial"/>
          <w:kern w:val="0"/>
          <w:lang w:eastAsia="en-GB"/>
          <w14:ligatures w14:val="none"/>
        </w:rPr>
        <w:t>.</w:t>
      </w:r>
    </w:p>
    <w:p w14:paraId="7FA9AA09" w14:textId="77777777" w:rsidR="00F35E45" w:rsidRPr="007F2E87" w:rsidRDefault="00F35E45" w:rsidP="007F2E87">
      <w:pPr>
        <w:spacing w:after="240" w:line="360" w:lineRule="auto"/>
        <w:rPr>
          <w:rFonts w:ascii="Arial" w:eastAsia="Times New Roman" w:hAnsi="Arial" w:cs="Arial"/>
          <w:kern w:val="0"/>
          <w:lang w:eastAsia="en-GB"/>
          <w14:ligatures w14:val="none"/>
        </w:rPr>
      </w:pPr>
      <w:r w:rsidRPr="007F2E87">
        <w:rPr>
          <w:rFonts w:ascii="Arial" w:eastAsia="Times New Roman" w:hAnsi="Arial" w:cs="Arial"/>
          <w:kern w:val="0"/>
          <w:lang w:eastAsia="en-GB"/>
          <w14:ligatures w14:val="none"/>
        </w:rPr>
        <w:t xml:space="preserve">GlobalData Plc. (2026). </w:t>
      </w:r>
      <w:r w:rsidRPr="007F2E87">
        <w:rPr>
          <w:rFonts w:ascii="Arial" w:eastAsia="Times New Roman" w:hAnsi="Arial" w:cs="Arial"/>
          <w:i/>
          <w:iCs/>
          <w:kern w:val="0"/>
          <w:lang w:eastAsia="en-GB"/>
          <w14:ligatures w14:val="none"/>
        </w:rPr>
        <w:t>Industry Profile Global Social Commerce</w:t>
      </w:r>
      <w:r w:rsidRPr="007F2E87">
        <w:rPr>
          <w:rFonts w:ascii="Arial" w:eastAsia="Times New Roman" w:hAnsi="Arial" w:cs="Arial"/>
          <w:kern w:val="0"/>
          <w:lang w:eastAsia="en-GB"/>
          <w14:ligatures w14:val="none"/>
        </w:rPr>
        <w:t>.</w:t>
      </w:r>
    </w:p>
    <w:p w14:paraId="2AED1854" w14:textId="779FA841" w:rsidR="00F35E45" w:rsidRPr="007F2E87" w:rsidRDefault="00F35E45" w:rsidP="007F2E87">
      <w:pPr>
        <w:spacing w:after="240" w:line="360" w:lineRule="auto"/>
        <w:rPr>
          <w:rFonts w:ascii="Arial" w:eastAsia="Times New Roman" w:hAnsi="Arial" w:cs="Arial"/>
          <w:kern w:val="0"/>
          <w:lang w:eastAsia="en-GB"/>
          <w14:ligatures w14:val="none"/>
        </w:rPr>
      </w:pPr>
      <w:r w:rsidRPr="007F2E87">
        <w:rPr>
          <w:rFonts w:ascii="Arial" w:eastAsia="Times New Roman" w:hAnsi="Arial" w:cs="Arial"/>
          <w:kern w:val="0"/>
          <w:lang w:eastAsia="en-GB"/>
          <w14:ligatures w14:val="none"/>
        </w:rPr>
        <w:t xml:space="preserve">Helms, M.M. and Nixon, J. (2010). Exploring SWOT analysis - where are we </w:t>
      </w:r>
      <w:r w:rsidR="00856179" w:rsidRPr="007F2E87">
        <w:rPr>
          <w:rFonts w:ascii="Arial" w:eastAsia="Times New Roman" w:hAnsi="Arial" w:cs="Arial"/>
          <w:kern w:val="0"/>
          <w:lang w:eastAsia="en-GB"/>
          <w14:ligatures w14:val="none"/>
        </w:rPr>
        <w:t>now?</w:t>
      </w:r>
      <w:r w:rsidRPr="007F2E87">
        <w:rPr>
          <w:rFonts w:ascii="Arial" w:eastAsia="Times New Roman" w:hAnsi="Arial" w:cs="Arial"/>
          <w:kern w:val="0"/>
          <w:lang w:eastAsia="en-GB"/>
          <w14:ligatures w14:val="none"/>
        </w:rPr>
        <w:t xml:space="preserve"> A review of academic research from the last decade. </w:t>
      </w:r>
      <w:r w:rsidRPr="007F2E87">
        <w:rPr>
          <w:rFonts w:ascii="Arial" w:eastAsia="Times New Roman" w:hAnsi="Arial" w:cs="Arial"/>
          <w:i/>
          <w:iCs/>
          <w:kern w:val="0"/>
          <w:lang w:eastAsia="en-GB"/>
          <w14:ligatures w14:val="none"/>
        </w:rPr>
        <w:t>Journal of Strategy and Management</w:t>
      </w:r>
      <w:r w:rsidRPr="007F2E87">
        <w:rPr>
          <w:rFonts w:ascii="Arial" w:eastAsia="Times New Roman" w:hAnsi="Arial" w:cs="Arial"/>
          <w:kern w:val="0"/>
          <w:lang w:eastAsia="en-GB"/>
          <w14:ligatures w14:val="none"/>
        </w:rPr>
        <w:t>, 3(3), pp.215–251. doi:10.1108/17554251011064837.</w:t>
      </w:r>
    </w:p>
    <w:p w14:paraId="64CB0822" w14:textId="77777777" w:rsidR="00F35E45" w:rsidRPr="007F2E87" w:rsidRDefault="00F35E45" w:rsidP="007F2E87">
      <w:pPr>
        <w:spacing w:after="240" w:line="360" w:lineRule="auto"/>
        <w:rPr>
          <w:rFonts w:ascii="Arial" w:eastAsia="Times New Roman" w:hAnsi="Arial" w:cs="Arial"/>
          <w:kern w:val="0"/>
          <w:lang w:eastAsia="en-GB"/>
          <w14:ligatures w14:val="none"/>
        </w:rPr>
      </w:pPr>
      <w:r w:rsidRPr="007F2E87">
        <w:rPr>
          <w:rFonts w:ascii="Arial" w:eastAsia="Times New Roman" w:hAnsi="Arial" w:cs="Arial"/>
          <w:kern w:val="0"/>
          <w:lang w:eastAsia="en-GB"/>
          <w14:ligatures w14:val="none"/>
        </w:rPr>
        <w:lastRenderedPageBreak/>
        <w:t xml:space="preserve">Joshi, Y. and Lim, W.M. (2023). Social media influencer marketing: Foundations, trends, and ways forward. </w:t>
      </w:r>
      <w:r w:rsidRPr="007F2E87">
        <w:rPr>
          <w:rFonts w:ascii="Arial" w:eastAsia="Times New Roman" w:hAnsi="Arial" w:cs="Arial"/>
          <w:i/>
          <w:iCs/>
          <w:kern w:val="0"/>
          <w:lang w:eastAsia="en-GB"/>
          <w14:ligatures w14:val="none"/>
        </w:rPr>
        <w:t>Electronic Commerce Research</w:t>
      </w:r>
      <w:r w:rsidRPr="007F2E87">
        <w:rPr>
          <w:rFonts w:ascii="Arial" w:eastAsia="Times New Roman" w:hAnsi="Arial" w:cs="Arial"/>
          <w:kern w:val="0"/>
          <w:lang w:eastAsia="en-GB"/>
          <w14:ligatures w14:val="none"/>
        </w:rPr>
        <w:t>, [online] 25, pp.1199–1253. doi:10.1007/s10660-023-09719-z.</w:t>
      </w:r>
    </w:p>
    <w:p w14:paraId="5C03F457" w14:textId="77777777" w:rsidR="00F35E45" w:rsidRPr="007F2E87" w:rsidRDefault="00F35E45" w:rsidP="007F2E87">
      <w:pPr>
        <w:spacing w:after="240" w:line="360" w:lineRule="auto"/>
        <w:rPr>
          <w:rFonts w:ascii="Arial" w:eastAsia="Times New Roman" w:hAnsi="Arial" w:cs="Arial"/>
          <w:kern w:val="0"/>
          <w:lang w:eastAsia="en-GB"/>
          <w14:ligatures w14:val="none"/>
        </w:rPr>
      </w:pPr>
      <w:r w:rsidRPr="007F2E87">
        <w:rPr>
          <w:rFonts w:ascii="Arial" w:eastAsia="Times New Roman" w:hAnsi="Arial" w:cs="Arial"/>
          <w:kern w:val="0"/>
          <w:lang w:eastAsia="en-GB"/>
          <w14:ligatures w14:val="none"/>
        </w:rPr>
        <w:t xml:space="preserve">Kim, D.Y. and Kim, H.-Y. (2021). Trust me, trust me not: A nuanced view of influencer marketing on social media. </w:t>
      </w:r>
      <w:r w:rsidRPr="007F2E87">
        <w:rPr>
          <w:rFonts w:ascii="Arial" w:eastAsia="Times New Roman" w:hAnsi="Arial" w:cs="Arial"/>
          <w:i/>
          <w:iCs/>
          <w:kern w:val="0"/>
          <w:lang w:eastAsia="en-GB"/>
          <w14:ligatures w14:val="none"/>
        </w:rPr>
        <w:t>Journal of business research</w:t>
      </w:r>
      <w:r w:rsidRPr="007F2E87">
        <w:rPr>
          <w:rFonts w:ascii="Arial" w:eastAsia="Times New Roman" w:hAnsi="Arial" w:cs="Arial"/>
          <w:kern w:val="0"/>
          <w:lang w:eastAsia="en-GB"/>
          <w14:ligatures w14:val="none"/>
        </w:rPr>
        <w:t>, 134, pp.223–232.</w:t>
      </w:r>
    </w:p>
    <w:p w14:paraId="1EC18E57" w14:textId="77777777" w:rsidR="00F35E45" w:rsidRPr="007F2E87" w:rsidRDefault="00F35E45" w:rsidP="007F2E87">
      <w:pPr>
        <w:spacing w:after="240" w:line="360" w:lineRule="auto"/>
        <w:rPr>
          <w:rFonts w:ascii="Arial" w:eastAsia="Times New Roman" w:hAnsi="Arial" w:cs="Arial"/>
          <w:kern w:val="0"/>
          <w:lang w:eastAsia="en-GB"/>
          <w14:ligatures w14:val="none"/>
        </w:rPr>
      </w:pPr>
      <w:r w:rsidRPr="007F2E87">
        <w:rPr>
          <w:rFonts w:ascii="Arial" w:eastAsia="Times New Roman" w:hAnsi="Arial" w:cs="Arial"/>
          <w:kern w:val="0"/>
          <w:lang w:eastAsia="en-GB"/>
          <w14:ligatures w14:val="none"/>
        </w:rPr>
        <w:t xml:space="preserve">Libai, B., Babić Rosario, A., Beichert, M., Donkers, B., Haenlein, M., Hofstetter, R., Kannan, P.K., van der Lans, R., Lanz, A., Li, H.A., Mayzlin, D., Muller, E., Shapira, D., Yang, J. and Zhang, L. (2025). Influencer marketing unlocked: Understanding the value chains driving the creator economy. </w:t>
      </w:r>
      <w:r w:rsidRPr="007F2E87">
        <w:rPr>
          <w:rFonts w:ascii="Arial" w:eastAsia="Times New Roman" w:hAnsi="Arial" w:cs="Arial"/>
          <w:i/>
          <w:iCs/>
          <w:kern w:val="0"/>
          <w:lang w:eastAsia="en-GB"/>
          <w14:ligatures w14:val="none"/>
        </w:rPr>
        <w:t>Journal of the Academy of Marketing Science</w:t>
      </w:r>
      <w:r w:rsidRPr="007F2E87">
        <w:rPr>
          <w:rFonts w:ascii="Arial" w:eastAsia="Times New Roman" w:hAnsi="Arial" w:cs="Arial"/>
          <w:kern w:val="0"/>
          <w:lang w:eastAsia="en-GB"/>
          <w14:ligatures w14:val="none"/>
        </w:rPr>
        <w:t>, 53, pp.4–28. doi:10.1007/s11747-024-01073-2.</w:t>
      </w:r>
    </w:p>
    <w:p w14:paraId="027E6631" w14:textId="77777777" w:rsidR="00F35E45" w:rsidRPr="007F2E87" w:rsidRDefault="00F35E45" w:rsidP="007F2E87">
      <w:pPr>
        <w:spacing w:after="240" w:line="360" w:lineRule="auto"/>
        <w:rPr>
          <w:rFonts w:ascii="Arial" w:eastAsia="Times New Roman" w:hAnsi="Arial" w:cs="Arial"/>
          <w:kern w:val="0"/>
          <w:lang w:eastAsia="en-GB"/>
          <w14:ligatures w14:val="none"/>
        </w:rPr>
      </w:pPr>
      <w:r w:rsidRPr="007F2E87">
        <w:rPr>
          <w:rFonts w:ascii="Arial" w:eastAsia="Times New Roman" w:hAnsi="Arial" w:cs="Arial"/>
          <w:kern w:val="0"/>
          <w:lang w:eastAsia="en-GB"/>
          <w14:ligatures w14:val="none"/>
        </w:rPr>
        <w:t xml:space="preserve">Martínez-López, F.J., Anaya-Sánchez, R., Fernández Giordano, M. and Lopez-Lopez, D. (2020). Behind influencer marketing: Key marketing decisions and their effects on followers” responses. </w:t>
      </w:r>
      <w:r w:rsidRPr="007F2E87">
        <w:rPr>
          <w:rFonts w:ascii="Arial" w:eastAsia="Times New Roman" w:hAnsi="Arial" w:cs="Arial"/>
          <w:i/>
          <w:iCs/>
          <w:kern w:val="0"/>
          <w:lang w:eastAsia="en-GB"/>
          <w14:ligatures w14:val="none"/>
        </w:rPr>
        <w:t>Journal of marketing management</w:t>
      </w:r>
      <w:r w:rsidRPr="007F2E87">
        <w:rPr>
          <w:rFonts w:ascii="Arial" w:eastAsia="Times New Roman" w:hAnsi="Arial" w:cs="Arial"/>
          <w:kern w:val="0"/>
          <w:lang w:eastAsia="en-GB"/>
          <w14:ligatures w14:val="none"/>
        </w:rPr>
        <w:t>, 36(7–8), pp.579–607.</w:t>
      </w:r>
    </w:p>
    <w:p w14:paraId="46231D53" w14:textId="77777777" w:rsidR="00F35E45" w:rsidRPr="007F2E87" w:rsidRDefault="00F35E45" w:rsidP="007F2E87">
      <w:pPr>
        <w:spacing w:after="240" w:line="360" w:lineRule="auto"/>
        <w:rPr>
          <w:rFonts w:ascii="Arial" w:eastAsia="Times New Roman" w:hAnsi="Arial" w:cs="Arial"/>
          <w:kern w:val="0"/>
          <w:lang w:eastAsia="en-GB"/>
          <w14:ligatures w14:val="none"/>
        </w:rPr>
      </w:pPr>
      <w:r w:rsidRPr="007F2E87">
        <w:rPr>
          <w:rFonts w:ascii="Arial" w:eastAsia="Times New Roman" w:hAnsi="Arial" w:cs="Arial"/>
          <w:kern w:val="0"/>
          <w:lang w:eastAsia="en-GB"/>
          <w14:ligatures w14:val="none"/>
        </w:rPr>
        <w:t xml:space="preserve">Ness, B., Anderberg, S. and Olsson, L. (2010). Structuring problems in sustainability science: The multi-level DPSIR framework. </w:t>
      </w:r>
      <w:r w:rsidRPr="007F2E87">
        <w:rPr>
          <w:rFonts w:ascii="Arial" w:eastAsia="Times New Roman" w:hAnsi="Arial" w:cs="Arial"/>
          <w:i/>
          <w:iCs/>
          <w:kern w:val="0"/>
          <w:lang w:eastAsia="en-GB"/>
          <w14:ligatures w14:val="none"/>
        </w:rPr>
        <w:t>Geoforum</w:t>
      </w:r>
      <w:r w:rsidRPr="007F2E87">
        <w:rPr>
          <w:rFonts w:ascii="Arial" w:eastAsia="Times New Roman" w:hAnsi="Arial" w:cs="Arial"/>
          <w:kern w:val="0"/>
          <w:lang w:eastAsia="en-GB"/>
          <w14:ligatures w14:val="none"/>
        </w:rPr>
        <w:t>, 41(3), pp.479–488.</w:t>
      </w:r>
    </w:p>
    <w:p w14:paraId="4C28C37C" w14:textId="77777777" w:rsidR="00F35E45" w:rsidRPr="007F2E87" w:rsidRDefault="00F35E45" w:rsidP="007F2E87">
      <w:pPr>
        <w:spacing w:after="240" w:line="360" w:lineRule="auto"/>
        <w:rPr>
          <w:rFonts w:ascii="Arial" w:eastAsia="Times New Roman" w:hAnsi="Arial" w:cs="Arial"/>
          <w:kern w:val="0"/>
          <w:lang w:eastAsia="en-GB"/>
          <w14:ligatures w14:val="none"/>
        </w:rPr>
      </w:pPr>
      <w:r w:rsidRPr="007F2E87">
        <w:rPr>
          <w:rFonts w:ascii="Arial" w:eastAsia="Times New Roman" w:hAnsi="Arial" w:cs="Arial"/>
          <w:kern w:val="0"/>
          <w:lang w:eastAsia="en-GB"/>
          <w14:ligatures w14:val="none"/>
        </w:rPr>
        <w:t xml:space="preserve">Pan, M., Blut, M., Ghiassaleh, A. and Lee, Z.W.Y. (2024). Influencer marketing effectiveness: A meta-analytic review. </w:t>
      </w:r>
      <w:r w:rsidRPr="007F2E87">
        <w:rPr>
          <w:rFonts w:ascii="Arial" w:eastAsia="Times New Roman" w:hAnsi="Arial" w:cs="Arial"/>
          <w:i/>
          <w:iCs/>
          <w:kern w:val="0"/>
          <w:lang w:eastAsia="en-GB"/>
          <w14:ligatures w14:val="none"/>
        </w:rPr>
        <w:t>Journal of the Academy of Marketing Science</w:t>
      </w:r>
      <w:r w:rsidRPr="007F2E87">
        <w:rPr>
          <w:rFonts w:ascii="Arial" w:eastAsia="Times New Roman" w:hAnsi="Arial" w:cs="Arial"/>
          <w:kern w:val="0"/>
          <w:lang w:eastAsia="en-GB"/>
          <w14:ligatures w14:val="none"/>
        </w:rPr>
        <w:t>, [online] 53, pp.52–78. doi:10.1007/s11747-024-01052-7.</w:t>
      </w:r>
    </w:p>
    <w:p w14:paraId="52E03DB8" w14:textId="77777777" w:rsidR="00F35E45" w:rsidRPr="007F2E87" w:rsidRDefault="00F35E45" w:rsidP="007F2E87">
      <w:pPr>
        <w:spacing w:after="240" w:line="360" w:lineRule="auto"/>
        <w:rPr>
          <w:rFonts w:ascii="Arial" w:eastAsia="Times New Roman" w:hAnsi="Arial" w:cs="Arial"/>
          <w:kern w:val="0"/>
          <w:lang w:eastAsia="en-GB"/>
          <w14:ligatures w14:val="none"/>
        </w:rPr>
      </w:pPr>
      <w:r w:rsidRPr="007F2E87">
        <w:rPr>
          <w:rFonts w:ascii="Arial" w:eastAsia="Times New Roman" w:hAnsi="Arial" w:cs="Arial"/>
          <w:kern w:val="0"/>
          <w:lang w:eastAsia="en-GB"/>
          <w14:ligatures w14:val="none"/>
        </w:rPr>
        <w:t xml:space="preserve">Preston, J. and Mujahid, A. (2025). </w:t>
      </w:r>
      <w:r w:rsidRPr="007F2E87">
        <w:rPr>
          <w:rFonts w:ascii="Arial" w:eastAsia="Times New Roman" w:hAnsi="Arial" w:cs="Arial"/>
          <w:i/>
          <w:iCs/>
          <w:kern w:val="0"/>
          <w:lang w:eastAsia="en-GB"/>
          <w14:ligatures w14:val="none"/>
        </w:rPr>
        <w:t>Tapping into the Creator Economy: How to Build a Winning Digital Strategy</w:t>
      </w:r>
      <w:r w:rsidRPr="007F2E87">
        <w:rPr>
          <w:rFonts w:ascii="Arial" w:eastAsia="Times New Roman" w:hAnsi="Arial" w:cs="Arial"/>
          <w:kern w:val="0"/>
          <w:lang w:eastAsia="en-GB"/>
          <w14:ligatures w14:val="none"/>
        </w:rPr>
        <w:t>. [online] Global Data. Available at: https://explorer-globaldata-com.uwtsd.idm.oclc.org/webinars/past/tapping-into-the-creator-economy-how-to-build-a-winning-digital-strategy-3571/.</w:t>
      </w:r>
    </w:p>
    <w:p w14:paraId="7FAC953B" w14:textId="77777777" w:rsidR="00F35E45" w:rsidRPr="007F2E87" w:rsidRDefault="00F35E45" w:rsidP="007F2E87">
      <w:pPr>
        <w:spacing w:after="240" w:line="360" w:lineRule="auto"/>
        <w:rPr>
          <w:rFonts w:ascii="Arial" w:eastAsia="Times New Roman" w:hAnsi="Arial" w:cs="Arial"/>
          <w:kern w:val="0"/>
          <w:lang w:eastAsia="en-GB"/>
          <w14:ligatures w14:val="none"/>
        </w:rPr>
      </w:pPr>
      <w:r w:rsidRPr="007F2E87">
        <w:rPr>
          <w:rFonts w:ascii="Arial" w:eastAsia="Times New Roman" w:hAnsi="Arial" w:cs="Arial"/>
          <w:kern w:val="0"/>
          <w:lang w:eastAsia="en-GB"/>
          <w14:ligatures w14:val="none"/>
        </w:rPr>
        <w:t xml:space="preserve">Sands, S., Campbell, C.L., Plangger, K. and Ferraro, C. (2022). Unreal influence: Leveraging AI in influencer marketing. </w:t>
      </w:r>
      <w:r w:rsidRPr="007F2E87">
        <w:rPr>
          <w:rFonts w:ascii="Arial" w:eastAsia="Times New Roman" w:hAnsi="Arial" w:cs="Arial"/>
          <w:i/>
          <w:iCs/>
          <w:kern w:val="0"/>
          <w:lang w:eastAsia="en-GB"/>
          <w14:ligatures w14:val="none"/>
        </w:rPr>
        <w:t>European Journal of Marketing</w:t>
      </w:r>
      <w:r w:rsidRPr="007F2E87">
        <w:rPr>
          <w:rFonts w:ascii="Arial" w:eastAsia="Times New Roman" w:hAnsi="Arial" w:cs="Arial"/>
          <w:kern w:val="0"/>
          <w:lang w:eastAsia="en-GB"/>
          <w14:ligatures w14:val="none"/>
        </w:rPr>
        <w:t>, 56(6), pp.1721–1747. doi:10.1108/EJM-12-2019-0949.</w:t>
      </w:r>
    </w:p>
    <w:p w14:paraId="1AE5ED06" w14:textId="77777777" w:rsidR="00F35E45" w:rsidRPr="007F2E87" w:rsidRDefault="00F35E45" w:rsidP="007F2E87">
      <w:pPr>
        <w:spacing w:after="240" w:line="360" w:lineRule="auto"/>
        <w:rPr>
          <w:rFonts w:ascii="Arial" w:eastAsia="Times New Roman" w:hAnsi="Arial" w:cs="Arial"/>
          <w:kern w:val="0"/>
          <w:lang w:eastAsia="en-GB"/>
          <w14:ligatures w14:val="none"/>
        </w:rPr>
      </w:pPr>
      <w:r w:rsidRPr="007F2E87">
        <w:rPr>
          <w:rFonts w:ascii="Arial" w:eastAsia="Times New Roman" w:hAnsi="Arial" w:cs="Arial"/>
          <w:kern w:val="0"/>
          <w:lang w:eastAsia="en-GB"/>
          <w14:ligatures w14:val="none"/>
        </w:rPr>
        <w:t xml:space="preserve">Tscherning, K., Helming, K., Krippner, B., Sieber, S. and Paloma, S.G. (2012). Does research applying the DPSIR framework support decision making? </w:t>
      </w:r>
      <w:r w:rsidRPr="007F2E87">
        <w:rPr>
          <w:rFonts w:ascii="Arial" w:eastAsia="Times New Roman" w:hAnsi="Arial" w:cs="Arial"/>
          <w:i/>
          <w:iCs/>
          <w:kern w:val="0"/>
          <w:lang w:eastAsia="en-GB"/>
          <w14:ligatures w14:val="none"/>
        </w:rPr>
        <w:t>Land Use Policy</w:t>
      </w:r>
      <w:r w:rsidRPr="007F2E87">
        <w:rPr>
          <w:rFonts w:ascii="Arial" w:eastAsia="Times New Roman" w:hAnsi="Arial" w:cs="Arial"/>
          <w:kern w:val="0"/>
          <w:lang w:eastAsia="en-GB"/>
          <w14:ligatures w14:val="none"/>
        </w:rPr>
        <w:t>, 29(1), pp.102–110.</w:t>
      </w:r>
    </w:p>
    <w:p w14:paraId="7A5D46EA" w14:textId="77777777" w:rsidR="00F35E45" w:rsidRPr="001C1CFB" w:rsidRDefault="00F35E45" w:rsidP="007F2E87">
      <w:pPr>
        <w:spacing w:line="360" w:lineRule="auto"/>
        <w:jc w:val="both"/>
        <w:rPr>
          <w:rFonts w:ascii="Arial" w:hAnsi="Arial" w:cs="Arial"/>
        </w:rPr>
      </w:pPr>
    </w:p>
    <w:p w14:paraId="45A31E86" w14:textId="77777777" w:rsidR="009F1075" w:rsidRPr="001C1CFB" w:rsidRDefault="009F1075" w:rsidP="001C1CFB">
      <w:pPr>
        <w:spacing w:line="360" w:lineRule="auto"/>
        <w:jc w:val="both"/>
        <w:rPr>
          <w:rFonts w:ascii="Arial" w:hAnsi="Arial" w:cs="Arial"/>
        </w:rPr>
      </w:pPr>
    </w:p>
    <w:p w14:paraId="5336DFEC" w14:textId="77777777" w:rsidR="009F1075" w:rsidRPr="001C1CFB" w:rsidRDefault="009F1075" w:rsidP="001C1CFB">
      <w:pPr>
        <w:spacing w:line="360" w:lineRule="auto"/>
        <w:jc w:val="both"/>
        <w:rPr>
          <w:rFonts w:ascii="Arial" w:hAnsi="Arial" w:cs="Arial"/>
        </w:rPr>
      </w:pPr>
    </w:p>
    <w:p w14:paraId="5EA29E66" w14:textId="77777777" w:rsidR="009F1075" w:rsidRPr="001C1CFB" w:rsidRDefault="009F1075" w:rsidP="001C1CFB">
      <w:pPr>
        <w:spacing w:line="360" w:lineRule="auto"/>
        <w:jc w:val="both"/>
        <w:rPr>
          <w:rFonts w:ascii="Arial" w:hAnsi="Arial" w:cs="Arial"/>
        </w:rPr>
      </w:pPr>
    </w:p>
    <w:p w14:paraId="626DEC57" w14:textId="77777777" w:rsidR="009F1075" w:rsidRPr="001C1CFB" w:rsidRDefault="009F1075" w:rsidP="001C1CFB">
      <w:pPr>
        <w:spacing w:line="360" w:lineRule="auto"/>
        <w:jc w:val="both"/>
        <w:rPr>
          <w:rFonts w:ascii="Arial" w:hAnsi="Arial" w:cs="Arial"/>
        </w:rPr>
      </w:pPr>
    </w:p>
    <w:p w14:paraId="526ABFED" w14:textId="77777777" w:rsidR="009F1075" w:rsidRPr="001C1CFB" w:rsidRDefault="009F1075" w:rsidP="001C1CFB">
      <w:pPr>
        <w:spacing w:line="360" w:lineRule="auto"/>
        <w:jc w:val="both"/>
        <w:rPr>
          <w:rFonts w:ascii="Arial" w:hAnsi="Arial" w:cs="Arial"/>
        </w:rPr>
      </w:pPr>
    </w:p>
    <w:p w14:paraId="6D9570F6" w14:textId="77777777" w:rsidR="009F1075" w:rsidRDefault="009F1075" w:rsidP="001C1CFB">
      <w:pPr>
        <w:spacing w:line="360" w:lineRule="auto"/>
        <w:jc w:val="both"/>
        <w:rPr>
          <w:rFonts w:ascii="Arial" w:hAnsi="Arial" w:cs="Arial"/>
        </w:rPr>
      </w:pPr>
    </w:p>
    <w:p w14:paraId="4CB79DF7" w14:textId="77777777" w:rsidR="009F1075" w:rsidRPr="001C1CFB" w:rsidRDefault="009F1075" w:rsidP="001C1CFB">
      <w:pPr>
        <w:spacing w:line="360" w:lineRule="auto"/>
        <w:jc w:val="both"/>
        <w:rPr>
          <w:rFonts w:ascii="Arial" w:hAnsi="Arial" w:cs="Arial"/>
        </w:rPr>
      </w:pPr>
    </w:p>
    <w:p w14:paraId="0C266865" w14:textId="2487AA32" w:rsidR="00C3568B" w:rsidRPr="001C1CFB" w:rsidRDefault="00C3568B" w:rsidP="001C1CFB">
      <w:pPr>
        <w:spacing w:line="360" w:lineRule="auto"/>
        <w:jc w:val="both"/>
        <w:rPr>
          <w:rFonts w:ascii="Arial" w:hAnsi="Arial" w:cs="Arial"/>
          <w:b/>
          <w:bCs/>
        </w:rPr>
      </w:pPr>
      <w:r w:rsidRPr="001C1CFB">
        <w:rPr>
          <w:rFonts w:ascii="Arial" w:hAnsi="Arial" w:cs="Arial"/>
          <w:b/>
          <w:bCs/>
        </w:rPr>
        <w:t>Appendix A — STEEPLE</w:t>
      </w:r>
    </w:p>
    <w:p w14:paraId="387F98B3" w14:textId="77777777" w:rsidR="00C3568B" w:rsidRPr="001C1CFB" w:rsidRDefault="00C3568B" w:rsidP="001C1CFB">
      <w:pPr>
        <w:spacing w:line="360" w:lineRule="auto"/>
        <w:jc w:val="both"/>
        <w:rPr>
          <w:rFonts w:ascii="Arial" w:hAnsi="Arial" w:cs="Arial"/>
          <w:b/>
          <w:bCs/>
        </w:rPr>
      </w:pPr>
      <w:r w:rsidRPr="001C1CFB">
        <w:rPr>
          <w:rFonts w:ascii="Arial" w:hAnsi="Arial" w:cs="Arial"/>
          <w:b/>
          <w:bCs/>
        </w:rPr>
        <w:t>Political</w:t>
      </w:r>
    </w:p>
    <w:p w14:paraId="1211D2BD" w14:textId="77777777" w:rsidR="00C3568B" w:rsidRPr="001C1CFB" w:rsidRDefault="00C3568B" w:rsidP="001C1CFB">
      <w:pPr>
        <w:spacing w:line="360" w:lineRule="auto"/>
        <w:jc w:val="both"/>
        <w:rPr>
          <w:rFonts w:ascii="Arial" w:hAnsi="Arial" w:cs="Arial"/>
        </w:rPr>
      </w:pPr>
      <w:r w:rsidRPr="001C1CFB">
        <w:rPr>
          <w:rFonts w:ascii="Arial" w:hAnsi="Arial" w:cs="Arial"/>
        </w:rPr>
        <w:t>Digital Services Act (DSA) — Stakeholders: EU regulators, platforms, creators, advertisers.</w:t>
      </w:r>
    </w:p>
    <w:p w14:paraId="50CE499E" w14:textId="40A9D194" w:rsidR="00C3568B" w:rsidRPr="001C1CFB" w:rsidRDefault="00C3568B" w:rsidP="001C1CFB">
      <w:pPr>
        <w:spacing w:line="360" w:lineRule="auto"/>
        <w:jc w:val="both"/>
        <w:rPr>
          <w:rFonts w:ascii="Arial" w:hAnsi="Arial" w:cs="Arial"/>
        </w:rPr>
      </w:pPr>
      <w:r w:rsidRPr="001C1CFB">
        <w:rPr>
          <w:rFonts w:ascii="Arial" w:hAnsi="Arial" w:cs="Arial"/>
        </w:rPr>
        <w:t>The DSA introduces obligations for platforms on illegal content, transparency and risk management. This changes platform governance and may require new compliance processes for creators. (European Union, 2022).</w:t>
      </w:r>
    </w:p>
    <w:p w14:paraId="14EB0BA4" w14:textId="77777777" w:rsidR="00C3568B" w:rsidRPr="001C1CFB" w:rsidRDefault="00C3568B" w:rsidP="001C1CFB">
      <w:pPr>
        <w:spacing w:line="360" w:lineRule="auto"/>
        <w:jc w:val="both"/>
        <w:rPr>
          <w:rFonts w:ascii="Arial" w:hAnsi="Arial" w:cs="Arial"/>
        </w:rPr>
      </w:pPr>
      <w:r w:rsidRPr="001C1CFB">
        <w:rPr>
          <w:rFonts w:ascii="Arial" w:hAnsi="Arial" w:cs="Arial"/>
        </w:rPr>
        <w:t>National content regulation — Stakeholders: national governments, regulators, platforms.</w:t>
      </w:r>
    </w:p>
    <w:p w14:paraId="182A52DF" w14:textId="54378CF8" w:rsidR="00C3568B" w:rsidRPr="001C1CFB" w:rsidRDefault="00C3568B" w:rsidP="001C1CFB">
      <w:pPr>
        <w:spacing w:line="360" w:lineRule="auto"/>
        <w:jc w:val="both"/>
        <w:rPr>
          <w:rFonts w:ascii="Arial" w:hAnsi="Arial" w:cs="Arial"/>
        </w:rPr>
      </w:pPr>
      <w:r w:rsidRPr="001C1CFB">
        <w:rPr>
          <w:rFonts w:ascii="Arial" w:hAnsi="Arial" w:cs="Arial"/>
        </w:rPr>
        <w:t>Local rules (e.g., advertising standards) affect how creators disclose sponsorships and how platforms moderate content. See Appendix B threat: regulatory compliance costs. (Duffy and Meisner, 2023).</w:t>
      </w:r>
    </w:p>
    <w:p w14:paraId="2AB9E2A5" w14:textId="77777777" w:rsidR="00C3568B" w:rsidRPr="001C1CFB" w:rsidRDefault="00C3568B" w:rsidP="001C1CFB">
      <w:pPr>
        <w:spacing w:line="360" w:lineRule="auto"/>
        <w:jc w:val="both"/>
        <w:rPr>
          <w:rFonts w:ascii="Arial" w:hAnsi="Arial" w:cs="Arial"/>
        </w:rPr>
      </w:pPr>
      <w:r w:rsidRPr="001C1CFB">
        <w:rPr>
          <w:rFonts w:ascii="Arial" w:hAnsi="Arial" w:cs="Arial"/>
        </w:rPr>
        <w:t>Trade and taxation policy — Stakeholders: tax authorities, creators, platforms.</w:t>
      </w:r>
    </w:p>
    <w:p w14:paraId="38389F2C" w14:textId="4DD9E04C" w:rsidR="00C3568B" w:rsidRPr="001C1CFB" w:rsidRDefault="00C3568B" w:rsidP="001C1CFB">
      <w:pPr>
        <w:spacing w:line="360" w:lineRule="auto"/>
        <w:jc w:val="both"/>
        <w:rPr>
          <w:rFonts w:ascii="Arial" w:hAnsi="Arial" w:cs="Arial"/>
        </w:rPr>
      </w:pPr>
      <w:r w:rsidRPr="001C1CFB">
        <w:rPr>
          <w:rFonts w:ascii="Arial" w:hAnsi="Arial" w:cs="Arial"/>
        </w:rPr>
        <w:t>Tax rules for digital income influence creator net earnings and business models.</w:t>
      </w:r>
    </w:p>
    <w:p w14:paraId="6F3F1C8B" w14:textId="77777777" w:rsidR="00C3568B" w:rsidRPr="001C1CFB" w:rsidRDefault="00C3568B" w:rsidP="001C1CFB">
      <w:pPr>
        <w:spacing w:line="360" w:lineRule="auto"/>
        <w:jc w:val="both"/>
        <w:rPr>
          <w:rFonts w:ascii="Arial" w:hAnsi="Arial" w:cs="Arial"/>
          <w:b/>
          <w:bCs/>
        </w:rPr>
      </w:pPr>
      <w:r w:rsidRPr="001C1CFB">
        <w:rPr>
          <w:rFonts w:ascii="Arial" w:hAnsi="Arial" w:cs="Arial"/>
          <w:b/>
          <w:bCs/>
        </w:rPr>
        <w:t>Economic</w:t>
      </w:r>
    </w:p>
    <w:p w14:paraId="6336FE39" w14:textId="77777777" w:rsidR="00C3568B" w:rsidRPr="001C1CFB" w:rsidRDefault="00C3568B" w:rsidP="001C1CFB">
      <w:pPr>
        <w:spacing w:line="360" w:lineRule="auto"/>
        <w:jc w:val="both"/>
        <w:rPr>
          <w:rFonts w:ascii="Arial" w:hAnsi="Arial" w:cs="Arial"/>
        </w:rPr>
      </w:pPr>
      <w:r w:rsidRPr="001C1CFB">
        <w:rPr>
          <w:rFonts w:ascii="Arial" w:hAnsi="Arial" w:cs="Arial"/>
        </w:rPr>
        <w:t>Advertising market shifts — Stakeholders: brands, agencies, platforms, creators.</w:t>
      </w:r>
    </w:p>
    <w:p w14:paraId="4FC3C8F7" w14:textId="7227DD28" w:rsidR="00C3568B" w:rsidRPr="001C1CFB" w:rsidRDefault="00C3568B" w:rsidP="001C1CFB">
      <w:pPr>
        <w:spacing w:line="360" w:lineRule="auto"/>
        <w:jc w:val="both"/>
        <w:rPr>
          <w:rFonts w:ascii="Arial" w:hAnsi="Arial" w:cs="Arial"/>
        </w:rPr>
      </w:pPr>
      <w:r w:rsidRPr="001C1CFB">
        <w:rPr>
          <w:rFonts w:ascii="Arial" w:hAnsi="Arial" w:cs="Arial"/>
        </w:rPr>
        <w:t>Brand budgets move toward social commerce and creator partnerships; this changes revenue flows (GlobalData Plc., 2025d).</w:t>
      </w:r>
    </w:p>
    <w:p w14:paraId="25019A07" w14:textId="77777777" w:rsidR="00C3568B" w:rsidRPr="001C1CFB" w:rsidRDefault="00C3568B" w:rsidP="001C1CFB">
      <w:pPr>
        <w:spacing w:line="360" w:lineRule="auto"/>
        <w:jc w:val="both"/>
        <w:rPr>
          <w:rFonts w:ascii="Arial" w:hAnsi="Arial" w:cs="Arial"/>
        </w:rPr>
      </w:pPr>
      <w:r w:rsidRPr="001C1CFB">
        <w:rPr>
          <w:rFonts w:ascii="Arial" w:hAnsi="Arial" w:cs="Arial"/>
        </w:rPr>
        <w:t>Platform monetisation centralisation — Stakeholders: platforms, creators, SMEs.</w:t>
      </w:r>
    </w:p>
    <w:p w14:paraId="497EC068" w14:textId="7E5C4A47" w:rsidR="00C3568B" w:rsidRPr="001C1CFB" w:rsidRDefault="00C3568B" w:rsidP="001C1CFB">
      <w:pPr>
        <w:spacing w:line="360" w:lineRule="auto"/>
        <w:jc w:val="both"/>
        <w:rPr>
          <w:rFonts w:ascii="Arial" w:hAnsi="Arial" w:cs="Arial"/>
        </w:rPr>
      </w:pPr>
      <w:r w:rsidRPr="001C1CFB">
        <w:rPr>
          <w:rFonts w:ascii="Arial" w:hAnsi="Arial" w:cs="Arial"/>
        </w:rPr>
        <w:t xml:space="preserve">Platforms bundle payments, analytics and commerce, concentrating value capture. </w:t>
      </w:r>
      <w:r w:rsidR="00440CDB" w:rsidRPr="00440CDB">
        <w:rPr>
          <w:rFonts w:ascii="Arial" w:hAnsi="Arial" w:cs="Arial"/>
        </w:rPr>
        <w:t>this connection</w:t>
      </w:r>
      <w:r w:rsidR="00440CDB" w:rsidRPr="00440CDB">
        <w:rPr>
          <w:rFonts w:ascii="Arial" w:hAnsi="Arial" w:cs="Arial"/>
        </w:rPr>
        <w:t xml:space="preserve"> </w:t>
      </w:r>
      <w:r w:rsidR="00440CDB">
        <w:rPr>
          <w:rFonts w:ascii="Arial" w:hAnsi="Arial" w:cs="Arial"/>
        </w:rPr>
        <w:t xml:space="preserve">to </w:t>
      </w:r>
      <w:r w:rsidRPr="001C1CFB">
        <w:rPr>
          <w:rFonts w:ascii="Arial" w:hAnsi="Arial" w:cs="Arial"/>
        </w:rPr>
        <w:t>DPSIR Pressure of monetisation centralisation. (GlobalData Plc., 2025d).</w:t>
      </w:r>
    </w:p>
    <w:p w14:paraId="1EA822A9" w14:textId="76B46B19" w:rsidR="00C3568B" w:rsidRPr="001C1CFB" w:rsidRDefault="00856179" w:rsidP="001C1CFB">
      <w:pPr>
        <w:spacing w:line="360" w:lineRule="auto"/>
        <w:jc w:val="both"/>
        <w:rPr>
          <w:rFonts w:ascii="Arial" w:hAnsi="Arial" w:cs="Arial"/>
        </w:rPr>
      </w:pPr>
      <w:r w:rsidRPr="001C1CFB">
        <w:rPr>
          <w:rFonts w:ascii="Arial" w:hAnsi="Arial" w:cs="Arial"/>
        </w:rPr>
        <w:t>Macro-economic</w:t>
      </w:r>
      <w:r w:rsidR="00C3568B" w:rsidRPr="001C1CFB">
        <w:rPr>
          <w:rFonts w:ascii="Arial" w:hAnsi="Arial" w:cs="Arial"/>
        </w:rPr>
        <w:t xml:space="preserve"> cycles — Stakeholders: consumers, advertisers, creators.</w:t>
      </w:r>
    </w:p>
    <w:p w14:paraId="33466ECF" w14:textId="359A84A6" w:rsidR="00C3568B" w:rsidRPr="001C1CFB" w:rsidRDefault="00C3568B" w:rsidP="001C1CFB">
      <w:pPr>
        <w:spacing w:line="360" w:lineRule="auto"/>
        <w:jc w:val="both"/>
        <w:rPr>
          <w:rFonts w:ascii="Arial" w:hAnsi="Arial" w:cs="Arial"/>
        </w:rPr>
      </w:pPr>
      <w:r w:rsidRPr="001C1CFB">
        <w:rPr>
          <w:rFonts w:ascii="Arial" w:hAnsi="Arial" w:cs="Arial"/>
        </w:rPr>
        <w:t>Recessions or inflation affect ad spend and consumer buying power, altering creator income.</w:t>
      </w:r>
    </w:p>
    <w:p w14:paraId="3015C4A1" w14:textId="77777777" w:rsidR="00C3568B" w:rsidRPr="001C1CFB" w:rsidRDefault="00C3568B" w:rsidP="001C1CFB">
      <w:pPr>
        <w:spacing w:line="360" w:lineRule="auto"/>
        <w:jc w:val="both"/>
        <w:rPr>
          <w:rFonts w:ascii="Arial" w:hAnsi="Arial" w:cs="Arial"/>
          <w:b/>
          <w:bCs/>
        </w:rPr>
      </w:pPr>
      <w:r w:rsidRPr="001C1CFB">
        <w:rPr>
          <w:rFonts w:ascii="Arial" w:hAnsi="Arial" w:cs="Arial"/>
          <w:b/>
          <w:bCs/>
        </w:rPr>
        <w:t>Social</w:t>
      </w:r>
    </w:p>
    <w:p w14:paraId="4E252EA0" w14:textId="77777777" w:rsidR="00C3568B" w:rsidRPr="001C1CFB" w:rsidRDefault="00C3568B" w:rsidP="001C1CFB">
      <w:pPr>
        <w:spacing w:line="360" w:lineRule="auto"/>
        <w:jc w:val="both"/>
        <w:rPr>
          <w:rFonts w:ascii="Arial" w:hAnsi="Arial" w:cs="Arial"/>
        </w:rPr>
      </w:pPr>
      <w:r w:rsidRPr="001C1CFB">
        <w:rPr>
          <w:rFonts w:ascii="Arial" w:hAnsi="Arial" w:cs="Arial"/>
        </w:rPr>
        <w:t>Consumer trust and authenticity — Stakeholders: audiences, creators, brands.</w:t>
      </w:r>
    </w:p>
    <w:p w14:paraId="037A9DAD" w14:textId="03DF9BB7" w:rsidR="00C3568B" w:rsidRPr="001C1CFB" w:rsidRDefault="00C3568B" w:rsidP="001C1CFB">
      <w:pPr>
        <w:spacing w:line="360" w:lineRule="auto"/>
        <w:jc w:val="both"/>
        <w:rPr>
          <w:rFonts w:ascii="Arial" w:hAnsi="Arial" w:cs="Arial"/>
        </w:rPr>
      </w:pPr>
      <w:r w:rsidRPr="001C1CFB">
        <w:rPr>
          <w:rFonts w:ascii="Arial" w:hAnsi="Arial" w:cs="Arial"/>
        </w:rPr>
        <w:lastRenderedPageBreak/>
        <w:t>Trust drives engagement and sponsorship value; AI influencers can change perceptions (Allal</w:t>
      </w:r>
      <w:r w:rsidRPr="001C1CFB">
        <w:rPr>
          <w:rFonts w:ascii="Cambria Math" w:hAnsi="Cambria Math" w:cs="Cambria Math"/>
        </w:rPr>
        <w:t>‑</w:t>
      </w:r>
      <w:r w:rsidRPr="001C1CFB">
        <w:rPr>
          <w:rFonts w:ascii="Arial" w:hAnsi="Arial" w:cs="Arial"/>
        </w:rPr>
        <w:t>Chérif et al., 2023).</w:t>
      </w:r>
    </w:p>
    <w:p w14:paraId="11FF9865" w14:textId="77777777" w:rsidR="00C3568B" w:rsidRPr="001C1CFB" w:rsidRDefault="00C3568B" w:rsidP="001C1CFB">
      <w:pPr>
        <w:spacing w:line="360" w:lineRule="auto"/>
        <w:jc w:val="both"/>
        <w:rPr>
          <w:rFonts w:ascii="Arial" w:hAnsi="Arial" w:cs="Arial"/>
        </w:rPr>
      </w:pPr>
      <w:r w:rsidRPr="001C1CFB">
        <w:rPr>
          <w:rFonts w:ascii="Arial" w:hAnsi="Arial" w:cs="Arial"/>
        </w:rPr>
        <w:t>Demographic trends — Stakeholders: platforms, advertisers.</w:t>
      </w:r>
    </w:p>
    <w:p w14:paraId="1586040E" w14:textId="346572EE" w:rsidR="00C3568B" w:rsidRPr="001C1CFB" w:rsidRDefault="00C3568B" w:rsidP="001C1CFB">
      <w:pPr>
        <w:spacing w:line="360" w:lineRule="auto"/>
        <w:jc w:val="both"/>
        <w:rPr>
          <w:rFonts w:ascii="Arial" w:hAnsi="Arial" w:cs="Arial"/>
        </w:rPr>
      </w:pPr>
      <w:r w:rsidRPr="001C1CFB">
        <w:rPr>
          <w:rFonts w:ascii="Arial" w:hAnsi="Arial" w:cs="Arial"/>
        </w:rPr>
        <w:t>Younger audiences adopt new formats faster, shaping which creators succeed.</w:t>
      </w:r>
    </w:p>
    <w:p w14:paraId="51564AC0" w14:textId="77777777" w:rsidR="00C3568B" w:rsidRPr="001C1CFB" w:rsidRDefault="00C3568B" w:rsidP="001C1CFB">
      <w:pPr>
        <w:spacing w:line="360" w:lineRule="auto"/>
        <w:jc w:val="both"/>
        <w:rPr>
          <w:rFonts w:ascii="Arial" w:hAnsi="Arial" w:cs="Arial"/>
        </w:rPr>
      </w:pPr>
      <w:r w:rsidRPr="001C1CFB">
        <w:rPr>
          <w:rFonts w:ascii="Arial" w:hAnsi="Arial" w:cs="Arial"/>
        </w:rPr>
        <w:t>Community norms — Stakeholders: creator communities, followers.</w:t>
      </w:r>
    </w:p>
    <w:p w14:paraId="767E9465" w14:textId="32F6D7D3" w:rsidR="00C3568B" w:rsidRPr="001C1CFB" w:rsidRDefault="00C3568B" w:rsidP="001C1CFB">
      <w:pPr>
        <w:spacing w:line="360" w:lineRule="auto"/>
        <w:jc w:val="both"/>
        <w:rPr>
          <w:rFonts w:ascii="Arial" w:hAnsi="Arial" w:cs="Arial"/>
        </w:rPr>
      </w:pPr>
      <w:r w:rsidRPr="001C1CFB">
        <w:rPr>
          <w:rFonts w:ascii="Arial" w:hAnsi="Arial" w:cs="Arial"/>
        </w:rPr>
        <w:t>Norms about disclosure and authenticity influence brand deals and reputation.</w:t>
      </w:r>
    </w:p>
    <w:p w14:paraId="710FCF10" w14:textId="77777777" w:rsidR="00C3568B" w:rsidRPr="001C1CFB" w:rsidRDefault="00C3568B" w:rsidP="001C1CFB">
      <w:pPr>
        <w:spacing w:line="360" w:lineRule="auto"/>
        <w:jc w:val="both"/>
        <w:rPr>
          <w:rFonts w:ascii="Arial" w:hAnsi="Arial" w:cs="Arial"/>
          <w:b/>
          <w:bCs/>
        </w:rPr>
      </w:pPr>
      <w:r w:rsidRPr="001C1CFB">
        <w:rPr>
          <w:rFonts w:ascii="Arial" w:hAnsi="Arial" w:cs="Arial"/>
          <w:b/>
          <w:bCs/>
        </w:rPr>
        <w:t>Technological</w:t>
      </w:r>
    </w:p>
    <w:p w14:paraId="06879A11" w14:textId="77777777" w:rsidR="00C3568B" w:rsidRPr="001C1CFB" w:rsidRDefault="00C3568B" w:rsidP="001C1CFB">
      <w:pPr>
        <w:spacing w:line="360" w:lineRule="auto"/>
        <w:jc w:val="both"/>
        <w:rPr>
          <w:rFonts w:ascii="Arial" w:hAnsi="Arial" w:cs="Arial"/>
        </w:rPr>
      </w:pPr>
      <w:r w:rsidRPr="001C1CFB">
        <w:rPr>
          <w:rFonts w:ascii="Arial" w:hAnsi="Arial" w:cs="Arial"/>
        </w:rPr>
        <w:t>AI content tools — Stakeholders: platforms, creators, vendors.</w:t>
      </w:r>
    </w:p>
    <w:p w14:paraId="1B2E3E64" w14:textId="42C27871" w:rsidR="00C3568B" w:rsidRPr="001C1CFB" w:rsidRDefault="00C3568B" w:rsidP="001C1CFB">
      <w:pPr>
        <w:spacing w:line="360" w:lineRule="auto"/>
        <w:jc w:val="both"/>
        <w:rPr>
          <w:rFonts w:ascii="Arial" w:hAnsi="Arial" w:cs="Arial"/>
        </w:rPr>
      </w:pPr>
      <w:r w:rsidRPr="001C1CFB">
        <w:rPr>
          <w:rFonts w:ascii="Arial" w:hAnsi="Arial" w:cs="Arial"/>
        </w:rPr>
        <w:t>Generative tools lower production costs but raise competition (Sands et al., 2022).</w:t>
      </w:r>
    </w:p>
    <w:p w14:paraId="581C4F5A" w14:textId="77777777" w:rsidR="00C3568B" w:rsidRPr="001C1CFB" w:rsidRDefault="00C3568B" w:rsidP="001C1CFB">
      <w:pPr>
        <w:spacing w:line="360" w:lineRule="auto"/>
        <w:jc w:val="both"/>
        <w:rPr>
          <w:rFonts w:ascii="Arial" w:hAnsi="Arial" w:cs="Arial"/>
        </w:rPr>
      </w:pPr>
      <w:r w:rsidRPr="001C1CFB">
        <w:rPr>
          <w:rFonts w:ascii="Arial" w:hAnsi="Arial" w:cs="Arial"/>
        </w:rPr>
        <w:t>Recommendation algorithms — Stakeholders: platforms, creators, researchers.</w:t>
      </w:r>
    </w:p>
    <w:p w14:paraId="511D2568" w14:textId="39936922" w:rsidR="00C3568B" w:rsidRPr="001C1CFB" w:rsidRDefault="00C3568B" w:rsidP="001C1CFB">
      <w:pPr>
        <w:spacing w:line="360" w:lineRule="auto"/>
        <w:jc w:val="both"/>
        <w:rPr>
          <w:rFonts w:ascii="Arial" w:hAnsi="Arial" w:cs="Arial"/>
        </w:rPr>
      </w:pPr>
      <w:r w:rsidRPr="001C1CFB">
        <w:rPr>
          <w:rFonts w:ascii="Arial" w:hAnsi="Arial" w:cs="Arial"/>
        </w:rPr>
        <w:t>Algorithms determine visibility; transparency issues connect to DPSIR Responses. (Duffy and Meisner, 2023).</w:t>
      </w:r>
    </w:p>
    <w:p w14:paraId="6630EE55" w14:textId="77777777" w:rsidR="00C3568B" w:rsidRPr="001C1CFB" w:rsidRDefault="00C3568B" w:rsidP="001C1CFB">
      <w:pPr>
        <w:spacing w:line="360" w:lineRule="auto"/>
        <w:jc w:val="both"/>
        <w:rPr>
          <w:rFonts w:ascii="Arial" w:hAnsi="Arial" w:cs="Arial"/>
        </w:rPr>
      </w:pPr>
      <w:r w:rsidRPr="001C1CFB">
        <w:rPr>
          <w:rFonts w:ascii="Arial" w:hAnsi="Arial" w:cs="Arial"/>
        </w:rPr>
        <w:t>Payment and commerce tech — Stakeholders: platforms, payment providers, creators.</w:t>
      </w:r>
    </w:p>
    <w:p w14:paraId="7E340DC3" w14:textId="67350E46" w:rsidR="00C3568B" w:rsidRPr="001C1CFB" w:rsidRDefault="00C3568B" w:rsidP="001C1CFB">
      <w:pPr>
        <w:spacing w:line="360" w:lineRule="auto"/>
        <w:jc w:val="both"/>
        <w:rPr>
          <w:rFonts w:ascii="Arial" w:hAnsi="Arial" w:cs="Arial"/>
        </w:rPr>
      </w:pPr>
      <w:r w:rsidRPr="001C1CFB">
        <w:rPr>
          <w:rFonts w:ascii="Arial" w:hAnsi="Arial" w:cs="Arial"/>
        </w:rPr>
        <w:t>Integrated shopping features change monetisation paths (GlobalData Plc., 2026).</w:t>
      </w:r>
    </w:p>
    <w:p w14:paraId="2E00FEB5" w14:textId="77777777" w:rsidR="00C3568B" w:rsidRPr="001C1CFB" w:rsidRDefault="00C3568B" w:rsidP="001C1CFB">
      <w:pPr>
        <w:spacing w:line="360" w:lineRule="auto"/>
        <w:jc w:val="both"/>
        <w:rPr>
          <w:rFonts w:ascii="Arial" w:hAnsi="Arial" w:cs="Arial"/>
          <w:b/>
          <w:bCs/>
        </w:rPr>
      </w:pPr>
      <w:r w:rsidRPr="001C1CFB">
        <w:rPr>
          <w:rFonts w:ascii="Arial" w:hAnsi="Arial" w:cs="Arial"/>
          <w:b/>
          <w:bCs/>
        </w:rPr>
        <w:t>Environmental</w:t>
      </w:r>
    </w:p>
    <w:p w14:paraId="77382BCF" w14:textId="77777777" w:rsidR="00C3568B" w:rsidRPr="001C1CFB" w:rsidRDefault="00C3568B" w:rsidP="001C1CFB">
      <w:pPr>
        <w:spacing w:line="360" w:lineRule="auto"/>
        <w:jc w:val="both"/>
        <w:rPr>
          <w:rFonts w:ascii="Arial" w:hAnsi="Arial" w:cs="Arial"/>
        </w:rPr>
      </w:pPr>
      <w:r w:rsidRPr="001C1CFB">
        <w:rPr>
          <w:rFonts w:ascii="Arial" w:hAnsi="Arial" w:cs="Arial"/>
        </w:rPr>
        <w:t>Sustainability expectations — Stakeholders: brands, consumers, creators.</w:t>
      </w:r>
    </w:p>
    <w:p w14:paraId="40F59E08" w14:textId="797173DC" w:rsidR="00C3568B" w:rsidRPr="001C1CFB" w:rsidRDefault="00C3568B" w:rsidP="001C1CFB">
      <w:pPr>
        <w:spacing w:line="360" w:lineRule="auto"/>
        <w:jc w:val="both"/>
        <w:rPr>
          <w:rFonts w:ascii="Arial" w:hAnsi="Arial" w:cs="Arial"/>
        </w:rPr>
      </w:pPr>
      <w:r w:rsidRPr="001C1CFB">
        <w:rPr>
          <w:rFonts w:ascii="Arial" w:hAnsi="Arial" w:cs="Arial"/>
        </w:rPr>
        <w:t>Brands prefer sustainable partners; creators may need to show environmental responsibility.</w:t>
      </w:r>
    </w:p>
    <w:p w14:paraId="29BC8016" w14:textId="77777777" w:rsidR="00C3568B" w:rsidRPr="001C1CFB" w:rsidRDefault="00C3568B" w:rsidP="001C1CFB">
      <w:pPr>
        <w:spacing w:line="360" w:lineRule="auto"/>
        <w:jc w:val="both"/>
        <w:rPr>
          <w:rFonts w:ascii="Arial" w:hAnsi="Arial" w:cs="Arial"/>
        </w:rPr>
      </w:pPr>
      <w:r w:rsidRPr="001C1CFB">
        <w:rPr>
          <w:rFonts w:ascii="Arial" w:hAnsi="Arial" w:cs="Arial"/>
        </w:rPr>
        <w:t>Resource use for production — Stakeholders: creators, suppliers.</w:t>
      </w:r>
    </w:p>
    <w:p w14:paraId="3F8A840A" w14:textId="1076B65C" w:rsidR="00C3568B" w:rsidRPr="001C1CFB" w:rsidRDefault="00C3568B" w:rsidP="001C1CFB">
      <w:pPr>
        <w:spacing w:line="360" w:lineRule="auto"/>
        <w:jc w:val="both"/>
        <w:rPr>
          <w:rFonts w:ascii="Arial" w:hAnsi="Arial" w:cs="Arial"/>
        </w:rPr>
      </w:pPr>
      <w:r w:rsidRPr="001C1CFB">
        <w:rPr>
          <w:rFonts w:ascii="Arial" w:hAnsi="Arial" w:cs="Arial"/>
        </w:rPr>
        <w:t>High</w:t>
      </w:r>
      <w:r w:rsidRPr="001C1CFB">
        <w:rPr>
          <w:rFonts w:ascii="Cambria Math" w:hAnsi="Cambria Math" w:cs="Cambria Math"/>
        </w:rPr>
        <w:t>‑</w:t>
      </w:r>
      <w:r w:rsidRPr="001C1CFB">
        <w:rPr>
          <w:rFonts w:ascii="Arial" w:hAnsi="Arial" w:cs="Arial"/>
        </w:rPr>
        <w:t>production shoots have environmental costs that affect brand alignment.</w:t>
      </w:r>
    </w:p>
    <w:p w14:paraId="3FF84861" w14:textId="77777777" w:rsidR="00C3568B" w:rsidRPr="001C1CFB" w:rsidRDefault="00C3568B" w:rsidP="001C1CFB">
      <w:pPr>
        <w:spacing w:line="360" w:lineRule="auto"/>
        <w:jc w:val="both"/>
        <w:rPr>
          <w:rFonts w:ascii="Arial" w:hAnsi="Arial" w:cs="Arial"/>
          <w:b/>
          <w:bCs/>
        </w:rPr>
      </w:pPr>
      <w:r w:rsidRPr="001C1CFB">
        <w:rPr>
          <w:rFonts w:ascii="Arial" w:hAnsi="Arial" w:cs="Arial"/>
          <w:b/>
          <w:bCs/>
        </w:rPr>
        <w:t>Legal</w:t>
      </w:r>
    </w:p>
    <w:p w14:paraId="32FD756D" w14:textId="77777777" w:rsidR="00C3568B" w:rsidRPr="001C1CFB" w:rsidRDefault="00C3568B" w:rsidP="001C1CFB">
      <w:pPr>
        <w:spacing w:line="360" w:lineRule="auto"/>
        <w:jc w:val="both"/>
        <w:rPr>
          <w:rFonts w:ascii="Arial" w:hAnsi="Arial" w:cs="Arial"/>
        </w:rPr>
      </w:pPr>
      <w:r w:rsidRPr="001C1CFB">
        <w:rPr>
          <w:rFonts w:ascii="Arial" w:hAnsi="Arial" w:cs="Arial"/>
        </w:rPr>
        <w:t>Advertising and disclosure law — Stakeholders: regulators, creators, brands.</w:t>
      </w:r>
    </w:p>
    <w:p w14:paraId="408E9550" w14:textId="353EAF6E" w:rsidR="00C3568B" w:rsidRPr="001C1CFB" w:rsidRDefault="00C3568B" w:rsidP="001C1CFB">
      <w:pPr>
        <w:spacing w:line="360" w:lineRule="auto"/>
        <w:jc w:val="both"/>
        <w:rPr>
          <w:rFonts w:ascii="Arial" w:hAnsi="Arial" w:cs="Arial"/>
        </w:rPr>
      </w:pPr>
      <w:r w:rsidRPr="001C1CFB">
        <w:rPr>
          <w:rFonts w:ascii="Arial" w:hAnsi="Arial" w:cs="Arial"/>
        </w:rPr>
        <w:t>Rules on sponsored content affect how creators must label posts (CIPD, 2024).</w:t>
      </w:r>
    </w:p>
    <w:p w14:paraId="3902F92D" w14:textId="77777777" w:rsidR="00C3568B" w:rsidRPr="001C1CFB" w:rsidRDefault="00C3568B" w:rsidP="001C1CFB">
      <w:pPr>
        <w:spacing w:line="360" w:lineRule="auto"/>
        <w:jc w:val="both"/>
        <w:rPr>
          <w:rFonts w:ascii="Arial" w:hAnsi="Arial" w:cs="Arial"/>
        </w:rPr>
      </w:pPr>
      <w:r w:rsidRPr="001C1CFB">
        <w:rPr>
          <w:rFonts w:ascii="Arial" w:hAnsi="Arial" w:cs="Arial"/>
        </w:rPr>
        <w:t>Intellectual property — Stakeholders: creators, platforms, rights holders.</w:t>
      </w:r>
    </w:p>
    <w:p w14:paraId="421E0864" w14:textId="40DCD7CB" w:rsidR="00C3568B" w:rsidRPr="001C1CFB" w:rsidRDefault="00C3568B" w:rsidP="001C1CFB">
      <w:pPr>
        <w:spacing w:line="360" w:lineRule="auto"/>
        <w:jc w:val="both"/>
        <w:rPr>
          <w:rFonts w:ascii="Arial" w:hAnsi="Arial" w:cs="Arial"/>
        </w:rPr>
      </w:pPr>
      <w:r w:rsidRPr="001C1CFB">
        <w:rPr>
          <w:rFonts w:ascii="Arial" w:hAnsi="Arial" w:cs="Arial"/>
        </w:rPr>
        <w:t>IP disputes can limit reuse of content and affect revenue.</w:t>
      </w:r>
    </w:p>
    <w:p w14:paraId="1534C464" w14:textId="77777777" w:rsidR="00C3568B" w:rsidRPr="001C1CFB" w:rsidRDefault="00C3568B" w:rsidP="001C1CFB">
      <w:pPr>
        <w:spacing w:line="360" w:lineRule="auto"/>
        <w:jc w:val="both"/>
        <w:rPr>
          <w:rFonts w:ascii="Arial" w:hAnsi="Arial" w:cs="Arial"/>
          <w:b/>
          <w:bCs/>
        </w:rPr>
      </w:pPr>
      <w:r w:rsidRPr="001C1CFB">
        <w:rPr>
          <w:rFonts w:ascii="Arial" w:hAnsi="Arial" w:cs="Arial"/>
          <w:b/>
          <w:bCs/>
        </w:rPr>
        <w:t>Ethical</w:t>
      </w:r>
    </w:p>
    <w:p w14:paraId="245EDE90" w14:textId="77777777" w:rsidR="00C3568B" w:rsidRPr="001C1CFB" w:rsidRDefault="00C3568B" w:rsidP="001C1CFB">
      <w:pPr>
        <w:spacing w:line="360" w:lineRule="auto"/>
        <w:jc w:val="both"/>
        <w:rPr>
          <w:rFonts w:ascii="Arial" w:hAnsi="Arial" w:cs="Arial"/>
        </w:rPr>
      </w:pPr>
      <w:r w:rsidRPr="001C1CFB">
        <w:rPr>
          <w:rFonts w:ascii="Arial" w:hAnsi="Arial" w:cs="Arial"/>
        </w:rPr>
        <w:t>AI disclosure and transparency — Stakeholders: platforms, creators, audiences.</w:t>
      </w:r>
    </w:p>
    <w:p w14:paraId="668CF08F" w14:textId="734F4F80" w:rsidR="00C3568B" w:rsidRPr="001C1CFB" w:rsidRDefault="00C3568B" w:rsidP="001C1CFB">
      <w:pPr>
        <w:spacing w:line="360" w:lineRule="auto"/>
        <w:jc w:val="both"/>
        <w:rPr>
          <w:rFonts w:ascii="Arial" w:hAnsi="Arial" w:cs="Arial"/>
        </w:rPr>
      </w:pPr>
      <w:r w:rsidRPr="001C1CFB">
        <w:rPr>
          <w:rFonts w:ascii="Arial" w:hAnsi="Arial" w:cs="Arial"/>
        </w:rPr>
        <w:t>Ethical norms require disclosure of AI</w:t>
      </w:r>
      <w:r w:rsidRPr="001C1CFB">
        <w:rPr>
          <w:rFonts w:ascii="Cambria Math" w:hAnsi="Cambria Math" w:cs="Cambria Math"/>
        </w:rPr>
        <w:t>‑</w:t>
      </w:r>
      <w:r w:rsidRPr="001C1CFB">
        <w:rPr>
          <w:rFonts w:ascii="Arial" w:hAnsi="Arial" w:cs="Arial"/>
        </w:rPr>
        <w:t>generated content; failure harms trust (Sands et al., 2022).</w:t>
      </w:r>
    </w:p>
    <w:p w14:paraId="47F58B45" w14:textId="32CF3542" w:rsidR="00C3568B" w:rsidRPr="001C1CFB" w:rsidRDefault="00C3568B" w:rsidP="001C1CFB">
      <w:pPr>
        <w:spacing w:line="360" w:lineRule="auto"/>
        <w:jc w:val="both"/>
        <w:rPr>
          <w:rFonts w:ascii="Arial" w:hAnsi="Arial" w:cs="Arial"/>
        </w:rPr>
      </w:pPr>
      <w:r w:rsidRPr="001C1CFB">
        <w:rPr>
          <w:rFonts w:ascii="Arial" w:hAnsi="Arial" w:cs="Arial"/>
        </w:rPr>
        <w:lastRenderedPageBreak/>
        <w:t>Fairness and platform power — Stakeholders: creators, platforms, policymakers.</w:t>
      </w:r>
    </w:p>
    <w:p w14:paraId="208B96A7" w14:textId="44A9C9A6" w:rsidR="00806985" w:rsidRDefault="00C3568B" w:rsidP="001C1CFB">
      <w:pPr>
        <w:spacing w:line="360" w:lineRule="auto"/>
        <w:jc w:val="both"/>
        <w:rPr>
          <w:rFonts w:ascii="Arial" w:hAnsi="Arial" w:cs="Arial"/>
        </w:rPr>
      </w:pPr>
      <w:r w:rsidRPr="001C1CFB">
        <w:rPr>
          <w:rFonts w:ascii="Arial" w:hAnsi="Arial" w:cs="Arial"/>
        </w:rPr>
        <w:t>Ethical debates about platform dominance shape calls for regulation (Duffy and Meisner, 2023).</w:t>
      </w:r>
    </w:p>
    <w:p w14:paraId="2E79B612" w14:textId="77777777" w:rsidR="00AE5FD6" w:rsidRDefault="00AE5FD6" w:rsidP="001C1CFB">
      <w:pPr>
        <w:spacing w:line="360" w:lineRule="auto"/>
        <w:jc w:val="both"/>
        <w:rPr>
          <w:rFonts w:ascii="Arial" w:hAnsi="Arial" w:cs="Arial"/>
        </w:rPr>
      </w:pPr>
    </w:p>
    <w:p w14:paraId="5FCDB00C" w14:textId="77777777" w:rsidR="00AE5FD6" w:rsidRDefault="00AE5FD6" w:rsidP="001C1CFB">
      <w:pPr>
        <w:spacing w:line="360" w:lineRule="auto"/>
        <w:jc w:val="both"/>
        <w:rPr>
          <w:rFonts w:ascii="Arial" w:hAnsi="Arial" w:cs="Arial"/>
        </w:rPr>
      </w:pPr>
    </w:p>
    <w:p w14:paraId="0492F97D" w14:textId="77777777" w:rsidR="00AE5FD6" w:rsidRPr="001C1CFB" w:rsidRDefault="00AE5FD6" w:rsidP="001C1CFB">
      <w:pPr>
        <w:spacing w:line="360" w:lineRule="auto"/>
        <w:jc w:val="both"/>
        <w:rPr>
          <w:rFonts w:ascii="Arial" w:hAnsi="Arial" w:cs="Arial"/>
        </w:rPr>
      </w:pPr>
    </w:p>
    <w:p w14:paraId="1F65FA33" w14:textId="68344961" w:rsidR="00BF1B85" w:rsidRPr="001C1CFB" w:rsidRDefault="00D94D08" w:rsidP="001C1CFB">
      <w:pPr>
        <w:spacing w:line="360" w:lineRule="auto"/>
        <w:jc w:val="both"/>
        <w:rPr>
          <w:rFonts w:ascii="Arial" w:hAnsi="Arial" w:cs="Arial"/>
          <w:b/>
          <w:bCs/>
        </w:rPr>
      </w:pPr>
      <w:r w:rsidRPr="001C1CFB">
        <w:rPr>
          <w:rFonts w:ascii="Arial" w:hAnsi="Arial" w:cs="Arial"/>
          <w:b/>
          <w:bCs/>
        </w:rPr>
        <w:t>Appendix B — SWOT comparative table (KSI vs Molly</w:t>
      </w:r>
      <w:r w:rsidRPr="001C1CFB">
        <w:rPr>
          <w:rFonts w:ascii="Cambria Math" w:hAnsi="Cambria Math" w:cs="Cambria Math"/>
          <w:b/>
          <w:bCs/>
        </w:rPr>
        <w:t>‑</w:t>
      </w:r>
      <w:r w:rsidRPr="001C1CFB">
        <w:rPr>
          <w:rFonts w:ascii="Arial" w:hAnsi="Arial" w:cs="Arial"/>
          <w:b/>
          <w:bCs/>
        </w:rPr>
        <w:t>Mae Hague)</w:t>
      </w:r>
    </w:p>
    <w:tbl>
      <w:tblPr>
        <w:tblW w:w="9006" w:type="dxa"/>
        <w:tblLook w:val="04A0" w:firstRow="1" w:lastRow="0" w:firstColumn="1" w:lastColumn="0" w:noHBand="0" w:noVBand="1"/>
      </w:tblPr>
      <w:tblGrid>
        <w:gridCol w:w="1252"/>
        <w:gridCol w:w="1967"/>
        <w:gridCol w:w="1291"/>
        <w:gridCol w:w="1391"/>
        <w:gridCol w:w="1662"/>
        <w:gridCol w:w="1562"/>
        <w:gridCol w:w="1321"/>
      </w:tblGrid>
      <w:tr w:rsidR="00BF1B85" w:rsidRPr="001C1CFB" w14:paraId="7A0122A4" w14:textId="77777777" w:rsidTr="00806985">
        <w:trPr>
          <w:trHeight w:val="340"/>
        </w:trPr>
        <w:tc>
          <w:tcPr>
            <w:tcW w:w="356" w:type="dxa"/>
            <w:tcBorders>
              <w:top w:val="single" w:sz="8" w:space="0" w:color="auto"/>
              <w:left w:val="single" w:sz="8" w:space="0" w:color="auto"/>
              <w:bottom w:val="single" w:sz="8" w:space="0" w:color="auto"/>
              <w:right w:val="single" w:sz="8" w:space="0" w:color="auto"/>
            </w:tcBorders>
            <w:noWrap/>
            <w:vAlign w:val="bottom"/>
            <w:hideMark/>
          </w:tcPr>
          <w:p w14:paraId="00AC63CA" w14:textId="77777777" w:rsidR="00BF1B85" w:rsidRPr="0097666C" w:rsidRDefault="00BF1B85" w:rsidP="001C1CFB">
            <w:pPr>
              <w:spacing w:after="0" w:line="360" w:lineRule="auto"/>
              <w:rPr>
                <w:rFonts w:ascii="Arial" w:eastAsia="Times New Roman" w:hAnsi="Arial" w:cs="Arial"/>
                <w:b/>
                <w:bCs/>
                <w:color w:val="000000"/>
                <w:kern w:val="0"/>
                <w:lang w:eastAsia="en-GB"/>
                <w14:ligatures w14:val="none"/>
              </w:rPr>
            </w:pPr>
            <w:r w:rsidRPr="0097666C">
              <w:rPr>
                <w:rFonts w:ascii="Arial" w:eastAsia="Times New Roman" w:hAnsi="Arial" w:cs="Arial"/>
                <w:b/>
                <w:bCs/>
                <w:color w:val="000000"/>
                <w:kern w:val="0"/>
                <w:lang w:eastAsia="en-GB"/>
                <w14:ligatures w14:val="none"/>
              </w:rPr>
              <w:t>SWOT Element</w:t>
            </w:r>
          </w:p>
        </w:tc>
        <w:tc>
          <w:tcPr>
            <w:tcW w:w="2541" w:type="dxa"/>
            <w:tcBorders>
              <w:top w:val="single" w:sz="8" w:space="0" w:color="auto"/>
              <w:left w:val="nil"/>
              <w:bottom w:val="single" w:sz="8" w:space="0" w:color="auto"/>
              <w:right w:val="single" w:sz="8" w:space="0" w:color="auto"/>
            </w:tcBorders>
            <w:noWrap/>
            <w:vAlign w:val="bottom"/>
            <w:hideMark/>
          </w:tcPr>
          <w:p w14:paraId="707CE19F" w14:textId="77777777" w:rsidR="00BF1B85" w:rsidRPr="0097666C" w:rsidRDefault="00BF1B85" w:rsidP="001C1CFB">
            <w:pPr>
              <w:spacing w:after="0" w:line="360" w:lineRule="auto"/>
              <w:rPr>
                <w:rFonts w:ascii="Arial" w:eastAsia="Times New Roman" w:hAnsi="Arial" w:cs="Arial"/>
                <w:b/>
                <w:bCs/>
                <w:color w:val="000000"/>
                <w:kern w:val="0"/>
                <w:lang w:eastAsia="en-GB"/>
                <w14:ligatures w14:val="none"/>
              </w:rPr>
            </w:pPr>
            <w:r w:rsidRPr="0097666C">
              <w:rPr>
                <w:rFonts w:ascii="Arial" w:eastAsia="Times New Roman" w:hAnsi="Arial" w:cs="Arial"/>
                <w:b/>
                <w:bCs/>
                <w:color w:val="000000"/>
                <w:kern w:val="0"/>
                <w:lang w:eastAsia="en-GB"/>
                <w14:ligatures w14:val="none"/>
              </w:rPr>
              <w:t>KSI — Followers</w:t>
            </w:r>
          </w:p>
        </w:tc>
        <w:tc>
          <w:tcPr>
            <w:tcW w:w="1085" w:type="dxa"/>
            <w:tcBorders>
              <w:top w:val="single" w:sz="8" w:space="0" w:color="auto"/>
              <w:left w:val="nil"/>
              <w:bottom w:val="single" w:sz="8" w:space="0" w:color="auto"/>
              <w:right w:val="single" w:sz="8" w:space="0" w:color="auto"/>
            </w:tcBorders>
            <w:noWrap/>
            <w:vAlign w:val="bottom"/>
            <w:hideMark/>
          </w:tcPr>
          <w:p w14:paraId="01E8752C" w14:textId="77777777" w:rsidR="00BF1B85" w:rsidRPr="0097666C" w:rsidRDefault="00BF1B85" w:rsidP="001C1CFB">
            <w:pPr>
              <w:spacing w:after="0" w:line="360" w:lineRule="auto"/>
              <w:rPr>
                <w:rFonts w:ascii="Arial" w:eastAsia="Times New Roman" w:hAnsi="Arial" w:cs="Arial"/>
                <w:b/>
                <w:bCs/>
                <w:color w:val="000000"/>
                <w:kern w:val="0"/>
                <w:lang w:eastAsia="en-GB"/>
                <w14:ligatures w14:val="none"/>
              </w:rPr>
            </w:pPr>
            <w:r w:rsidRPr="0097666C">
              <w:rPr>
                <w:rFonts w:ascii="Arial" w:eastAsia="Times New Roman" w:hAnsi="Arial" w:cs="Arial"/>
                <w:b/>
                <w:bCs/>
                <w:color w:val="000000"/>
                <w:kern w:val="0"/>
                <w:lang w:eastAsia="en-GB"/>
                <w14:ligatures w14:val="none"/>
              </w:rPr>
              <w:t>KSI — Platforms</w:t>
            </w:r>
          </w:p>
        </w:tc>
        <w:tc>
          <w:tcPr>
            <w:tcW w:w="1270" w:type="dxa"/>
            <w:tcBorders>
              <w:top w:val="single" w:sz="8" w:space="0" w:color="auto"/>
              <w:left w:val="nil"/>
              <w:bottom w:val="single" w:sz="8" w:space="0" w:color="auto"/>
              <w:right w:val="single" w:sz="8" w:space="0" w:color="auto"/>
            </w:tcBorders>
            <w:noWrap/>
            <w:vAlign w:val="bottom"/>
            <w:hideMark/>
          </w:tcPr>
          <w:p w14:paraId="4DE3C0EC" w14:textId="55102A1E" w:rsidR="00BF1B85" w:rsidRPr="0097666C" w:rsidRDefault="00BF1B85" w:rsidP="001C1CFB">
            <w:pPr>
              <w:spacing w:after="0" w:line="360" w:lineRule="auto"/>
              <w:rPr>
                <w:rFonts w:ascii="Arial" w:eastAsia="Times New Roman" w:hAnsi="Arial" w:cs="Arial"/>
                <w:b/>
                <w:bCs/>
                <w:color w:val="000000"/>
                <w:kern w:val="0"/>
                <w:lang w:eastAsia="en-GB"/>
                <w14:ligatures w14:val="none"/>
              </w:rPr>
            </w:pPr>
            <w:r w:rsidRPr="0097666C">
              <w:rPr>
                <w:rFonts w:ascii="Arial" w:eastAsia="Times New Roman" w:hAnsi="Arial" w:cs="Arial"/>
                <w:b/>
                <w:bCs/>
                <w:color w:val="000000"/>
                <w:kern w:val="0"/>
                <w:lang w:eastAsia="en-GB"/>
                <w14:ligatures w14:val="none"/>
              </w:rPr>
              <w:t xml:space="preserve">KSI </w:t>
            </w:r>
            <w:r w:rsidR="002A137A" w:rsidRPr="0097666C">
              <w:rPr>
                <w:rFonts w:ascii="Arial" w:eastAsia="Times New Roman" w:hAnsi="Arial" w:cs="Arial"/>
                <w:b/>
                <w:bCs/>
                <w:color w:val="000000"/>
                <w:kern w:val="0"/>
                <w:lang w:eastAsia="en-GB"/>
                <w14:ligatures w14:val="none"/>
              </w:rPr>
              <w:t>/</w:t>
            </w:r>
            <w:r w:rsidRPr="0097666C">
              <w:rPr>
                <w:rFonts w:ascii="Arial" w:eastAsia="Times New Roman" w:hAnsi="Arial" w:cs="Arial"/>
                <w:b/>
                <w:bCs/>
                <w:color w:val="000000"/>
                <w:kern w:val="0"/>
                <w:lang w:eastAsia="en-GB"/>
                <w14:ligatures w14:val="none"/>
              </w:rPr>
              <w:t xml:space="preserve"> Target</w:t>
            </w:r>
          </w:p>
        </w:tc>
        <w:tc>
          <w:tcPr>
            <w:tcW w:w="1720" w:type="dxa"/>
            <w:tcBorders>
              <w:top w:val="single" w:sz="8" w:space="0" w:color="auto"/>
              <w:left w:val="nil"/>
              <w:bottom w:val="single" w:sz="8" w:space="0" w:color="auto"/>
              <w:right w:val="single" w:sz="8" w:space="0" w:color="auto"/>
            </w:tcBorders>
            <w:noWrap/>
            <w:vAlign w:val="bottom"/>
            <w:hideMark/>
          </w:tcPr>
          <w:p w14:paraId="356CF075" w14:textId="77777777" w:rsidR="00BF1B85" w:rsidRPr="0097666C" w:rsidRDefault="00BF1B85" w:rsidP="001C1CFB">
            <w:pPr>
              <w:spacing w:after="0" w:line="360" w:lineRule="auto"/>
              <w:rPr>
                <w:rFonts w:ascii="Arial" w:eastAsia="Times New Roman" w:hAnsi="Arial" w:cs="Arial"/>
                <w:b/>
                <w:bCs/>
                <w:color w:val="000000"/>
                <w:kern w:val="0"/>
                <w:lang w:eastAsia="en-GB"/>
                <w14:ligatures w14:val="none"/>
              </w:rPr>
            </w:pPr>
            <w:r w:rsidRPr="0097666C">
              <w:rPr>
                <w:rFonts w:ascii="Arial" w:eastAsia="Times New Roman" w:hAnsi="Arial" w:cs="Arial"/>
                <w:b/>
                <w:bCs/>
                <w:color w:val="000000"/>
                <w:kern w:val="0"/>
                <w:lang w:eastAsia="en-GB"/>
                <w14:ligatures w14:val="none"/>
              </w:rPr>
              <w:t>Molly</w:t>
            </w:r>
            <w:r w:rsidRPr="0097666C">
              <w:rPr>
                <w:rFonts w:ascii="Arial" w:eastAsia="Times New Roman" w:hAnsi="Arial" w:cs="Arial"/>
                <w:b/>
                <w:bCs/>
                <w:color w:val="000000"/>
                <w:kern w:val="0"/>
                <w:lang w:eastAsia="en-GB"/>
                <w14:ligatures w14:val="none"/>
              </w:rPr>
              <w:noBreakHyphen/>
              <w:t>Mae — Followers</w:t>
            </w:r>
          </w:p>
        </w:tc>
        <w:tc>
          <w:tcPr>
            <w:tcW w:w="937" w:type="dxa"/>
            <w:tcBorders>
              <w:top w:val="single" w:sz="8" w:space="0" w:color="auto"/>
              <w:left w:val="nil"/>
              <w:bottom w:val="single" w:sz="8" w:space="0" w:color="auto"/>
              <w:right w:val="single" w:sz="8" w:space="0" w:color="auto"/>
            </w:tcBorders>
            <w:noWrap/>
            <w:vAlign w:val="bottom"/>
            <w:hideMark/>
          </w:tcPr>
          <w:p w14:paraId="2F51975D" w14:textId="77777777" w:rsidR="00BF1B85" w:rsidRPr="0097666C" w:rsidRDefault="00BF1B85" w:rsidP="001C1CFB">
            <w:pPr>
              <w:spacing w:after="0" w:line="360" w:lineRule="auto"/>
              <w:rPr>
                <w:rFonts w:ascii="Arial" w:eastAsia="Times New Roman" w:hAnsi="Arial" w:cs="Arial"/>
                <w:b/>
                <w:bCs/>
                <w:color w:val="000000"/>
                <w:kern w:val="0"/>
                <w:lang w:eastAsia="en-GB"/>
                <w14:ligatures w14:val="none"/>
              </w:rPr>
            </w:pPr>
            <w:r w:rsidRPr="0097666C">
              <w:rPr>
                <w:rFonts w:ascii="Arial" w:eastAsia="Times New Roman" w:hAnsi="Arial" w:cs="Arial"/>
                <w:b/>
                <w:bCs/>
                <w:color w:val="000000"/>
                <w:kern w:val="0"/>
                <w:lang w:eastAsia="en-GB"/>
                <w14:ligatures w14:val="none"/>
              </w:rPr>
              <w:t>Molly</w:t>
            </w:r>
            <w:r w:rsidRPr="0097666C">
              <w:rPr>
                <w:rFonts w:ascii="Arial" w:eastAsia="Times New Roman" w:hAnsi="Arial" w:cs="Arial"/>
                <w:b/>
                <w:bCs/>
                <w:color w:val="000000"/>
                <w:kern w:val="0"/>
                <w:lang w:eastAsia="en-GB"/>
                <w14:ligatures w14:val="none"/>
              </w:rPr>
              <w:noBreakHyphen/>
              <w:t>Mae — Platforms</w:t>
            </w:r>
          </w:p>
        </w:tc>
        <w:tc>
          <w:tcPr>
            <w:tcW w:w="1097" w:type="dxa"/>
            <w:tcBorders>
              <w:top w:val="single" w:sz="8" w:space="0" w:color="auto"/>
              <w:left w:val="nil"/>
              <w:bottom w:val="single" w:sz="8" w:space="0" w:color="auto"/>
              <w:right w:val="single" w:sz="8" w:space="0" w:color="auto"/>
            </w:tcBorders>
            <w:noWrap/>
            <w:vAlign w:val="bottom"/>
            <w:hideMark/>
          </w:tcPr>
          <w:p w14:paraId="6828A2F9" w14:textId="14EDD72B" w:rsidR="00BF1B85" w:rsidRPr="0097666C" w:rsidRDefault="00BF1B85" w:rsidP="001C1CFB">
            <w:pPr>
              <w:spacing w:after="0" w:line="360" w:lineRule="auto"/>
              <w:rPr>
                <w:rFonts w:ascii="Arial" w:eastAsia="Times New Roman" w:hAnsi="Arial" w:cs="Arial"/>
                <w:b/>
                <w:bCs/>
                <w:color w:val="000000"/>
                <w:kern w:val="0"/>
                <w:lang w:eastAsia="en-GB"/>
                <w14:ligatures w14:val="none"/>
              </w:rPr>
            </w:pPr>
            <w:r w:rsidRPr="0097666C">
              <w:rPr>
                <w:rFonts w:ascii="Arial" w:eastAsia="Times New Roman" w:hAnsi="Arial" w:cs="Arial"/>
                <w:b/>
                <w:bCs/>
                <w:color w:val="000000"/>
                <w:kern w:val="0"/>
                <w:lang w:eastAsia="en-GB"/>
                <w14:ligatures w14:val="none"/>
              </w:rPr>
              <w:t>Molly</w:t>
            </w:r>
            <w:r w:rsidRPr="0097666C">
              <w:rPr>
                <w:rFonts w:ascii="Arial" w:eastAsia="Times New Roman" w:hAnsi="Arial" w:cs="Arial"/>
                <w:b/>
                <w:bCs/>
                <w:color w:val="000000"/>
                <w:kern w:val="0"/>
                <w:lang w:eastAsia="en-GB"/>
                <w14:ligatures w14:val="none"/>
              </w:rPr>
              <w:noBreakHyphen/>
              <w:t>Mae / Target</w:t>
            </w:r>
          </w:p>
        </w:tc>
      </w:tr>
      <w:tr w:rsidR="00BF1B85" w:rsidRPr="001C1CFB" w14:paraId="3CC6E47F" w14:textId="77777777" w:rsidTr="00806985">
        <w:trPr>
          <w:trHeight w:val="340"/>
        </w:trPr>
        <w:tc>
          <w:tcPr>
            <w:tcW w:w="356" w:type="dxa"/>
            <w:tcBorders>
              <w:top w:val="nil"/>
              <w:left w:val="single" w:sz="8" w:space="0" w:color="auto"/>
              <w:bottom w:val="single" w:sz="8" w:space="0" w:color="auto"/>
              <w:right w:val="single" w:sz="8" w:space="0" w:color="auto"/>
            </w:tcBorders>
            <w:noWrap/>
            <w:vAlign w:val="bottom"/>
            <w:hideMark/>
          </w:tcPr>
          <w:p w14:paraId="189AD4E8" w14:textId="77777777" w:rsidR="00BF1B85" w:rsidRPr="001C1CFB" w:rsidRDefault="00BF1B85" w:rsidP="001C1CFB">
            <w:pPr>
              <w:spacing w:after="0" w:line="360" w:lineRule="auto"/>
              <w:rPr>
                <w:rFonts w:ascii="Arial" w:eastAsia="Times New Roman" w:hAnsi="Arial" w:cs="Arial"/>
                <w:b/>
                <w:bCs/>
                <w:color w:val="000000"/>
                <w:kern w:val="0"/>
                <w:lang w:eastAsia="en-GB"/>
                <w14:ligatures w14:val="none"/>
              </w:rPr>
            </w:pPr>
            <w:r w:rsidRPr="001C1CFB">
              <w:rPr>
                <w:rFonts w:ascii="Arial" w:eastAsia="Times New Roman" w:hAnsi="Arial" w:cs="Arial"/>
                <w:b/>
                <w:bCs/>
                <w:color w:val="000000"/>
                <w:kern w:val="0"/>
                <w:lang w:eastAsia="en-GB"/>
                <w14:ligatures w14:val="none"/>
              </w:rPr>
              <w:t>Strength 1</w:t>
            </w:r>
          </w:p>
        </w:tc>
        <w:tc>
          <w:tcPr>
            <w:tcW w:w="2541" w:type="dxa"/>
            <w:tcBorders>
              <w:top w:val="nil"/>
              <w:left w:val="nil"/>
              <w:bottom w:val="single" w:sz="8" w:space="0" w:color="auto"/>
              <w:right w:val="single" w:sz="8" w:space="0" w:color="auto"/>
            </w:tcBorders>
            <w:noWrap/>
            <w:vAlign w:val="bottom"/>
            <w:hideMark/>
          </w:tcPr>
          <w:p w14:paraId="06E68E58"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&gt;85M total; YouTube &gt;46M (KSI Music 24.8M; KSI 18.5M; KSIClips 3.4M).</w:t>
            </w:r>
          </w:p>
        </w:tc>
        <w:tc>
          <w:tcPr>
            <w:tcW w:w="1085" w:type="dxa"/>
            <w:tcBorders>
              <w:top w:val="nil"/>
              <w:left w:val="nil"/>
              <w:bottom w:val="single" w:sz="8" w:space="0" w:color="auto"/>
              <w:right w:val="single" w:sz="8" w:space="0" w:color="auto"/>
            </w:tcBorders>
            <w:noWrap/>
            <w:vAlign w:val="bottom"/>
            <w:hideMark/>
          </w:tcPr>
          <w:p w14:paraId="55EF7313"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YouTube; Twitch; Instagram; TikTok; X; Spotify.</w:t>
            </w:r>
          </w:p>
        </w:tc>
        <w:tc>
          <w:tcPr>
            <w:tcW w:w="1270" w:type="dxa"/>
            <w:tcBorders>
              <w:top w:val="nil"/>
              <w:left w:val="nil"/>
              <w:bottom w:val="single" w:sz="8" w:space="0" w:color="auto"/>
              <w:right w:val="single" w:sz="8" w:space="0" w:color="auto"/>
            </w:tcBorders>
            <w:noWrap/>
            <w:vAlign w:val="bottom"/>
            <w:hideMark/>
          </w:tcPr>
          <w:p w14:paraId="5E1E8714"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Entertainment, music, boxing; broad young-adult audience.</w:t>
            </w:r>
          </w:p>
        </w:tc>
        <w:tc>
          <w:tcPr>
            <w:tcW w:w="1720" w:type="dxa"/>
            <w:tcBorders>
              <w:top w:val="nil"/>
              <w:left w:val="nil"/>
              <w:bottom w:val="single" w:sz="8" w:space="0" w:color="auto"/>
              <w:right w:val="single" w:sz="8" w:space="0" w:color="auto"/>
            </w:tcBorders>
            <w:noWrap/>
            <w:vAlign w:val="bottom"/>
            <w:hideMark/>
          </w:tcPr>
          <w:p w14:paraId="5430E8AD"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≈15M total; Instagram 9M; TikTok 4.2M; YouTube 2.09M.</w:t>
            </w:r>
          </w:p>
        </w:tc>
        <w:tc>
          <w:tcPr>
            <w:tcW w:w="937" w:type="dxa"/>
            <w:tcBorders>
              <w:top w:val="nil"/>
              <w:left w:val="nil"/>
              <w:bottom w:val="single" w:sz="8" w:space="0" w:color="auto"/>
              <w:right w:val="single" w:sz="8" w:space="0" w:color="auto"/>
            </w:tcBorders>
            <w:noWrap/>
            <w:vAlign w:val="bottom"/>
            <w:hideMark/>
          </w:tcPr>
          <w:p w14:paraId="735B0997"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Instagram; TikTok; YouTube; brand sites.</w:t>
            </w:r>
          </w:p>
        </w:tc>
        <w:tc>
          <w:tcPr>
            <w:tcW w:w="1097" w:type="dxa"/>
            <w:tcBorders>
              <w:top w:val="nil"/>
              <w:left w:val="nil"/>
              <w:bottom w:val="single" w:sz="8" w:space="0" w:color="auto"/>
              <w:right w:val="single" w:sz="8" w:space="0" w:color="auto"/>
            </w:tcBorders>
            <w:noWrap/>
            <w:vAlign w:val="bottom"/>
            <w:hideMark/>
          </w:tcPr>
          <w:p w14:paraId="068BD068"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Fashion, beauty, lifestyle; young adult female shoppers.</w:t>
            </w:r>
          </w:p>
        </w:tc>
      </w:tr>
      <w:tr w:rsidR="00BF1B85" w:rsidRPr="001C1CFB" w14:paraId="3E1623D0" w14:textId="77777777" w:rsidTr="00806985">
        <w:trPr>
          <w:trHeight w:val="340"/>
        </w:trPr>
        <w:tc>
          <w:tcPr>
            <w:tcW w:w="356" w:type="dxa"/>
            <w:tcBorders>
              <w:top w:val="nil"/>
              <w:left w:val="single" w:sz="8" w:space="0" w:color="auto"/>
              <w:bottom w:val="single" w:sz="8" w:space="0" w:color="auto"/>
              <w:right w:val="single" w:sz="8" w:space="0" w:color="auto"/>
            </w:tcBorders>
            <w:noWrap/>
            <w:vAlign w:val="bottom"/>
            <w:hideMark/>
          </w:tcPr>
          <w:p w14:paraId="3538B740" w14:textId="77777777" w:rsidR="00BF1B85" w:rsidRPr="001C1CFB" w:rsidRDefault="00BF1B85" w:rsidP="001C1CFB">
            <w:pPr>
              <w:spacing w:after="0" w:line="360" w:lineRule="auto"/>
              <w:rPr>
                <w:rFonts w:ascii="Arial" w:eastAsia="Times New Roman" w:hAnsi="Arial" w:cs="Arial"/>
                <w:b/>
                <w:bCs/>
                <w:color w:val="000000"/>
                <w:kern w:val="0"/>
                <w:lang w:eastAsia="en-GB"/>
                <w14:ligatures w14:val="none"/>
              </w:rPr>
            </w:pPr>
            <w:r w:rsidRPr="001C1CFB">
              <w:rPr>
                <w:rFonts w:ascii="Arial" w:eastAsia="Times New Roman" w:hAnsi="Arial" w:cs="Arial"/>
                <w:b/>
                <w:bCs/>
                <w:color w:val="000000"/>
                <w:kern w:val="0"/>
                <w:lang w:eastAsia="en-GB"/>
                <w14:ligatures w14:val="none"/>
              </w:rPr>
              <w:t>Strength 2</w:t>
            </w:r>
          </w:p>
        </w:tc>
        <w:tc>
          <w:tcPr>
            <w:tcW w:w="2541" w:type="dxa"/>
            <w:tcBorders>
              <w:top w:val="nil"/>
              <w:left w:val="nil"/>
              <w:bottom w:val="single" w:sz="8" w:space="0" w:color="auto"/>
              <w:right w:val="single" w:sz="8" w:space="0" w:color="auto"/>
            </w:tcBorders>
            <w:noWrap/>
            <w:vAlign w:val="bottom"/>
            <w:hideMark/>
          </w:tcPr>
          <w:p w14:paraId="5BDAE74B"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Very high engagement on long</w:t>
            </w:r>
            <w:r w:rsidRPr="0097666C">
              <w:rPr>
                <w:rFonts w:ascii="Arial" w:eastAsia="Times New Roman" w:hAnsi="Arial" w:cs="Arial"/>
                <w:color w:val="000000"/>
                <w:kern w:val="0"/>
                <w:lang w:eastAsia="en-GB"/>
                <w14:ligatures w14:val="none"/>
              </w:rPr>
              <w:noBreakHyphen/>
              <w:t>form and live content; strong fandom for events and merch.</w:t>
            </w:r>
          </w:p>
        </w:tc>
        <w:tc>
          <w:tcPr>
            <w:tcW w:w="1085" w:type="dxa"/>
            <w:tcBorders>
              <w:top w:val="nil"/>
              <w:left w:val="nil"/>
              <w:bottom w:val="single" w:sz="8" w:space="0" w:color="auto"/>
              <w:right w:val="single" w:sz="8" w:space="0" w:color="auto"/>
            </w:tcBorders>
            <w:noWrap/>
            <w:vAlign w:val="bottom"/>
            <w:hideMark/>
          </w:tcPr>
          <w:p w14:paraId="77E8084D"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Multi</w:t>
            </w:r>
            <w:r w:rsidRPr="0097666C">
              <w:rPr>
                <w:rFonts w:ascii="Arial" w:eastAsia="Times New Roman" w:hAnsi="Arial" w:cs="Arial"/>
                <w:color w:val="000000"/>
                <w:kern w:val="0"/>
                <w:lang w:eastAsia="en-GB"/>
                <w14:ligatures w14:val="none"/>
              </w:rPr>
              <w:noBreakHyphen/>
              <w:t>channel content and audio presence.</w:t>
            </w:r>
          </w:p>
        </w:tc>
        <w:tc>
          <w:tcPr>
            <w:tcW w:w="1270" w:type="dxa"/>
            <w:tcBorders>
              <w:top w:val="nil"/>
              <w:left w:val="nil"/>
              <w:bottom w:val="single" w:sz="8" w:space="0" w:color="auto"/>
              <w:right w:val="single" w:sz="8" w:space="0" w:color="auto"/>
            </w:tcBorders>
            <w:noWrap/>
            <w:vAlign w:val="bottom"/>
            <w:hideMark/>
          </w:tcPr>
          <w:p w14:paraId="1B936CEF"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Fans convert to merch, events, and product launches.</w:t>
            </w:r>
          </w:p>
        </w:tc>
        <w:tc>
          <w:tcPr>
            <w:tcW w:w="1720" w:type="dxa"/>
            <w:tcBorders>
              <w:top w:val="nil"/>
              <w:left w:val="nil"/>
              <w:bottom w:val="single" w:sz="8" w:space="0" w:color="auto"/>
              <w:right w:val="single" w:sz="8" w:space="0" w:color="auto"/>
            </w:tcBorders>
            <w:noWrap/>
            <w:vAlign w:val="bottom"/>
            <w:hideMark/>
          </w:tcPr>
          <w:p w14:paraId="01C6C327"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Strong personal brand and proven product lines; high trust for lifestyle purchases.</w:t>
            </w:r>
          </w:p>
        </w:tc>
        <w:tc>
          <w:tcPr>
            <w:tcW w:w="937" w:type="dxa"/>
            <w:tcBorders>
              <w:top w:val="nil"/>
              <w:left w:val="nil"/>
              <w:bottom w:val="single" w:sz="8" w:space="0" w:color="auto"/>
              <w:right w:val="single" w:sz="8" w:space="0" w:color="auto"/>
            </w:tcBorders>
            <w:noWrap/>
            <w:vAlign w:val="bottom"/>
            <w:hideMark/>
          </w:tcPr>
          <w:p w14:paraId="413956BB"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Visual content and social commerce focus.</w:t>
            </w:r>
          </w:p>
        </w:tc>
        <w:tc>
          <w:tcPr>
            <w:tcW w:w="1097" w:type="dxa"/>
            <w:tcBorders>
              <w:top w:val="nil"/>
              <w:left w:val="nil"/>
              <w:bottom w:val="single" w:sz="8" w:space="0" w:color="auto"/>
              <w:right w:val="single" w:sz="8" w:space="0" w:color="auto"/>
            </w:tcBorders>
            <w:noWrap/>
            <w:vAlign w:val="bottom"/>
            <w:hideMark/>
          </w:tcPr>
          <w:p w14:paraId="4FC11A2E"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Followers likely to buy curated products and subscriptions.</w:t>
            </w:r>
          </w:p>
        </w:tc>
      </w:tr>
      <w:tr w:rsidR="00BF1B85" w:rsidRPr="001C1CFB" w14:paraId="41B0EE60" w14:textId="77777777" w:rsidTr="00806985">
        <w:trPr>
          <w:trHeight w:val="340"/>
        </w:trPr>
        <w:tc>
          <w:tcPr>
            <w:tcW w:w="356" w:type="dxa"/>
            <w:tcBorders>
              <w:top w:val="nil"/>
              <w:left w:val="single" w:sz="8" w:space="0" w:color="auto"/>
              <w:bottom w:val="single" w:sz="8" w:space="0" w:color="auto"/>
              <w:right w:val="single" w:sz="8" w:space="0" w:color="auto"/>
            </w:tcBorders>
            <w:noWrap/>
            <w:vAlign w:val="bottom"/>
            <w:hideMark/>
          </w:tcPr>
          <w:p w14:paraId="7268B8E1" w14:textId="77777777" w:rsidR="00BF1B85" w:rsidRPr="001C1CFB" w:rsidRDefault="00BF1B85" w:rsidP="001C1CFB">
            <w:pPr>
              <w:spacing w:after="0" w:line="360" w:lineRule="auto"/>
              <w:rPr>
                <w:rFonts w:ascii="Arial" w:eastAsia="Times New Roman" w:hAnsi="Arial" w:cs="Arial"/>
                <w:b/>
                <w:bCs/>
                <w:color w:val="000000"/>
                <w:kern w:val="0"/>
                <w:lang w:eastAsia="en-GB"/>
                <w14:ligatures w14:val="none"/>
              </w:rPr>
            </w:pPr>
            <w:r w:rsidRPr="001C1CFB">
              <w:rPr>
                <w:rFonts w:ascii="Arial" w:eastAsia="Times New Roman" w:hAnsi="Arial" w:cs="Arial"/>
                <w:b/>
                <w:bCs/>
                <w:color w:val="000000"/>
                <w:kern w:val="0"/>
                <w:lang w:eastAsia="en-GB"/>
                <w14:ligatures w14:val="none"/>
              </w:rPr>
              <w:t>Weakness 1</w:t>
            </w:r>
          </w:p>
        </w:tc>
        <w:tc>
          <w:tcPr>
            <w:tcW w:w="2541" w:type="dxa"/>
            <w:tcBorders>
              <w:top w:val="nil"/>
              <w:left w:val="nil"/>
              <w:bottom w:val="single" w:sz="8" w:space="0" w:color="auto"/>
              <w:right w:val="single" w:sz="8" w:space="0" w:color="auto"/>
            </w:tcBorders>
            <w:noWrap/>
            <w:vAlign w:val="bottom"/>
            <w:hideMark/>
          </w:tcPr>
          <w:p w14:paraId="3689732B"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Broad content mix can dilute brand coherence across channels.</w:t>
            </w:r>
          </w:p>
        </w:tc>
        <w:tc>
          <w:tcPr>
            <w:tcW w:w="1085" w:type="dxa"/>
            <w:tcBorders>
              <w:top w:val="nil"/>
              <w:left w:val="nil"/>
              <w:bottom w:val="single" w:sz="8" w:space="0" w:color="auto"/>
              <w:right w:val="single" w:sz="8" w:space="0" w:color="auto"/>
            </w:tcBorders>
            <w:noWrap/>
            <w:vAlign w:val="bottom"/>
            <w:hideMark/>
          </w:tcPr>
          <w:p w14:paraId="521413F5"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Heavy reliance on platform algorithms for reach.</w:t>
            </w:r>
          </w:p>
        </w:tc>
        <w:tc>
          <w:tcPr>
            <w:tcW w:w="1270" w:type="dxa"/>
            <w:tcBorders>
              <w:top w:val="nil"/>
              <w:left w:val="nil"/>
              <w:bottom w:val="single" w:sz="8" w:space="0" w:color="auto"/>
              <w:right w:val="single" w:sz="8" w:space="0" w:color="auto"/>
            </w:tcBorders>
            <w:noWrap/>
            <w:vAlign w:val="bottom"/>
            <w:hideMark/>
          </w:tcPr>
          <w:p w14:paraId="674E87F3"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Variable audience expectations by channel.</w:t>
            </w:r>
          </w:p>
        </w:tc>
        <w:tc>
          <w:tcPr>
            <w:tcW w:w="1720" w:type="dxa"/>
            <w:tcBorders>
              <w:top w:val="nil"/>
              <w:left w:val="nil"/>
              <w:bottom w:val="single" w:sz="8" w:space="0" w:color="auto"/>
              <w:right w:val="single" w:sz="8" w:space="0" w:color="auto"/>
            </w:tcBorders>
            <w:noWrap/>
            <w:vAlign w:val="bottom"/>
            <w:hideMark/>
          </w:tcPr>
          <w:p w14:paraId="4AC26F56"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Niche focus (lifestyle) limits cross</w:t>
            </w:r>
            <w:r w:rsidRPr="0097666C">
              <w:rPr>
                <w:rFonts w:ascii="Arial" w:eastAsia="Times New Roman" w:hAnsi="Arial" w:cs="Arial"/>
                <w:color w:val="000000"/>
                <w:kern w:val="0"/>
                <w:lang w:eastAsia="en-GB"/>
                <w14:ligatures w14:val="none"/>
              </w:rPr>
              <w:noBreakHyphen/>
              <w:t>category expansion.</w:t>
            </w:r>
          </w:p>
        </w:tc>
        <w:tc>
          <w:tcPr>
            <w:tcW w:w="937" w:type="dxa"/>
            <w:tcBorders>
              <w:top w:val="nil"/>
              <w:left w:val="nil"/>
              <w:bottom w:val="single" w:sz="8" w:space="0" w:color="auto"/>
              <w:right w:val="single" w:sz="8" w:space="0" w:color="auto"/>
            </w:tcBorders>
            <w:noWrap/>
            <w:vAlign w:val="bottom"/>
            <w:hideMark/>
          </w:tcPr>
          <w:p w14:paraId="20360BF6"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Reliant on trends and retail cycles.</w:t>
            </w:r>
          </w:p>
        </w:tc>
        <w:tc>
          <w:tcPr>
            <w:tcW w:w="1097" w:type="dxa"/>
            <w:tcBorders>
              <w:top w:val="nil"/>
              <w:left w:val="nil"/>
              <w:bottom w:val="single" w:sz="8" w:space="0" w:color="auto"/>
              <w:right w:val="single" w:sz="8" w:space="0" w:color="auto"/>
            </w:tcBorders>
            <w:noWrap/>
            <w:vAlign w:val="bottom"/>
            <w:hideMark/>
          </w:tcPr>
          <w:p w14:paraId="5475AE6A"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Audience may not follow into unrelated categories.</w:t>
            </w:r>
          </w:p>
        </w:tc>
      </w:tr>
      <w:tr w:rsidR="00BF1B85" w:rsidRPr="001C1CFB" w14:paraId="0783B31E" w14:textId="77777777" w:rsidTr="00806985">
        <w:trPr>
          <w:trHeight w:val="340"/>
        </w:trPr>
        <w:tc>
          <w:tcPr>
            <w:tcW w:w="356" w:type="dxa"/>
            <w:tcBorders>
              <w:top w:val="nil"/>
              <w:left w:val="single" w:sz="8" w:space="0" w:color="auto"/>
              <w:bottom w:val="single" w:sz="8" w:space="0" w:color="auto"/>
              <w:right w:val="single" w:sz="8" w:space="0" w:color="auto"/>
            </w:tcBorders>
            <w:noWrap/>
            <w:vAlign w:val="bottom"/>
            <w:hideMark/>
          </w:tcPr>
          <w:p w14:paraId="3BB5B8DC" w14:textId="77777777" w:rsidR="00BF1B85" w:rsidRPr="001C1CFB" w:rsidRDefault="00BF1B85" w:rsidP="001C1CFB">
            <w:pPr>
              <w:spacing w:after="0" w:line="360" w:lineRule="auto"/>
              <w:rPr>
                <w:rFonts w:ascii="Arial" w:eastAsia="Times New Roman" w:hAnsi="Arial" w:cs="Arial"/>
                <w:b/>
                <w:bCs/>
                <w:color w:val="000000"/>
                <w:kern w:val="0"/>
                <w:lang w:eastAsia="en-GB"/>
                <w14:ligatures w14:val="none"/>
              </w:rPr>
            </w:pPr>
            <w:r w:rsidRPr="001C1CFB">
              <w:rPr>
                <w:rFonts w:ascii="Arial" w:eastAsia="Times New Roman" w:hAnsi="Arial" w:cs="Arial"/>
                <w:b/>
                <w:bCs/>
                <w:color w:val="000000"/>
                <w:kern w:val="0"/>
                <w:lang w:eastAsia="en-GB"/>
                <w14:ligatures w14:val="none"/>
              </w:rPr>
              <w:t>Weakness 2</w:t>
            </w:r>
          </w:p>
        </w:tc>
        <w:tc>
          <w:tcPr>
            <w:tcW w:w="2541" w:type="dxa"/>
            <w:tcBorders>
              <w:top w:val="nil"/>
              <w:left w:val="nil"/>
              <w:bottom w:val="single" w:sz="8" w:space="0" w:color="auto"/>
              <w:right w:val="single" w:sz="8" w:space="0" w:color="auto"/>
            </w:tcBorders>
            <w:noWrap/>
            <w:vAlign w:val="bottom"/>
            <w:hideMark/>
          </w:tcPr>
          <w:p w14:paraId="45819D8C"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 xml:space="preserve">Vulnerable to sudden </w:t>
            </w:r>
            <w:r w:rsidRPr="0097666C">
              <w:rPr>
                <w:rFonts w:ascii="Arial" w:eastAsia="Times New Roman" w:hAnsi="Arial" w:cs="Arial"/>
                <w:color w:val="000000"/>
                <w:kern w:val="0"/>
                <w:lang w:eastAsia="en-GB"/>
                <w14:ligatures w14:val="none"/>
              </w:rPr>
              <w:lastRenderedPageBreak/>
              <w:t>algorithm changes that affect long</w:t>
            </w:r>
            <w:r w:rsidRPr="0097666C">
              <w:rPr>
                <w:rFonts w:ascii="Arial" w:eastAsia="Times New Roman" w:hAnsi="Arial" w:cs="Arial"/>
                <w:color w:val="000000"/>
                <w:kern w:val="0"/>
                <w:lang w:eastAsia="en-GB"/>
                <w14:ligatures w14:val="none"/>
              </w:rPr>
              <w:noBreakHyphen/>
              <w:t>form reach.</w:t>
            </w:r>
          </w:p>
        </w:tc>
        <w:tc>
          <w:tcPr>
            <w:tcW w:w="1085" w:type="dxa"/>
            <w:tcBorders>
              <w:top w:val="nil"/>
              <w:left w:val="nil"/>
              <w:bottom w:val="single" w:sz="8" w:space="0" w:color="auto"/>
              <w:right w:val="single" w:sz="8" w:space="0" w:color="auto"/>
            </w:tcBorders>
            <w:noWrap/>
            <w:vAlign w:val="bottom"/>
            <w:hideMark/>
          </w:tcPr>
          <w:p w14:paraId="1885E498"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lastRenderedPageBreak/>
              <w:t xml:space="preserve">Streaming and </w:t>
            </w:r>
            <w:r w:rsidRPr="0097666C">
              <w:rPr>
                <w:rFonts w:ascii="Arial" w:eastAsia="Times New Roman" w:hAnsi="Arial" w:cs="Arial"/>
                <w:color w:val="000000"/>
                <w:kern w:val="0"/>
                <w:lang w:eastAsia="en-GB"/>
                <w14:ligatures w14:val="none"/>
              </w:rPr>
              <w:lastRenderedPageBreak/>
              <w:t>video formats sensitive to visibility shifts.</w:t>
            </w:r>
          </w:p>
        </w:tc>
        <w:tc>
          <w:tcPr>
            <w:tcW w:w="1270" w:type="dxa"/>
            <w:tcBorders>
              <w:top w:val="nil"/>
              <w:left w:val="nil"/>
              <w:bottom w:val="single" w:sz="8" w:space="0" w:color="auto"/>
              <w:right w:val="single" w:sz="8" w:space="0" w:color="auto"/>
            </w:tcBorders>
            <w:noWrap/>
            <w:vAlign w:val="bottom"/>
            <w:hideMark/>
          </w:tcPr>
          <w:p w14:paraId="639F61CD"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lastRenderedPageBreak/>
              <w:t xml:space="preserve">Income tied to </w:t>
            </w:r>
            <w:r w:rsidRPr="0097666C">
              <w:rPr>
                <w:rFonts w:ascii="Arial" w:eastAsia="Times New Roman" w:hAnsi="Arial" w:cs="Arial"/>
                <w:color w:val="000000"/>
                <w:kern w:val="0"/>
                <w:lang w:eastAsia="en-GB"/>
                <w14:ligatures w14:val="none"/>
              </w:rPr>
              <w:lastRenderedPageBreak/>
              <w:t>engagement and platform policies.</w:t>
            </w:r>
          </w:p>
        </w:tc>
        <w:tc>
          <w:tcPr>
            <w:tcW w:w="1720" w:type="dxa"/>
            <w:tcBorders>
              <w:top w:val="nil"/>
              <w:left w:val="nil"/>
              <w:bottom w:val="single" w:sz="8" w:space="0" w:color="auto"/>
              <w:right w:val="single" w:sz="8" w:space="0" w:color="auto"/>
            </w:tcBorders>
            <w:noWrap/>
            <w:vAlign w:val="bottom"/>
            <w:hideMark/>
          </w:tcPr>
          <w:p w14:paraId="7477D35B"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lastRenderedPageBreak/>
              <w:t xml:space="preserve">Product seasonality </w:t>
            </w:r>
            <w:r w:rsidRPr="0097666C">
              <w:rPr>
                <w:rFonts w:ascii="Arial" w:eastAsia="Times New Roman" w:hAnsi="Arial" w:cs="Arial"/>
                <w:color w:val="000000"/>
                <w:kern w:val="0"/>
                <w:lang w:eastAsia="en-GB"/>
                <w14:ligatures w14:val="none"/>
              </w:rPr>
              <w:lastRenderedPageBreak/>
              <w:t>and retail dependency.</w:t>
            </w:r>
          </w:p>
        </w:tc>
        <w:tc>
          <w:tcPr>
            <w:tcW w:w="937" w:type="dxa"/>
            <w:tcBorders>
              <w:top w:val="nil"/>
              <w:left w:val="nil"/>
              <w:bottom w:val="single" w:sz="8" w:space="0" w:color="auto"/>
              <w:right w:val="single" w:sz="8" w:space="0" w:color="auto"/>
            </w:tcBorders>
            <w:noWrap/>
            <w:vAlign w:val="bottom"/>
            <w:hideMark/>
          </w:tcPr>
          <w:p w14:paraId="33F43AC0"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lastRenderedPageBreak/>
              <w:t xml:space="preserve">Platform changes </w:t>
            </w:r>
            <w:r w:rsidRPr="0097666C">
              <w:rPr>
                <w:rFonts w:ascii="Arial" w:eastAsia="Times New Roman" w:hAnsi="Arial" w:cs="Arial"/>
                <w:color w:val="000000"/>
                <w:kern w:val="0"/>
                <w:lang w:eastAsia="en-GB"/>
                <w14:ligatures w14:val="none"/>
              </w:rPr>
              <w:lastRenderedPageBreak/>
              <w:t>can disrupt product promotion.</w:t>
            </w:r>
          </w:p>
        </w:tc>
        <w:tc>
          <w:tcPr>
            <w:tcW w:w="1097" w:type="dxa"/>
            <w:tcBorders>
              <w:top w:val="nil"/>
              <w:left w:val="nil"/>
              <w:bottom w:val="single" w:sz="8" w:space="0" w:color="auto"/>
              <w:right w:val="single" w:sz="8" w:space="0" w:color="auto"/>
            </w:tcBorders>
            <w:noWrap/>
            <w:vAlign w:val="bottom"/>
            <w:hideMark/>
          </w:tcPr>
          <w:p w14:paraId="3B7EB8C8"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lastRenderedPageBreak/>
              <w:t xml:space="preserve">Compliance and </w:t>
            </w:r>
            <w:r w:rsidRPr="0097666C">
              <w:rPr>
                <w:rFonts w:ascii="Arial" w:eastAsia="Times New Roman" w:hAnsi="Arial" w:cs="Arial"/>
                <w:color w:val="000000"/>
                <w:kern w:val="0"/>
                <w:lang w:eastAsia="en-GB"/>
                <w14:ligatures w14:val="none"/>
              </w:rPr>
              <w:lastRenderedPageBreak/>
              <w:t>operational costs may rise.</w:t>
            </w:r>
          </w:p>
        </w:tc>
      </w:tr>
      <w:tr w:rsidR="00BF1B85" w:rsidRPr="001C1CFB" w14:paraId="5896611F" w14:textId="77777777" w:rsidTr="00806985">
        <w:trPr>
          <w:trHeight w:val="340"/>
        </w:trPr>
        <w:tc>
          <w:tcPr>
            <w:tcW w:w="356" w:type="dxa"/>
            <w:tcBorders>
              <w:top w:val="nil"/>
              <w:left w:val="single" w:sz="8" w:space="0" w:color="auto"/>
              <w:bottom w:val="single" w:sz="8" w:space="0" w:color="auto"/>
              <w:right w:val="single" w:sz="8" w:space="0" w:color="auto"/>
            </w:tcBorders>
            <w:noWrap/>
            <w:vAlign w:val="bottom"/>
            <w:hideMark/>
          </w:tcPr>
          <w:p w14:paraId="627B2CEF" w14:textId="77777777" w:rsidR="00BF1B85" w:rsidRPr="001C1CFB" w:rsidRDefault="00BF1B85" w:rsidP="001C1CFB">
            <w:pPr>
              <w:spacing w:after="0" w:line="360" w:lineRule="auto"/>
              <w:rPr>
                <w:rFonts w:ascii="Arial" w:eastAsia="Times New Roman" w:hAnsi="Arial" w:cs="Arial"/>
                <w:b/>
                <w:bCs/>
                <w:color w:val="000000"/>
                <w:kern w:val="0"/>
                <w:lang w:eastAsia="en-GB"/>
                <w14:ligatures w14:val="none"/>
              </w:rPr>
            </w:pPr>
            <w:r w:rsidRPr="001C1CFB">
              <w:rPr>
                <w:rFonts w:ascii="Arial" w:eastAsia="Times New Roman" w:hAnsi="Arial" w:cs="Arial"/>
                <w:b/>
                <w:bCs/>
                <w:color w:val="000000"/>
                <w:kern w:val="0"/>
                <w:lang w:eastAsia="en-GB"/>
                <w14:ligatures w14:val="none"/>
              </w:rPr>
              <w:lastRenderedPageBreak/>
              <w:t>Opportunity 1</w:t>
            </w:r>
          </w:p>
        </w:tc>
        <w:tc>
          <w:tcPr>
            <w:tcW w:w="2541" w:type="dxa"/>
            <w:tcBorders>
              <w:top w:val="nil"/>
              <w:left w:val="nil"/>
              <w:bottom w:val="single" w:sz="8" w:space="0" w:color="auto"/>
              <w:right w:val="single" w:sz="8" w:space="0" w:color="auto"/>
            </w:tcBorders>
            <w:noWrap/>
            <w:vAlign w:val="bottom"/>
            <w:hideMark/>
          </w:tcPr>
          <w:p w14:paraId="2A77BF04"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Monetise fandom via merch, PRIME partnerships, and social commerce (see Appendix A: Economic — Platform monetisation).</w:t>
            </w:r>
          </w:p>
        </w:tc>
        <w:tc>
          <w:tcPr>
            <w:tcW w:w="1085" w:type="dxa"/>
            <w:tcBorders>
              <w:top w:val="nil"/>
              <w:left w:val="nil"/>
              <w:bottom w:val="single" w:sz="8" w:space="0" w:color="auto"/>
              <w:right w:val="single" w:sz="8" w:space="0" w:color="auto"/>
            </w:tcBorders>
            <w:noWrap/>
            <w:vAlign w:val="bottom"/>
            <w:hideMark/>
          </w:tcPr>
          <w:p w14:paraId="4EE7CF66"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Use platform shopping features and owned stores.</w:t>
            </w:r>
          </w:p>
        </w:tc>
        <w:tc>
          <w:tcPr>
            <w:tcW w:w="1270" w:type="dxa"/>
            <w:tcBorders>
              <w:top w:val="nil"/>
              <w:left w:val="nil"/>
              <w:bottom w:val="single" w:sz="8" w:space="0" w:color="auto"/>
              <w:right w:val="single" w:sz="8" w:space="0" w:color="auto"/>
            </w:tcBorders>
            <w:noWrap/>
            <w:vAlign w:val="bottom"/>
            <w:hideMark/>
          </w:tcPr>
          <w:p w14:paraId="2E0C58D1"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Convert large audience into direct sales and event revenue.</w:t>
            </w:r>
          </w:p>
        </w:tc>
        <w:tc>
          <w:tcPr>
            <w:tcW w:w="1720" w:type="dxa"/>
            <w:tcBorders>
              <w:top w:val="nil"/>
              <w:left w:val="nil"/>
              <w:bottom w:val="single" w:sz="8" w:space="0" w:color="auto"/>
              <w:right w:val="single" w:sz="8" w:space="0" w:color="auto"/>
            </w:tcBorders>
            <w:noWrap/>
            <w:vAlign w:val="bottom"/>
            <w:hideMark/>
          </w:tcPr>
          <w:p w14:paraId="2AB81ED2"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Scale Molly</w:t>
            </w:r>
            <w:r w:rsidRPr="0097666C">
              <w:rPr>
                <w:rFonts w:ascii="Arial" w:eastAsia="Times New Roman" w:hAnsi="Arial" w:cs="Arial"/>
                <w:color w:val="000000"/>
                <w:kern w:val="0"/>
                <w:lang w:eastAsia="en-GB"/>
                <w14:ligatures w14:val="none"/>
              </w:rPr>
              <w:noBreakHyphen/>
              <w:t>Maison and subscription services; expand retail partnerships.</w:t>
            </w:r>
          </w:p>
        </w:tc>
        <w:tc>
          <w:tcPr>
            <w:tcW w:w="937" w:type="dxa"/>
            <w:tcBorders>
              <w:top w:val="nil"/>
              <w:left w:val="nil"/>
              <w:bottom w:val="single" w:sz="8" w:space="0" w:color="auto"/>
              <w:right w:val="single" w:sz="8" w:space="0" w:color="auto"/>
            </w:tcBorders>
            <w:noWrap/>
            <w:vAlign w:val="bottom"/>
            <w:hideMark/>
          </w:tcPr>
          <w:p w14:paraId="74833068"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Use owned channels and retail collaborations.</w:t>
            </w:r>
          </w:p>
        </w:tc>
        <w:tc>
          <w:tcPr>
            <w:tcW w:w="1097" w:type="dxa"/>
            <w:tcBorders>
              <w:top w:val="nil"/>
              <w:left w:val="nil"/>
              <w:bottom w:val="single" w:sz="8" w:space="0" w:color="auto"/>
              <w:right w:val="single" w:sz="8" w:space="0" w:color="auto"/>
            </w:tcBorders>
            <w:noWrap/>
            <w:vAlign w:val="bottom"/>
            <w:hideMark/>
          </w:tcPr>
          <w:p w14:paraId="67E508FB"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Increase recurring revenue and margins.</w:t>
            </w:r>
          </w:p>
        </w:tc>
      </w:tr>
      <w:tr w:rsidR="00BF1B85" w:rsidRPr="001C1CFB" w14:paraId="1142A7B1" w14:textId="77777777" w:rsidTr="00806985">
        <w:trPr>
          <w:trHeight w:val="340"/>
        </w:trPr>
        <w:tc>
          <w:tcPr>
            <w:tcW w:w="356" w:type="dxa"/>
            <w:tcBorders>
              <w:top w:val="nil"/>
              <w:left w:val="single" w:sz="8" w:space="0" w:color="auto"/>
              <w:bottom w:val="single" w:sz="8" w:space="0" w:color="auto"/>
              <w:right w:val="single" w:sz="8" w:space="0" w:color="auto"/>
            </w:tcBorders>
            <w:noWrap/>
            <w:vAlign w:val="bottom"/>
            <w:hideMark/>
          </w:tcPr>
          <w:p w14:paraId="1C18B73C" w14:textId="77777777" w:rsidR="00BF1B85" w:rsidRPr="001C1CFB" w:rsidRDefault="00BF1B85" w:rsidP="001C1CFB">
            <w:pPr>
              <w:spacing w:after="0" w:line="360" w:lineRule="auto"/>
              <w:rPr>
                <w:rFonts w:ascii="Arial" w:eastAsia="Times New Roman" w:hAnsi="Arial" w:cs="Arial"/>
                <w:b/>
                <w:bCs/>
                <w:color w:val="000000"/>
                <w:kern w:val="0"/>
                <w:lang w:eastAsia="en-GB"/>
                <w14:ligatures w14:val="none"/>
              </w:rPr>
            </w:pPr>
            <w:r w:rsidRPr="001C1CFB">
              <w:rPr>
                <w:rFonts w:ascii="Arial" w:eastAsia="Times New Roman" w:hAnsi="Arial" w:cs="Arial"/>
                <w:b/>
                <w:bCs/>
                <w:color w:val="000000"/>
                <w:kern w:val="0"/>
                <w:lang w:eastAsia="en-GB"/>
                <w14:ligatures w14:val="none"/>
              </w:rPr>
              <w:t>Opportunity 2</w:t>
            </w:r>
          </w:p>
        </w:tc>
        <w:tc>
          <w:tcPr>
            <w:tcW w:w="2541" w:type="dxa"/>
            <w:tcBorders>
              <w:top w:val="nil"/>
              <w:left w:val="nil"/>
              <w:bottom w:val="single" w:sz="8" w:space="0" w:color="auto"/>
              <w:right w:val="single" w:sz="8" w:space="0" w:color="auto"/>
            </w:tcBorders>
            <w:noWrap/>
            <w:vAlign w:val="bottom"/>
            <w:hideMark/>
          </w:tcPr>
          <w:p w14:paraId="7B3A2B85"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Adopt AI tools to speed editing and repurpose content for micro</w:t>
            </w:r>
            <w:r w:rsidRPr="0097666C">
              <w:rPr>
                <w:rFonts w:ascii="Arial" w:eastAsia="Times New Roman" w:hAnsi="Arial" w:cs="Arial"/>
                <w:color w:val="000000"/>
                <w:kern w:val="0"/>
                <w:lang w:eastAsia="en-GB"/>
                <w14:ligatures w14:val="none"/>
              </w:rPr>
              <w:noBreakHyphen/>
              <w:t>niches (see Appendix A: Technological — AI content tools).</w:t>
            </w:r>
          </w:p>
        </w:tc>
        <w:tc>
          <w:tcPr>
            <w:tcW w:w="1085" w:type="dxa"/>
            <w:tcBorders>
              <w:top w:val="nil"/>
              <w:left w:val="nil"/>
              <w:bottom w:val="single" w:sz="8" w:space="0" w:color="auto"/>
              <w:right w:val="single" w:sz="8" w:space="0" w:color="auto"/>
            </w:tcBorders>
            <w:noWrap/>
            <w:vAlign w:val="bottom"/>
            <w:hideMark/>
          </w:tcPr>
          <w:p w14:paraId="01A48C66"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Automate clip creation and audience analysis.</w:t>
            </w:r>
          </w:p>
        </w:tc>
        <w:tc>
          <w:tcPr>
            <w:tcW w:w="1270" w:type="dxa"/>
            <w:tcBorders>
              <w:top w:val="nil"/>
              <w:left w:val="nil"/>
              <w:bottom w:val="single" w:sz="8" w:space="0" w:color="auto"/>
              <w:right w:val="single" w:sz="8" w:space="0" w:color="auto"/>
            </w:tcBorders>
            <w:noWrap/>
            <w:vAlign w:val="bottom"/>
            <w:hideMark/>
          </w:tcPr>
          <w:p w14:paraId="20AADAEE"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Reach new segments with personalised content.</w:t>
            </w:r>
          </w:p>
        </w:tc>
        <w:tc>
          <w:tcPr>
            <w:tcW w:w="1720" w:type="dxa"/>
            <w:tcBorders>
              <w:top w:val="nil"/>
              <w:left w:val="nil"/>
              <w:bottom w:val="single" w:sz="8" w:space="0" w:color="auto"/>
              <w:right w:val="single" w:sz="8" w:space="0" w:color="auto"/>
            </w:tcBorders>
            <w:noWrap/>
            <w:vAlign w:val="bottom"/>
            <w:hideMark/>
          </w:tcPr>
          <w:p w14:paraId="559DA6F1"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Launch premium content or memberships for loyal followers.</w:t>
            </w:r>
          </w:p>
        </w:tc>
        <w:tc>
          <w:tcPr>
            <w:tcW w:w="937" w:type="dxa"/>
            <w:tcBorders>
              <w:top w:val="nil"/>
              <w:left w:val="nil"/>
              <w:bottom w:val="single" w:sz="8" w:space="0" w:color="auto"/>
              <w:right w:val="single" w:sz="8" w:space="0" w:color="auto"/>
            </w:tcBorders>
            <w:noWrap/>
            <w:vAlign w:val="bottom"/>
            <w:hideMark/>
          </w:tcPr>
          <w:p w14:paraId="1C1A3FA9"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Offer exclusive content and paid communities.</w:t>
            </w:r>
          </w:p>
        </w:tc>
        <w:tc>
          <w:tcPr>
            <w:tcW w:w="1097" w:type="dxa"/>
            <w:tcBorders>
              <w:top w:val="nil"/>
              <w:left w:val="nil"/>
              <w:bottom w:val="single" w:sz="8" w:space="0" w:color="auto"/>
              <w:right w:val="single" w:sz="8" w:space="0" w:color="auto"/>
            </w:tcBorders>
            <w:noWrap/>
            <w:vAlign w:val="bottom"/>
            <w:hideMark/>
          </w:tcPr>
          <w:p w14:paraId="3608F8EF"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Deepen engagement and lifetime value.</w:t>
            </w:r>
          </w:p>
        </w:tc>
      </w:tr>
      <w:tr w:rsidR="00BF1B85" w:rsidRPr="001C1CFB" w14:paraId="1DBD7A1F" w14:textId="77777777" w:rsidTr="00806985">
        <w:trPr>
          <w:trHeight w:val="340"/>
        </w:trPr>
        <w:tc>
          <w:tcPr>
            <w:tcW w:w="356" w:type="dxa"/>
            <w:tcBorders>
              <w:top w:val="nil"/>
              <w:left w:val="single" w:sz="8" w:space="0" w:color="auto"/>
              <w:bottom w:val="single" w:sz="8" w:space="0" w:color="auto"/>
              <w:right w:val="single" w:sz="8" w:space="0" w:color="auto"/>
            </w:tcBorders>
            <w:noWrap/>
            <w:vAlign w:val="bottom"/>
            <w:hideMark/>
          </w:tcPr>
          <w:p w14:paraId="4527F3FD" w14:textId="77777777" w:rsidR="00BF1B85" w:rsidRPr="001C1CFB" w:rsidRDefault="00BF1B85" w:rsidP="001C1CFB">
            <w:pPr>
              <w:spacing w:after="0" w:line="360" w:lineRule="auto"/>
              <w:rPr>
                <w:rFonts w:ascii="Arial" w:eastAsia="Times New Roman" w:hAnsi="Arial" w:cs="Arial"/>
                <w:b/>
                <w:bCs/>
                <w:color w:val="000000"/>
                <w:kern w:val="0"/>
                <w:lang w:eastAsia="en-GB"/>
                <w14:ligatures w14:val="none"/>
              </w:rPr>
            </w:pPr>
            <w:r w:rsidRPr="001C1CFB">
              <w:rPr>
                <w:rFonts w:ascii="Arial" w:eastAsia="Times New Roman" w:hAnsi="Arial" w:cs="Arial"/>
                <w:b/>
                <w:bCs/>
                <w:color w:val="000000"/>
                <w:kern w:val="0"/>
                <w:lang w:eastAsia="en-GB"/>
                <w14:ligatures w14:val="none"/>
              </w:rPr>
              <w:t>Threat 1</w:t>
            </w:r>
          </w:p>
        </w:tc>
        <w:tc>
          <w:tcPr>
            <w:tcW w:w="2541" w:type="dxa"/>
            <w:tcBorders>
              <w:top w:val="nil"/>
              <w:left w:val="nil"/>
              <w:bottom w:val="single" w:sz="8" w:space="0" w:color="auto"/>
              <w:right w:val="single" w:sz="8" w:space="0" w:color="auto"/>
            </w:tcBorders>
            <w:noWrap/>
            <w:vAlign w:val="bottom"/>
            <w:hideMark/>
          </w:tcPr>
          <w:p w14:paraId="28C7FDB7"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Algorithmic demotion and algorithmic (in)visibility reduce reach (see Appendix A: Technological — Recommendatio</w:t>
            </w:r>
            <w:r w:rsidRPr="0097666C">
              <w:rPr>
                <w:rFonts w:ascii="Arial" w:eastAsia="Times New Roman" w:hAnsi="Arial" w:cs="Arial"/>
                <w:color w:val="000000"/>
                <w:kern w:val="0"/>
                <w:lang w:eastAsia="en-GB"/>
                <w14:ligatures w14:val="none"/>
              </w:rPr>
              <w:lastRenderedPageBreak/>
              <w:t>n algorithms; DPSIR Pressure: algorithmic optimisation).</w:t>
            </w:r>
          </w:p>
        </w:tc>
        <w:tc>
          <w:tcPr>
            <w:tcW w:w="1085" w:type="dxa"/>
            <w:tcBorders>
              <w:top w:val="nil"/>
              <w:left w:val="nil"/>
              <w:bottom w:val="single" w:sz="8" w:space="0" w:color="auto"/>
              <w:right w:val="single" w:sz="8" w:space="0" w:color="auto"/>
            </w:tcBorders>
            <w:noWrap/>
            <w:vAlign w:val="bottom"/>
            <w:hideMark/>
          </w:tcPr>
          <w:p w14:paraId="1B5D0FED"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lastRenderedPageBreak/>
              <w:t>Platform policy or algorithm changes can cut traffic quickly.</w:t>
            </w:r>
          </w:p>
        </w:tc>
        <w:tc>
          <w:tcPr>
            <w:tcW w:w="1270" w:type="dxa"/>
            <w:tcBorders>
              <w:top w:val="nil"/>
              <w:left w:val="nil"/>
              <w:bottom w:val="single" w:sz="8" w:space="0" w:color="auto"/>
              <w:right w:val="single" w:sz="8" w:space="0" w:color="auto"/>
            </w:tcBorders>
            <w:noWrap/>
            <w:vAlign w:val="bottom"/>
            <w:hideMark/>
          </w:tcPr>
          <w:p w14:paraId="5C38C4A6"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Sudden reach loss reduces ad and sponsorship income.</w:t>
            </w:r>
          </w:p>
        </w:tc>
        <w:tc>
          <w:tcPr>
            <w:tcW w:w="1720" w:type="dxa"/>
            <w:tcBorders>
              <w:top w:val="nil"/>
              <w:left w:val="nil"/>
              <w:bottom w:val="single" w:sz="8" w:space="0" w:color="auto"/>
              <w:right w:val="single" w:sz="8" w:space="0" w:color="auto"/>
            </w:tcBorders>
            <w:noWrap/>
            <w:vAlign w:val="bottom"/>
            <w:hideMark/>
          </w:tcPr>
          <w:p w14:paraId="08DCEE13"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Market saturation in lifestyle influencers reduces differentiation (see Appendix A: Social/Economic).</w:t>
            </w:r>
          </w:p>
        </w:tc>
        <w:tc>
          <w:tcPr>
            <w:tcW w:w="937" w:type="dxa"/>
            <w:tcBorders>
              <w:top w:val="nil"/>
              <w:left w:val="nil"/>
              <w:bottom w:val="single" w:sz="8" w:space="0" w:color="auto"/>
              <w:right w:val="single" w:sz="8" w:space="0" w:color="auto"/>
            </w:tcBorders>
            <w:noWrap/>
            <w:vAlign w:val="bottom"/>
            <w:hideMark/>
          </w:tcPr>
          <w:p w14:paraId="1EA5F33F"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New entrants and similar brands compete for same shoppers.</w:t>
            </w:r>
          </w:p>
        </w:tc>
        <w:tc>
          <w:tcPr>
            <w:tcW w:w="1097" w:type="dxa"/>
            <w:tcBorders>
              <w:top w:val="nil"/>
              <w:left w:val="nil"/>
              <w:bottom w:val="single" w:sz="8" w:space="0" w:color="auto"/>
              <w:right w:val="single" w:sz="8" w:space="0" w:color="auto"/>
            </w:tcBorders>
            <w:noWrap/>
            <w:vAlign w:val="bottom"/>
            <w:hideMark/>
          </w:tcPr>
          <w:p w14:paraId="5F716F08"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Lower share of attention and sales.</w:t>
            </w:r>
          </w:p>
        </w:tc>
      </w:tr>
      <w:tr w:rsidR="00BF1B85" w:rsidRPr="001C1CFB" w14:paraId="55101C61" w14:textId="77777777" w:rsidTr="00806985">
        <w:trPr>
          <w:trHeight w:val="340"/>
        </w:trPr>
        <w:tc>
          <w:tcPr>
            <w:tcW w:w="356" w:type="dxa"/>
            <w:tcBorders>
              <w:top w:val="nil"/>
              <w:left w:val="single" w:sz="8" w:space="0" w:color="auto"/>
              <w:bottom w:val="single" w:sz="8" w:space="0" w:color="auto"/>
              <w:right w:val="single" w:sz="8" w:space="0" w:color="auto"/>
            </w:tcBorders>
            <w:noWrap/>
            <w:vAlign w:val="bottom"/>
            <w:hideMark/>
          </w:tcPr>
          <w:p w14:paraId="0902C68A" w14:textId="77777777" w:rsidR="00BF1B85" w:rsidRPr="001C1CFB" w:rsidRDefault="00BF1B85" w:rsidP="001C1CFB">
            <w:pPr>
              <w:spacing w:after="0" w:line="360" w:lineRule="auto"/>
              <w:rPr>
                <w:rFonts w:ascii="Arial" w:eastAsia="Times New Roman" w:hAnsi="Arial" w:cs="Arial"/>
                <w:b/>
                <w:bCs/>
                <w:color w:val="000000"/>
                <w:kern w:val="0"/>
                <w:lang w:eastAsia="en-GB"/>
                <w14:ligatures w14:val="none"/>
              </w:rPr>
            </w:pPr>
            <w:r w:rsidRPr="001C1CFB">
              <w:rPr>
                <w:rFonts w:ascii="Arial" w:eastAsia="Times New Roman" w:hAnsi="Arial" w:cs="Arial"/>
                <w:b/>
                <w:bCs/>
                <w:color w:val="000000"/>
                <w:kern w:val="0"/>
                <w:lang w:eastAsia="en-GB"/>
                <w14:ligatures w14:val="none"/>
              </w:rPr>
              <w:t>Threat 2</w:t>
            </w:r>
          </w:p>
        </w:tc>
        <w:tc>
          <w:tcPr>
            <w:tcW w:w="2541" w:type="dxa"/>
            <w:tcBorders>
              <w:top w:val="nil"/>
              <w:left w:val="nil"/>
              <w:bottom w:val="single" w:sz="8" w:space="0" w:color="auto"/>
              <w:right w:val="single" w:sz="8" w:space="0" w:color="auto"/>
            </w:tcBorders>
            <w:noWrap/>
            <w:vAlign w:val="bottom"/>
            <w:hideMark/>
          </w:tcPr>
          <w:p w14:paraId="4A87565A"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Competition from AI/virtual influencers and synthetic content (see Appendix A: Ethical/Technological — AI disclosure).</w:t>
            </w:r>
          </w:p>
        </w:tc>
        <w:tc>
          <w:tcPr>
            <w:tcW w:w="1085" w:type="dxa"/>
            <w:tcBorders>
              <w:top w:val="nil"/>
              <w:left w:val="nil"/>
              <w:bottom w:val="single" w:sz="8" w:space="0" w:color="auto"/>
              <w:right w:val="single" w:sz="8" w:space="0" w:color="auto"/>
            </w:tcBorders>
            <w:noWrap/>
            <w:vAlign w:val="bottom"/>
            <w:hideMark/>
          </w:tcPr>
          <w:p w14:paraId="450899B4"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Polished AI content may capture attention away from human creators.</w:t>
            </w:r>
          </w:p>
        </w:tc>
        <w:tc>
          <w:tcPr>
            <w:tcW w:w="1270" w:type="dxa"/>
            <w:tcBorders>
              <w:top w:val="nil"/>
              <w:left w:val="nil"/>
              <w:bottom w:val="single" w:sz="8" w:space="0" w:color="auto"/>
              <w:right w:val="single" w:sz="8" w:space="0" w:color="auto"/>
            </w:tcBorders>
            <w:noWrap/>
            <w:vAlign w:val="bottom"/>
            <w:hideMark/>
          </w:tcPr>
          <w:p w14:paraId="75FD7484"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Risk of audience shift to synthetic, low</w:t>
            </w:r>
            <w:r w:rsidRPr="0097666C">
              <w:rPr>
                <w:rFonts w:ascii="Arial" w:eastAsia="Times New Roman" w:hAnsi="Arial" w:cs="Arial"/>
                <w:color w:val="000000"/>
                <w:kern w:val="0"/>
                <w:lang w:eastAsia="en-GB"/>
                <w14:ligatures w14:val="none"/>
              </w:rPr>
              <w:noBreakHyphen/>
              <w:t>cost content.</w:t>
            </w:r>
          </w:p>
        </w:tc>
        <w:tc>
          <w:tcPr>
            <w:tcW w:w="1720" w:type="dxa"/>
            <w:tcBorders>
              <w:top w:val="nil"/>
              <w:left w:val="nil"/>
              <w:bottom w:val="single" w:sz="8" w:space="0" w:color="auto"/>
              <w:right w:val="single" w:sz="8" w:space="0" w:color="auto"/>
            </w:tcBorders>
            <w:noWrap/>
            <w:vAlign w:val="bottom"/>
            <w:hideMark/>
          </w:tcPr>
          <w:p w14:paraId="176BDBE6"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Regulatory changes (e.g., DSA) increase disclosure and compliance requirements (see Appendix A: Political/Legal).</w:t>
            </w:r>
          </w:p>
        </w:tc>
        <w:tc>
          <w:tcPr>
            <w:tcW w:w="937" w:type="dxa"/>
            <w:tcBorders>
              <w:top w:val="nil"/>
              <w:left w:val="nil"/>
              <w:bottom w:val="single" w:sz="8" w:space="0" w:color="auto"/>
              <w:right w:val="single" w:sz="8" w:space="0" w:color="auto"/>
            </w:tcBorders>
            <w:noWrap/>
            <w:vAlign w:val="bottom"/>
            <w:hideMark/>
          </w:tcPr>
          <w:p w14:paraId="1FDFC845"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Stricter rules raise operational and legal costs.</w:t>
            </w:r>
          </w:p>
        </w:tc>
        <w:tc>
          <w:tcPr>
            <w:tcW w:w="1097" w:type="dxa"/>
            <w:tcBorders>
              <w:top w:val="nil"/>
              <w:left w:val="nil"/>
              <w:bottom w:val="single" w:sz="8" w:space="0" w:color="auto"/>
              <w:right w:val="single" w:sz="8" w:space="0" w:color="auto"/>
            </w:tcBorders>
            <w:noWrap/>
            <w:vAlign w:val="bottom"/>
            <w:hideMark/>
          </w:tcPr>
          <w:p w14:paraId="6712BE01"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Campaign complexity and costs increase.</w:t>
            </w:r>
          </w:p>
        </w:tc>
      </w:tr>
      <w:tr w:rsidR="00BF1B85" w:rsidRPr="001C1CFB" w14:paraId="11D85637" w14:textId="77777777" w:rsidTr="00806985">
        <w:trPr>
          <w:trHeight w:val="340"/>
        </w:trPr>
        <w:tc>
          <w:tcPr>
            <w:tcW w:w="356" w:type="dxa"/>
            <w:tcBorders>
              <w:top w:val="nil"/>
              <w:left w:val="single" w:sz="8" w:space="0" w:color="auto"/>
              <w:bottom w:val="single" w:sz="8" w:space="0" w:color="auto"/>
              <w:right w:val="single" w:sz="8" w:space="0" w:color="auto"/>
            </w:tcBorders>
            <w:noWrap/>
            <w:vAlign w:val="bottom"/>
            <w:hideMark/>
          </w:tcPr>
          <w:p w14:paraId="661DA448" w14:textId="77777777" w:rsidR="00BF1B85" w:rsidRPr="001C1CFB" w:rsidRDefault="00BF1B85" w:rsidP="001C1CFB">
            <w:pPr>
              <w:spacing w:after="0" w:line="360" w:lineRule="auto"/>
              <w:rPr>
                <w:rFonts w:ascii="Arial" w:eastAsia="Times New Roman" w:hAnsi="Arial" w:cs="Arial"/>
                <w:b/>
                <w:bCs/>
                <w:color w:val="000000"/>
                <w:kern w:val="0"/>
                <w:lang w:eastAsia="en-GB"/>
                <w14:ligatures w14:val="none"/>
              </w:rPr>
            </w:pPr>
            <w:r w:rsidRPr="001C1CFB">
              <w:rPr>
                <w:rFonts w:ascii="Arial" w:eastAsia="Times New Roman" w:hAnsi="Arial" w:cs="Arial"/>
                <w:b/>
                <w:bCs/>
                <w:color w:val="000000"/>
                <w:kern w:val="0"/>
                <w:lang w:eastAsia="en-GB"/>
                <w14:ligatures w14:val="none"/>
              </w:rPr>
              <w:t>Strategic implication</w:t>
            </w:r>
          </w:p>
        </w:tc>
        <w:tc>
          <w:tcPr>
            <w:tcW w:w="2541" w:type="dxa"/>
            <w:tcBorders>
              <w:top w:val="nil"/>
              <w:left w:val="nil"/>
              <w:bottom w:val="single" w:sz="8" w:space="0" w:color="auto"/>
              <w:right w:val="single" w:sz="8" w:space="0" w:color="auto"/>
            </w:tcBorders>
            <w:noWrap/>
            <w:vAlign w:val="bottom"/>
            <w:hideMark/>
          </w:tcPr>
          <w:p w14:paraId="1A343F57"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Diversify income (owned channels, merch, events) and build negotiating capacity (see Recommendation 2).</w:t>
            </w:r>
          </w:p>
        </w:tc>
        <w:tc>
          <w:tcPr>
            <w:tcW w:w="1085" w:type="dxa"/>
            <w:tcBorders>
              <w:top w:val="nil"/>
              <w:left w:val="nil"/>
              <w:bottom w:val="single" w:sz="8" w:space="0" w:color="auto"/>
              <w:right w:val="single" w:sz="8" w:space="0" w:color="auto"/>
            </w:tcBorders>
            <w:noWrap/>
            <w:vAlign w:val="bottom"/>
            <w:hideMark/>
          </w:tcPr>
          <w:p w14:paraId="616EB6A2"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Form management teams or coalitions to reduce platform dependence.</w:t>
            </w:r>
          </w:p>
        </w:tc>
        <w:tc>
          <w:tcPr>
            <w:tcW w:w="1270" w:type="dxa"/>
            <w:tcBorders>
              <w:top w:val="nil"/>
              <w:left w:val="nil"/>
              <w:bottom w:val="single" w:sz="8" w:space="0" w:color="auto"/>
              <w:right w:val="single" w:sz="8" w:space="0" w:color="auto"/>
            </w:tcBorders>
            <w:noWrap/>
            <w:vAlign w:val="bottom"/>
            <w:hideMark/>
          </w:tcPr>
          <w:p w14:paraId="6F61505F"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Links to DPSIR: monetisation centralisation (Pressure) → income instability (Impact).</w:t>
            </w:r>
          </w:p>
        </w:tc>
        <w:tc>
          <w:tcPr>
            <w:tcW w:w="1720" w:type="dxa"/>
            <w:tcBorders>
              <w:top w:val="nil"/>
              <w:left w:val="nil"/>
              <w:bottom w:val="single" w:sz="8" w:space="0" w:color="auto"/>
              <w:right w:val="single" w:sz="8" w:space="0" w:color="auto"/>
            </w:tcBorders>
            <w:noWrap/>
            <w:vAlign w:val="bottom"/>
            <w:hideMark/>
          </w:tcPr>
          <w:p w14:paraId="03553F75"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Protect brand via owned channels, transparent disclosure and compliance investment.</w:t>
            </w:r>
          </w:p>
        </w:tc>
        <w:tc>
          <w:tcPr>
            <w:tcW w:w="937" w:type="dxa"/>
            <w:tcBorders>
              <w:top w:val="nil"/>
              <w:left w:val="nil"/>
              <w:bottom w:val="single" w:sz="8" w:space="0" w:color="auto"/>
              <w:right w:val="single" w:sz="8" w:space="0" w:color="auto"/>
            </w:tcBorders>
            <w:noWrap/>
            <w:vAlign w:val="bottom"/>
            <w:hideMark/>
          </w:tcPr>
          <w:p w14:paraId="7870110A"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Invest in owned retail and legal/compliance support.</w:t>
            </w:r>
          </w:p>
        </w:tc>
        <w:tc>
          <w:tcPr>
            <w:tcW w:w="1097" w:type="dxa"/>
            <w:tcBorders>
              <w:top w:val="nil"/>
              <w:left w:val="nil"/>
              <w:bottom w:val="single" w:sz="8" w:space="0" w:color="auto"/>
              <w:right w:val="single" w:sz="8" w:space="0" w:color="auto"/>
            </w:tcBorders>
            <w:noWrap/>
            <w:vAlign w:val="bottom"/>
            <w:hideMark/>
          </w:tcPr>
          <w:p w14:paraId="7E4AACE9" w14:textId="77777777" w:rsidR="00BF1B85" w:rsidRPr="0097666C" w:rsidRDefault="00BF1B85" w:rsidP="001C1CFB">
            <w:pPr>
              <w:spacing w:after="0" w:line="360" w:lineRule="auto"/>
              <w:rPr>
                <w:rFonts w:ascii="Arial" w:eastAsia="Times New Roman" w:hAnsi="Arial" w:cs="Arial"/>
                <w:color w:val="000000"/>
                <w:kern w:val="0"/>
                <w:lang w:eastAsia="en-GB"/>
                <w14:ligatures w14:val="none"/>
              </w:rPr>
            </w:pPr>
            <w:r w:rsidRPr="0097666C">
              <w:rPr>
                <w:rFonts w:ascii="Arial" w:eastAsia="Times New Roman" w:hAnsi="Arial" w:cs="Arial"/>
                <w:color w:val="000000"/>
                <w:kern w:val="0"/>
                <w:lang w:eastAsia="en-GB"/>
                <w14:ligatures w14:val="none"/>
              </w:rPr>
              <w:t>Links to DPSIR: regulation (Driver) → compliance Pressure → cost Impact.</w:t>
            </w:r>
          </w:p>
        </w:tc>
      </w:tr>
    </w:tbl>
    <w:p w14:paraId="264309BC" w14:textId="603EFDCC" w:rsidR="006210CD" w:rsidRPr="001C1CFB" w:rsidRDefault="006210CD" w:rsidP="001C1CFB">
      <w:pPr>
        <w:spacing w:line="360" w:lineRule="auto"/>
        <w:jc w:val="both"/>
        <w:rPr>
          <w:rFonts w:ascii="Arial" w:hAnsi="Arial" w:cs="Arial"/>
          <w:b/>
          <w:bCs/>
        </w:rPr>
      </w:pPr>
    </w:p>
    <w:sectPr w:rsidR="006210CD" w:rsidRPr="001C1CFB" w:rsidSect="001577E5">
      <w:footerReference w:type="even"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3718F" w14:textId="77777777" w:rsidR="00245906" w:rsidRDefault="00245906" w:rsidP="00A96DDD">
      <w:pPr>
        <w:spacing w:after="0" w:line="240" w:lineRule="auto"/>
      </w:pPr>
      <w:r>
        <w:separator/>
      </w:r>
    </w:p>
  </w:endnote>
  <w:endnote w:type="continuationSeparator" w:id="0">
    <w:p w14:paraId="68B023CA" w14:textId="77777777" w:rsidR="00245906" w:rsidRDefault="00245906" w:rsidP="00A96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43719812"/>
      <w:docPartObj>
        <w:docPartGallery w:val="Page Numbers (Bottom of Page)"/>
        <w:docPartUnique/>
      </w:docPartObj>
    </w:sdtPr>
    <w:sdtContent>
      <w:p w14:paraId="081F06ED" w14:textId="63B1E00F" w:rsidR="00A96DDD" w:rsidRDefault="00A96DDD" w:rsidP="00FE2C0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0C6DD28" w14:textId="77777777" w:rsidR="00A96DDD" w:rsidRDefault="00A96DDD" w:rsidP="00A96D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48809266"/>
      <w:docPartObj>
        <w:docPartGallery w:val="Page Numbers (Bottom of Page)"/>
        <w:docPartUnique/>
      </w:docPartObj>
    </w:sdtPr>
    <w:sdtContent>
      <w:p w14:paraId="05ACC959" w14:textId="0CAABAAA" w:rsidR="00A96DDD" w:rsidRDefault="00A96DDD" w:rsidP="00FE2C0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B88401" w14:textId="77777777" w:rsidR="00A96DDD" w:rsidRDefault="00A96DDD" w:rsidP="00A96DD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57F8F" w14:textId="77777777" w:rsidR="00245906" w:rsidRDefault="00245906" w:rsidP="00A96DDD">
      <w:pPr>
        <w:spacing w:after="0" w:line="240" w:lineRule="auto"/>
      </w:pPr>
      <w:r>
        <w:separator/>
      </w:r>
    </w:p>
  </w:footnote>
  <w:footnote w:type="continuationSeparator" w:id="0">
    <w:p w14:paraId="2F7900D1" w14:textId="77777777" w:rsidR="00245906" w:rsidRDefault="00245906" w:rsidP="00A96D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E47ED"/>
    <w:multiLevelType w:val="multilevel"/>
    <w:tmpl w:val="36C2F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D6630"/>
    <w:multiLevelType w:val="multilevel"/>
    <w:tmpl w:val="34F86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40B47"/>
    <w:multiLevelType w:val="hybridMultilevel"/>
    <w:tmpl w:val="CCD23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D490F"/>
    <w:multiLevelType w:val="multilevel"/>
    <w:tmpl w:val="342E3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02F1E"/>
    <w:multiLevelType w:val="multilevel"/>
    <w:tmpl w:val="7FA2D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C94D83"/>
    <w:multiLevelType w:val="hybridMultilevel"/>
    <w:tmpl w:val="C5025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775E4D"/>
    <w:multiLevelType w:val="multilevel"/>
    <w:tmpl w:val="119E5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935303"/>
    <w:multiLevelType w:val="multilevel"/>
    <w:tmpl w:val="D2823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233448"/>
    <w:multiLevelType w:val="multilevel"/>
    <w:tmpl w:val="F2624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FB592F"/>
    <w:multiLevelType w:val="multilevel"/>
    <w:tmpl w:val="55C2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8E649F"/>
    <w:multiLevelType w:val="multilevel"/>
    <w:tmpl w:val="FCE21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0837C2"/>
    <w:multiLevelType w:val="hybridMultilevel"/>
    <w:tmpl w:val="BEDA5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3A24EA"/>
    <w:multiLevelType w:val="multilevel"/>
    <w:tmpl w:val="B6E4F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6C2A7F"/>
    <w:multiLevelType w:val="multilevel"/>
    <w:tmpl w:val="2EB643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E57BF3"/>
    <w:multiLevelType w:val="multilevel"/>
    <w:tmpl w:val="C4B29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0E66F5"/>
    <w:multiLevelType w:val="multilevel"/>
    <w:tmpl w:val="FED0F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E32B77"/>
    <w:multiLevelType w:val="hybridMultilevel"/>
    <w:tmpl w:val="FD869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B158E7"/>
    <w:multiLevelType w:val="multilevel"/>
    <w:tmpl w:val="CD6E7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F32658"/>
    <w:multiLevelType w:val="hybridMultilevel"/>
    <w:tmpl w:val="007A9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7860C8"/>
    <w:multiLevelType w:val="hybridMultilevel"/>
    <w:tmpl w:val="29F28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D13978"/>
    <w:multiLevelType w:val="multilevel"/>
    <w:tmpl w:val="EFC4B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893505"/>
    <w:multiLevelType w:val="multilevel"/>
    <w:tmpl w:val="7A662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C66030"/>
    <w:multiLevelType w:val="multilevel"/>
    <w:tmpl w:val="B5667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DF04BE"/>
    <w:multiLevelType w:val="multilevel"/>
    <w:tmpl w:val="367CA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197B5E"/>
    <w:multiLevelType w:val="multilevel"/>
    <w:tmpl w:val="14BA91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1B3AA3"/>
    <w:multiLevelType w:val="multilevel"/>
    <w:tmpl w:val="6A022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50568"/>
    <w:multiLevelType w:val="multilevel"/>
    <w:tmpl w:val="4B7EA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CB79FC"/>
    <w:multiLevelType w:val="multilevel"/>
    <w:tmpl w:val="34F631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DA4071"/>
    <w:multiLevelType w:val="multilevel"/>
    <w:tmpl w:val="F5CAF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DC743F"/>
    <w:multiLevelType w:val="hybridMultilevel"/>
    <w:tmpl w:val="D4E4D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042C57"/>
    <w:multiLevelType w:val="multilevel"/>
    <w:tmpl w:val="97368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9F03C3"/>
    <w:multiLevelType w:val="hybridMultilevel"/>
    <w:tmpl w:val="85E2B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37E1585"/>
    <w:multiLevelType w:val="multilevel"/>
    <w:tmpl w:val="68561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621D27"/>
    <w:multiLevelType w:val="hybridMultilevel"/>
    <w:tmpl w:val="2474B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133FEC"/>
    <w:multiLevelType w:val="hybridMultilevel"/>
    <w:tmpl w:val="606C8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4C7313"/>
    <w:multiLevelType w:val="hybridMultilevel"/>
    <w:tmpl w:val="F03A730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FF26FC8"/>
    <w:multiLevelType w:val="hybridMultilevel"/>
    <w:tmpl w:val="4A74A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CD3DE9"/>
    <w:multiLevelType w:val="hybridMultilevel"/>
    <w:tmpl w:val="4E56B1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6506DA"/>
    <w:multiLevelType w:val="hybridMultilevel"/>
    <w:tmpl w:val="1E945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A85C65"/>
    <w:multiLevelType w:val="multilevel"/>
    <w:tmpl w:val="BBB6A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2419098">
    <w:abstractNumId w:val="13"/>
  </w:num>
  <w:num w:numId="2" w16cid:durableId="1132871360">
    <w:abstractNumId w:val="0"/>
  </w:num>
  <w:num w:numId="3" w16cid:durableId="231041855">
    <w:abstractNumId w:val="12"/>
  </w:num>
  <w:num w:numId="4" w16cid:durableId="1125197774">
    <w:abstractNumId w:val="14"/>
  </w:num>
  <w:num w:numId="5" w16cid:durableId="891885198">
    <w:abstractNumId w:val="24"/>
  </w:num>
  <w:num w:numId="6" w16cid:durableId="176770603">
    <w:abstractNumId w:val="39"/>
  </w:num>
  <w:num w:numId="7" w16cid:durableId="1412313089">
    <w:abstractNumId w:val="10"/>
  </w:num>
  <w:num w:numId="8" w16cid:durableId="1153369643">
    <w:abstractNumId w:val="23"/>
  </w:num>
  <w:num w:numId="9" w16cid:durableId="1720936551">
    <w:abstractNumId w:val="28"/>
  </w:num>
  <w:num w:numId="10" w16cid:durableId="898398457">
    <w:abstractNumId w:val="3"/>
  </w:num>
  <w:num w:numId="11" w16cid:durableId="1047141395">
    <w:abstractNumId w:val="17"/>
  </w:num>
  <w:num w:numId="12" w16cid:durableId="1252273762">
    <w:abstractNumId w:val="15"/>
  </w:num>
  <w:num w:numId="13" w16cid:durableId="1542324850">
    <w:abstractNumId w:val="8"/>
  </w:num>
  <w:num w:numId="14" w16cid:durableId="491526194">
    <w:abstractNumId w:val="35"/>
  </w:num>
  <w:num w:numId="15" w16cid:durableId="1518540820">
    <w:abstractNumId w:val="34"/>
  </w:num>
  <w:num w:numId="16" w16cid:durableId="1492913699">
    <w:abstractNumId w:val="5"/>
  </w:num>
  <w:num w:numId="17" w16cid:durableId="1738748529">
    <w:abstractNumId w:val="33"/>
  </w:num>
  <w:num w:numId="18" w16cid:durableId="1203175454">
    <w:abstractNumId w:val="11"/>
  </w:num>
  <w:num w:numId="19" w16cid:durableId="724640376">
    <w:abstractNumId w:val="2"/>
  </w:num>
  <w:num w:numId="20" w16cid:durableId="1671716088">
    <w:abstractNumId w:val="36"/>
  </w:num>
  <w:num w:numId="21" w16cid:durableId="1308166259">
    <w:abstractNumId w:val="29"/>
  </w:num>
  <w:num w:numId="22" w16cid:durableId="861699173">
    <w:abstractNumId w:val="38"/>
  </w:num>
  <w:num w:numId="23" w16cid:durableId="699208775">
    <w:abstractNumId w:val="32"/>
  </w:num>
  <w:num w:numId="24" w16cid:durableId="546920116">
    <w:abstractNumId w:val="27"/>
  </w:num>
  <w:num w:numId="25" w16cid:durableId="302732167">
    <w:abstractNumId w:val="4"/>
  </w:num>
  <w:num w:numId="26" w16cid:durableId="1777480564">
    <w:abstractNumId w:val="21"/>
  </w:num>
  <w:num w:numId="27" w16cid:durableId="1390155064">
    <w:abstractNumId w:val="7"/>
  </w:num>
  <w:num w:numId="28" w16cid:durableId="1381518561">
    <w:abstractNumId w:val="20"/>
  </w:num>
  <w:num w:numId="29" w16cid:durableId="1264801355">
    <w:abstractNumId w:val="9"/>
  </w:num>
  <w:num w:numId="30" w16cid:durableId="1315526685">
    <w:abstractNumId w:val="26"/>
  </w:num>
  <w:num w:numId="31" w16cid:durableId="1455489568">
    <w:abstractNumId w:val="6"/>
  </w:num>
  <w:num w:numId="32" w16cid:durableId="364136685">
    <w:abstractNumId w:val="22"/>
  </w:num>
  <w:num w:numId="33" w16cid:durableId="411120291">
    <w:abstractNumId w:val="1"/>
  </w:num>
  <w:num w:numId="34" w16cid:durableId="782117628">
    <w:abstractNumId w:val="30"/>
  </w:num>
  <w:num w:numId="35" w16cid:durableId="1962764345">
    <w:abstractNumId w:val="25"/>
  </w:num>
  <w:num w:numId="36" w16cid:durableId="263803700">
    <w:abstractNumId w:val="19"/>
  </w:num>
  <w:num w:numId="37" w16cid:durableId="1580872054">
    <w:abstractNumId w:val="31"/>
  </w:num>
  <w:num w:numId="38" w16cid:durableId="1076246211">
    <w:abstractNumId w:val="37"/>
  </w:num>
  <w:num w:numId="39" w16cid:durableId="1318149813">
    <w:abstractNumId w:val="18"/>
  </w:num>
  <w:num w:numId="40" w16cid:durableId="14681660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EB8"/>
    <w:rsid w:val="0002322A"/>
    <w:rsid w:val="00071AC3"/>
    <w:rsid w:val="000B6E93"/>
    <w:rsid w:val="000D0B48"/>
    <w:rsid w:val="00105F08"/>
    <w:rsid w:val="00126381"/>
    <w:rsid w:val="001364C7"/>
    <w:rsid w:val="001577E5"/>
    <w:rsid w:val="001C1CFB"/>
    <w:rsid w:val="001C349E"/>
    <w:rsid w:val="00210CE2"/>
    <w:rsid w:val="00245906"/>
    <w:rsid w:val="00287FCE"/>
    <w:rsid w:val="002A137A"/>
    <w:rsid w:val="002E4F81"/>
    <w:rsid w:val="003117B6"/>
    <w:rsid w:val="003361D4"/>
    <w:rsid w:val="00356980"/>
    <w:rsid w:val="00370CFC"/>
    <w:rsid w:val="003C6472"/>
    <w:rsid w:val="00403D54"/>
    <w:rsid w:val="00440CDB"/>
    <w:rsid w:val="00452D77"/>
    <w:rsid w:val="004D5F7D"/>
    <w:rsid w:val="005124D6"/>
    <w:rsid w:val="0053287F"/>
    <w:rsid w:val="00596DB4"/>
    <w:rsid w:val="005C79EB"/>
    <w:rsid w:val="005D52D4"/>
    <w:rsid w:val="005F4A98"/>
    <w:rsid w:val="0061602A"/>
    <w:rsid w:val="006210CD"/>
    <w:rsid w:val="00622068"/>
    <w:rsid w:val="00652752"/>
    <w:rsid w:val="0065474A"/>
    <w:rsid w:val="0065497B"/>
    <w:rsid w:val="00690DEB"/>
    <w:rsid w:val="006B1E92"/>
    <w:rsid w:val="006D4B18"/>
    <w:rsid w:val="006F2CAA"/>
    <w:rsid w:val="007146BB"/>
    <w:rsid w:val="007429D7"/>
    <w:rsid w:val="00780D07"/>
    <w:rsid w:val="007963E3"/>
    <w:rsid w:val="007A729C"/>
    <w:rsid w:val="007F2E87"/>
    <w:rsid w:val="00801A01"/>
    <w:rsid w:val="00806985"/>
    <w:rsid w:val="00807468"/>
    <w:rsid w:val="00856179"/>
    <w:rsid w:val="008927B2"/>
    <w:rsid w:val="008A1400"/>
    <w:rsid w:val="008B2F79"/>
    <w:rsid w:val="008E33F3"/>
    <w:rsid w:val="008F48D1"/>
    <w:rsid w:val="00940300"/>
    <w:rsid w:val="009614BC"/>
    <w:rsid w:val="009672DA"/>
    <w:rsid w:val="0097666C"/>
    <w:rsid w:val="009F1075"/>
    <w:rsid w:val="009F4476"/>
    <w:rsid w:val="00A0193E"/>
    <w:rsid w:val="00A4403C"/>
    <w:rsid w:val="00A56905"/>
    <w:rsid w:val="00A61A50"/>
    <w:rsid w:val="00A94853"/>
    <w:rsid w:val="00A96DDD"/>
    <w:rsid w:val="00AB14D9"/>
    <w:rsid w:val="00AE5FD6"/>
    <w:rsid w:val="00AF08E3"/>
    <w:rsid w:val="00AF1EB8"/>
    <w:rsid w:val="00B760EB"/>
    <w:rsid w:val="00B865CD"/>
    <w:rsid w:val="00BF1B85"/>
    <w:rsid w:val="00C03360"/>
    <w:rsid w:val="00C3568B"/>
    <w:rsid w:val="00D12CBE"/>
    <w:rsid w:val="00D30CFF"/>
    <w:rsid w:val="00D94D08"/>
    <w:rsid w:val="00D96C59"/>
    <w:rsid w:val="00DA1CA3"/>
    <w:rsid w:val="00E2726A"/>
    <w:rsid w:val="00E27973"/>
    <w:rsid w:val="00EA10DE"/>
    <w:rsid w:val="00EB1AE6"/>
    <w:rsid w:val="00ED3F54"/>
    <w:rsid w:val="00F05670"/>
    <w:rsid w:val="00F35E45"/>
    <w:rsid w:val="00F926D7"/>
    <w:rsid w:val="00F93B59"/>
    <w:rsid w:val="00FB7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73C50"/>
  <w15:chartTrackingRefBased/>
  <w15:docId w15:val="{7A21B079-8478-3D48-923B-A187A0A66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1E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F1E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1E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1E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1E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1E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1E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1E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1E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E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F1E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1E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1E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1E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1E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1E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1E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1EB8"/>
    <w:rPr>
      <w:rFonts w:eastAsiaTheme="majorEastAsia" w:cstheme="majorBidi"/>
      <w:color w:val="272727" w:themeColor="text1" w:themeTint="D8"/>
    </w:rPr>
  </w:style>
  <w:style w:type="paragraph" w:styleId="Title">
    <w:name w:val="Title"/>
    <w:basedOn w:val="Normal"/>
    <w:next w:val="Normal"/>
    <w:link w:val="TitleChar"/>
    <w:uiPriority w:val="10"/>
    <w:qFormat/>
    <w:rsid w:val="00AF1E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1E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1E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1E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1EB8"/>
    <w:pPr>
      <w:spacing w:before="160"/>
      <w:jc w:val="center"/>
    </w:pPr>
    <w:rPr>
      <w:i/>
      <w:iCs/>
      <w:color w:val="404040" w:themeColor="text1" w:themeTint="BF"/>
    </w:rPr>
  </w:style>
  <w:style w:type="character" w:customStyle="1" w:styleId="QuoteChar">
    <w:name w:val="Quote Char"/>
    <w:basedOn w:val="DefaultParagraphFont"/>
    <w:link w:val="Quote"/>
    <w:uiPriority w:val="29"/>
    <w:rsid w:val="00AF1EB8"/>
    <w:rPr>
      <w:i/>
      <w:iCs/>
      <w:color w:val="404040" w:themeColor="text1" w:themeTint="BF"/>
    </w:rPr>
  </w:style>
  <w:style w:type="paragraph" w:styleId="ListParagraph">
    <w:name w:val="List Paragraph"/>
    <w:basedOn w:val="Normal"/>
    <w:uiPriority w:val="34"/>
    <w:qFormat/>
    <w:rsid w:val="00AF1EB8"/>
    <w:pPr>
      <w:ind w:left="720"/>
      <w:contextualSpacing/>
    </w:pPr>
  </w:style>
  <w:style w:type="character" w:styleId="IntenseEmphasis">
    <w:name w:val="Intense Emphasis"/>
    <w:basedOn w:val="DefaultParagraphFont"/>
    <w:uiPriority w:val="21"/>
    <w:qFormat/>
    <w:rsid w:val="00AF1EB8"/>
    <w:rPr>
      <w:i/>
      <w:iCs/>
      <w:color w:val="0F4761" w:themeColor="accent1" w:themeShade="BF"/>
    </w:rPr>
  </w:style>
  <w:style w:type="paragraph" w:styleId="IntenseQuote">
    <w:name w:val="Intense Quote"/>
    <w:basedOn w:val="Normal"/>
    <w:next w:val="Normal"/>
    <w:link w:val="IntenseQuoteChar"/>
    <w:uiPriority w:val="30"/>
    <w:qFormat/>
    <w:rsid w:val="00AF1E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1EB8"/>
    <w:rPr>
      <w:i/>
      <w:iCs/>
      <w:color w:val="0F4761" w:themeColor="accent1" w:themeShade="BF"/>
    </w:rPr>
  </w:style>
  <w:style w:type="character" w:styleId="IntenseReference">
    <w:name w:val="Intense Reference"/>
    <w:basedOn w:val="DefaultParagraphFont"/>
    <w:uiPriority w:val="32"/>
    <w:qFormat/>
    <w:rsid w:val="00AF1EB8"/>
    <w:rPr>
      <w:b/>
      <w:bCs/>
      <w:smallCaps/>
      <w:color w:val="0F4761" w:themeColor="accent1" w:themeShade="BF"/>
      <w:spacing w:val="5"/>
    </w:rPr>
  </w:style>
  <w:style w:type="table" w:styleId="TableGrid">
    <w:name w:val="Table Grid"/>
    <w:basedOn w:val="TableNormal"/>
    <w:uiPriority w:val="39"/>
    <w:rsid w:val="00AF1E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80D07"/>
    <w:rPr>
      <w:b/>
      <w:bCs/>
    </w:rPr>
  </w:style>
  <w:style w:type="paragraph" w:styleId="TOCHeading">
    <w:name w:val="TOC Heading"/>
    <w:basedOn w:val="Heading1"/>
    <w:next w:val="Normal"/>
    <w:uiPriority w:val="39"/>
    <w:unhideWhenUsed/>
    <w:qFormat/>
    <w:rsid w:val="006210CD"/>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6210CD"/>
    <w:pPr>
      <w:spacing w:after="0"/>
      <w:ind w:left="240"/>
    </w:pPr>
    <w:rPr>
      <w:smallCaps/>
      <w:sz w:val="20"/>
      <w:szCs w:val="20"/>
    </w:rPr>
  </w:style>
  <w:style w:type="paragraph" w:styleId="TOC1">
    <w:name w:val="toc 1"/>
    <w:basedOn w:val="Normal"/>
    <w:next w:val="Normal"/>
    <w:autoRedefine/>
    <w:uiPriority w:val="39"/>
    <w:unhideWhenUsed/>
    <w:rsid w:val="006210CD"/>
    <w:pPr>
      <w:spacing w:before="120" w:after="120"/>
    </w:pPr>
    <w:rPr>
      <w:b/>
      <w:bCs/>
      <w:caps/>
      <w:sz w:val="20"/>
      <w:szCs w:val="20"/>
    </w:rPr>
  </w:style>
  <w:style w:type="paragraph" w:styleId="TOC3">
    <w:name w:val="toc 3"/>
    <w:basedOn w:val="Normal"/>
    <w:next w:val="Normal"/>
    <w:autoRedefine/>
    <w:uiPriority w:val="39"/>
    <w:unhideWhenUsed/>
    <w:rsid w:val="006210CD"/>
    <w:pPr>
      <w:spacing w:after="0"/>
      <w:ind w:left="480"/>
    </w:pPr>
    <w:rPr>
      <w:i/>
      <w:iCs/>
      <w:sz w:val="20"/>
      <w:szCs w:val="20"/>
    </w:rPr>
  </w:style>
  <w:style w:type="paragraph" w:styleId="TOC4">
    <w:name w:val="toc 4"/>
    <w:basedOn w:val="Normal"/>
    <w:next w:val="Normal"/>
    <w:autoRedefine/>
    <w:uiPriority w:val="39"/>
    <w:semiHidden/>
    <w:unhideWhenUsed/>
    <w:rsid w:val="006210CD"/>
    <w:pPr>
      <w:spacing w:after="0"/>
      <w:ind w:left="720"/>
    </w:pPr>
    <w:rPr>
      <w:sz w:val="18"/>
      <w:szCs w:val="18"/>
    </w:rPr>
  </w:style>
  <w:style w:type="paragraph" w:styleId="TOC5">
    <w:name w:val="toc 5"/>
    <w:basedOn w:val="Normal"/>
    <w:next w:val="Normal"/>
    <w:autoRedefine/>
    <w:uiPriority w:val="39"/>
    <w:semiHidden/>
    <w:unhideWhenUsed/>
    <w:rsid w:val="006210CD"/>
    <w:pPr>
      <w:spacing w:after="0"/>
      <w:ind w:left="960"/>
    </w:pPr>
    <w:rPr>
      <w:sz w:val="18"/>
      <w:szCs w:val="18"/>
    </w:rPr>
  </w:style>
  <w:style w:type="paragraph" w:styleId="TOC6">
    <w:name w:val="toc 6"/>
    <w:basedOn w:val="Normal"/>
    <w:next w:val="Normal"/>
    <w:autoRedefine/>
    <w:uiPriority w:val="39"/>
    <w:semiHidden/>
    <w:unhideWhenUsed/>
    <w:rsid w:val="006210CD"/>
    <w:pPr>
      <w:spacing w:after="0"/>
      <w:ind w:left="1200"/>
    </w:pPr>
    <w:rPr>
      <w:sz w:val="18"/>
      <w:szCs w:val="18"/>
    </w:rPr>
  </w:style>
  <w:style w:type="paragraph" w:styleId="TOC7">
    <w:name w:val="toc 7"/>
    <w:basedOn w:val="Normal"/>
    <w:next w:val="Normal"/>
    <w:autoRedefine/>
    <w:uiPriority w:val="39"/>
    <w:semiHidden/>
    <w:unhideWhenUsed/>
    <w:rsid w:val="006210CD"/>
    <w:pPr>
      <w:spacing w:after="0"/>
      <w:ind w:left="1440"/>
    </w:pPr>
    <w:rPr>
      <w:sz w:val="18"/>
      <w:szCs w:val="18"/>
    </w:rPr>
  </w:style>
  <w:style w:type="paragraph" w:styleId="TOC8">
    <w:name w:val="toc 8"/>
    <w:basedOn w:val="Normal"/>
    <w:next w:val="Normal"/>
    <w:autoRedefine/>
    <w:uiPriority w:val="39"/>
    <w:semiHidden/>
    <w:unhideWhenUsed/>
    <w:rsid w:val="006210CD"/>
    <w:pPr>
      <w:spacing w:after="0"/>
      <w:ind w:left="1680"/>
    </w:pPr>
    <w:rPr>
      <w:sz w:val="18"/>
      <w:szCs w:val="18"/>
    </w:rPr>
  </w:style>
  <w:style w:type="paragraph" w:styleId="TOC9">
    <w:name w:val="toc 9"/>
    <w:basedOn w:val="Normal"/>
    <w:next w:val="Normal"/>
    <w:autoRedefine/>
    <w:uiPriority w:val="39"/>
    <w:semiHidden/>
    <w:unhideWhenUsed/>
    <w:rsid w:val="006210CD"/>
    <w:pPr>
      <w:spacing w:after="0"/>
      <w:ind w:left="1920"/>
    </w:pPr>
    <w:rPr>
      <w:sz w:val="18"/>
      <w:szCs w:val="18"/>
    </w:rPr>
  </w:style>
  <w:style w:type="paragraph" w:styleId="NormalWeb">
    <w:name w:val="Normal (Web)"/>
    <w:basedOn w:val="Normal"/>
    <w:uiPriority w:val="99"/>
    <w:semiHidden/>
    <w:unhideWhenUsed/>
    <w:rsid w:val="00452D7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PlainText">
    <w:name w:val="Plain Text"/>
    <w:basedOn w:val="Normal"/>
    <w:link w:val="PlainTextChar"/>
    <w:uiPriority w:val="99"/>
    <w:unhideWhenUsed/>
    <w:rsid w:val="000B6E93"/>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0B6E93"/>
    <w:rPr>
      <w:rFonts w:ascii="Consolas" w:hAnsi="Consolas" w:cs="Consolas"/>
      <w:sz w:val="21"/>
      <w:szCs w:val="21"/>
    </w:rPr>
  </w:style>
  <w:style w:type="character" w:customStyle="1" w:styleId="apple-converted-space">
    <w:name w:val="apple-converted-space"/>
    <w:basedOn w:val="DefaultParagraphFont"/>
    <w:rsid w:val="00BF1B85"/>
  </w:style>
  <w:style w:type="paragraph" w:styleId="Footer">
    <w:name w:val="footer"/>
    <w:basedOn w:val="Normal"/>
    <w:link w:val="FooterChar"/>
    <w:uiPriority w:val="99"/>
    <w:unhideWhenUsed/>
    <w:rsid w:val="00A96D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DDD"/>
  </w:style>
  <w:style w:type="character" w:styleId="PageNumber">
    <w:name w:val="page number"/>
    <w:basedOn w:val="DefaultParagraphFont"/>
    <w:uiPriority w:val="99"/>
    <w:semiHidden/>
    <w:unhideWhenUsed/>
    <w:rsid w:val="00A96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57926-3200-404D-8682-D09257F6D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16</Pages>
  <Words>3465</Words>
  <Characters>19753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Josue David Rodriguez Castro (2506920)</dc:creator>
  <cp:keywords/>
  <dc:description/>
  <cp:lastModifiedBy>Josue David Rodriguez Castro (2506920)</cp:lastModifiedBy>
  <cp:revision>67</cp:revision>
  <dcterms:created xsi:type="dcterms:W3CDTF">2026-07-08T17:10:00Z</dcterms:created>
  <dcterms:modified xsi:type="dcterms:W3CDTF">2026-07-10T22:38:00Z</dcterms:modified>
</cp:coreProperties>
</file>