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01345" w:rsidRDefault="00950409">
      <w:pPr>
        <w:spacing w:after="280"/>
        <w:ind w:left="-30" w:right="-39"/>
      </w:pPr>
      <w:r>
        <w:rPr>
          <w:noProof/>
        </w:rPr>
        <mc:AlternateContent>
          <mc:Choice Requires="wpg">
            <w:drawing>
              <wp:inline distT="0" distB="0" distL="0" distR="0">
                <wp:extent cx="5771516" cy="912242"/>
                <wp:effectExtent l="0" t="0" r="0" b="0"/>
                <wp:docPr id="2445" name="Group 2445"/>
                <wp:cNvGraphicFramePr/>
                <a:graphic xmlns:a="http://schemas.openxmlformats.org/drawingml/2006/main">
                  <a:graphicData uri="http://schemas.microsoft.com/office/word/2010/wordprocessingGroup">
                    <wpg:wgp>
                      <wpg:cNvGrpSpPr/>
                      <wpg:grpSpPr>
                        <a:xfrm>
                          <a:off x="0" y="0"/>
                          <a:ext cx="5771516" cy="912242"/>
                          <a:chOff x="0" y="0"/>
                          <a:chExt cx="5771516" cy="912242"/>
                        </a:xfrm>
                      </wpg:grpSpPr>
                      <wps:wsp>
                        <wps:cNvPr id="6" name="Rectangle 6"/>
                        <wps:cNvSpPr/>
                        <wps:spPr>
                          <a:xfrm>
                            <a:off x="3592513" y="645160"/>
                            <a:ext cx="41991" cy="189248"/>
                          </a:xfrm>
                          <a:prstGeom prst="rect">
                            <a:avLst/>
                          </a:prstGeom>
                          <a:ln>
                            <a:noFill/>
                          </a:ln>
                        </wps:spPr>
                        <wps:txbx>
                          <w:txbxContent>
                            <w:p w:rsidR="00401345" w:rsidRDefault="00950409">
                              <w:r>
                                <w:rPr>
                                  <w:rFonts w:ascii="Calibri" w:hAnsi="Calibri"/>
                                  <w:color w:val="5B9BD5"/>
                                </w:rPr>
                                <w:t xml:space="preserve"> </w:t>
                              </w:r>
                            </w:p>
                          </w:txbxContent>
                        </wps:txbx>
                        <wps:bodyPr horzOverflow="overflow" vert="horz" lIns="0" tIns="0" rIns="0" bIns="0" rtlCol="0"/>
                      </wps:wsp>
                      <wps:wsp>
                        <wps:cNvPr id="3021" name="Shape 3021"/>
                        <wps:cNvSpPr/>
                        <wps:spPr>
                          <a:xfrm>
                            <a:off x="0" y="902717"/>
                            <a:ext cx="5771516" cy="9525"/>
                          </a:xfrm>
                          <a:custGeom>
                            <a:avLst/>
                            <a:gdLst/>
                            <a:ahLst/>
                            <a:cxnLst/>
                            <a:rect l="0" t="0" r="0" b="0"/>
                            <a:pathLst>
                              <a:path w="5771516" h="9525">
                                <a:moveTo>
                                  <a:pt x="0" y="0"/>
                                </a:moveTo>
                                <a:lnTo>
                                  <a:pt x="5771516" y="0"/>
                                </a:lnTo>
                                <a:lnTo>
                                  <a:pt x="5771516" y="9525"/>
                                </a:lnTo>
                                <a:lnTo>
                                  <a:pt x="0" y="9525"/>
                                </a:lnTo>
                                <a:lnTo>
                                  <a:pt x="0" y="0"/>
                                </a:lnTo>
                              </a:path>
                            </a:pathLst>
                          </a:custGeom>
                          <a:ln w="0">
                            <a:miter lim="127000"/>
                          </a:ln>
                        </wps:spPr>
                        <wps:style>
                          <a:lnRef idx="0">
                            <a:srgbClr val="000000">
                              <a:alpha val="0"/>
                            </a:srgbClr>
                          </a:lnRef>
                          <a:fillRef idx="1">
                            <a:srgbClr val="5B9BD5"/>
                          </a:fillRef>
                          <a:effectRef idx="0">
                            <a:scrgbClr r="0" g="0" b="0"/>
                          </a:effectRef>
                          <a:fontRef idx="none"/>
                        </wps:style>
                        <wps:bodyPr/>
                      </wps:wsp>
                      <pic:pic xmlns:pic="http://schemas.openxmlformats.org/drawingml/2006/picture">
                        <pic:nvPicPr>
                          <pic:cNvPr id="17" name="Picture 17"/>
                          <pic:cNvPicPr/>
                        </pic:nvPicPr>
                        <pic:blipFill>
                          <a:blip r:embed="rId7"/>
                          <a:stretch>
                            <a:fillRect/>
                          </a:stretch>
                        </pic:blipFill>
                        <pic:spPr>
                          <a:xfrm>
                            <a:off x="2175828" y="0"/>
                            <a:ext cx="1416685" cy="750570"/>
                          </a:xfrm>
                          <a:prstGeom prst="rect">
                            <a:avLst/>
                          </a:prstGeom>
                        </pic:spPr>
                      </pic:pic>
                    </wpg:wgp>
                  </a:graphicData>
                </a:graphic>
              </wp:inline>
            </w:drawing>
          </mc:Choice>
          <mc:Fallback>
            <w:pict>
              <v:group id="Group 2445" o:spid="_x0000_i1025" style="width:454.45pt;height:71.85pt;mso-position-horizontal-relative:char;mso-position-vertical-relative:line" coordsize="57715,9122">
                <v:rect id="Rectangle 6" o:spid="_x0000_s1026" style="width:420;height:1893;left:35925;mso-wrap-style:square;position:absolute;top:6451;visibility:visible;v-text-anchor:top" filled="f" stroked="f">
                  <v:textbox inset="0,0,0,0">
                    <w:txbxContent>
                      <w:p w:rsidR="00401345" w14:paraId="6EC7ED3E" w14:textId="77777777">
                        <w:r>
                          <w:rPr>
                            <w:rFonts w:ascii="Calibri" w:hAnsi="Calibri"/>
                            <w:color w:val="5B9BD5"/>
                          </w:rPr>
                          <w:t xml:space="preserve"> </w:t>
                        </w:r>
                      </w:p>
                    </w:txbxContent>
                  </v:textbox>
                </v:rect>
                <v:shape id="Shape 3021" o:spid="_x0000_s1027" style="width:57715;height:95;mso-wrap-style:square;position:absolute;top:9027;visibility:visible;v-text-anchor:top" coordsize="5771516,9525" path="m,l5771516,l5771516,9525l,9525,,e" fillcolor="#5b9bd5" stroked="f">
                  <v:stroke joinstyle="miter"/>
                  <v:path arrowok="t" textboxrect="0,0,5771516,9525"/>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28" type="#_x0000_t75" style="width:14167;height:7505;left:21758;mso-wrap-style:square;position:absolute;visibility:visible">
                  <v:imagedata r:id="rId8" o:title=""/>
                </v:shape>
                <w10:wrap type="none"/>
                <w10:anchorlock/>
              </v:group>
            </w:pict>
          </mc:Fallback>
        </mc:AlternateContent>
      </w:r>
    </w:p>
    <w:p w:rsidR="00401345" w:rsidRDefault="00950409" w:rsidP="00950409">
      <w:pPr>
        <w:spacing w:after="0"/>
        <w:ind w:right="1382"/>
        <w:jc w:val="center"/>
      </w:pPr>
      <w:r>
        <w:rPr>
          <w:rFonts w:ascii="Calibri" w:hAnsi="Calibri"/>
          <w:color w:val="5B9BD5"/>
          <w:sz w:val="80"/>
        </w:rPr>
        <w:t xml:space="preserve">REPORT </w:t>
      </w:r>
    </w:p>
    <w:p w:rsidR="00401345" w:rsidRDefault="00950409">
      <w:pPr>
        <w:spacing w:after="295"/>
        <w:ind w:left="-30" w:right="-39"/>
      </w:pPr>
      <w:r>
        <w:rPr>
          <w:noProof/>
        </w:rPr>
        <mc:AlternateContent>
          <mc:Choice Requires="wpg">
            <w:drawing>
              <wp:inline distT="0" distB="0" distL="0" distR="0">
                <wp:extent cx="5771516" cy="9525"/>
                <wp:effectExtent l="0" t="0" r="0" b="0"/>
                <wp:docPr id="2446" name="Group 2446"/>
                <wp:cNvGraphicFramePr/>
                <a:graphic xmlns:a="http://schemas.openxmlformats.org/drawingml/2006/main">
                  <a:graphicData uri="http://schemas.microsoft.com/office/word/2010/wordprocessingGroup">
                    <wpg:wgp>
                      <wpg:cNvGrpSpPr/>
                      <wpg:grpSpPr>
                        <a:xfrm>
                          <a:off x="0" y="0"/>
                          <a:ext cx="5771516" cy="9525"/>
                          <a:chOff x="0" y="0"/>
                          <a:chExt cx="5771516" cy="9525"/>
                        </a:xfrm>
                      </wpg:grpSpPr>
                      <wps:wsp>
                        <wps:cNvPr id="3023" name="Shape 3023"/>
                        <wps:cNvSpPr/>
                        <wps:spPr>
                          <a:xfrm>
                            <a:off x="0" y="0"/>
                            <a:ext cx="5771516" cy="9525"/>
                          </a:xfrm>
                          <a:custGeom>
                            <a:avLst/>
                            <a:gdLst/>
                            <a:ahLst/>
                            <a:cxnLst/>
                            <a:rect l="0" t="0" r="0" b="0"/>
                            <a:pathLst>
                              <a:path w="5771516" h="9525">
                                <a:moveTo>
                                  <a:pt x="0" y="0"/>
                                </a:moveTo>
                                <a:lnTo>
                                  <a:pt x="5771516" y="0"/>
                                </a:lnTo>
                                <a:lnTo>
                                  <a:pt x="5771516" y="9525"/>
                                </a:lnTo>
                                <a:lnTo>
                                  <a:pt x="0" y="9525"/>
                                </a:lnTo>
                                <a:lnTo>
                                  <a:pt x="0" y="0"/>
                                </a:lnTo>
                              </a:path>
                            </a:pathLst>
                          </a:custGeom>
                          <a:ln w="0">
                            <a:miter lim="127000"/>
                          </a:ln>
                        </wps:spPr>
                        <wps:style>
                          <a:lnRef idx="0">
                            <a:srgbClr val="000000">
                              <a:alpha val="0"/>
                            </a:srgbClr>
                          </a:lnRef>
                          <a:fillRef idx="1">
                            <a:srgbClr val="5B9BD5"/>
                          </a:fillRef>
                          <a:effectRef idx="0">
                            <a:scrgbClr r="0" g="0" b="0"/>
                          </a:effectRef>
                          <a:fontRef idx="none"/>
                        </wps:style>
                        <wps:bodyPr/>
                      </wps:wsp>
                    </wpg:wgp>
                  </a:graphicData>
                </a:graphic>
              </wp:inline>
            </w:drawing>
          </mc:Choice>
          <mc:Fallback>
            <w:pict>
              <v:group id="_x0000_i1029" style="width:454.45pt;height:0.75pt;mso-position-horizontal-relative:char;mso-position-vertical-relative:line" coordsize="57715,95">
                <v:shape id="_x0000_s1030" style="width:57715;height:95;position:absolute" coordsize="5771516,9525" path="m,l5771516,l5771516,9525l,9525l,e" filled="t" fillcolor="#5b9bd5" stroked="f" strokecolor="black">
                  <v:stroke joinstyle="miter" endcap="flat" opacity="0"/>
                </v:shape>
                <w10:wrap type="none"/>
              </v:group>
            </w:pict>
          </mc:Fallback>
        </mc:AlternateContent>
      </w:r>
    </w:p>
    <w:p w:rsidR="00401345" w:rsidRDefault="00950409">
      <w:pPr>
        <w:spacing w:after="109"/>
        <w:ind w:left="17" w:hanging="10"/>
        <w:jc w:val="center"/>
      </w:pPr>
      <w:r>
        <w:rPr>
          <w:rFonts w:ascii="Calibri" w:hAnsi="Calibri"/>
          <w:color w:val="5B9BD5"/>
          <w:sz w:val="28"/>
        </w:rPr>
        <w:t>[</w:t>
      </w:r>
      <w:r w:rsidR="00BC2003" w:rsidRPr="00BC2003">
        <w:rPr>
          <w:color w:val="5B9BD5"/>
          <w:sz w:val="28"/>
        </w:rPr>
        <w:t>Hrin Adina Violeta: UWTSD Financial Management for the Hotel Industry</w:t>
      </w:r>
      <w:r>
        <w:rPr>
          <w:rFonts w:ascii="Calibri" w:hAnsi="Calibri"/>
          <w:color w:val="5B9BD5"/>
          <w:sz w:val="28"/>
        </w:rPr>
        <w:t xml:space="preserve"> subtitle] </w:t>
      </w:r>
    </w:p>
    <w:p w:rsidR="00401345" w:rsidRDefault="00950409">
      <w:pPr>
        <w:spacing w:after="0"/>
        <w:ind w:left="3913"/>
      </w:pPr>
      <w:r>
        <w:rPr>
          <w:noProof/>
        </w:rPr>
        <w:drawing>
          <wp:inline distT="0" distB="0" distL="0" distR="0">
            <wp:extent cx="758723" cy="478790"/>
            <wp:effectExtent l="0" t="0" r="0" b="0"/>
            <wp:docPr id="19" name="Picture 19"/>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9"/>
                    <a:stretch>
                      <a:fillRect/>
                    </a:stretch>
                  </pic:blipFill>
                  <pic:spPr>
                    <a:xfrm>
                      <a:off x="0" y="0"/>
                      <a:ext cx="758723" cy="478790"/>
                    </a:xfrm>
                    <a:prstGeom prst="rect">
                      <a:avLst/>
                    </a:prstGeom>
                  </pic:spPr>
                </pic:pic>
              </a:graphicData>
            </a:graphic>
          </wp:inline>
        </w:drawing>
      </w:r>
    </w:p>
    <w:p w:rsidR="00401345" w:rsidRDefault="00950409">
      <w:pPr>
        <w:spacing w:after="0"/>
        <w:ind w:left="3913"/>
        <w:jc w:val="center"/>
      </w:pPr>
      <w:r>
        <w:rPr>
          <w:rFonts w:ascii="Calibri" w:hAnsi="Calibri"/>
          <w:color w:val="5B9BD5"/>
        </w:rPr>
        <w:t xml:space="preserve"> </w:t>
      </w:r>
    </w:p>
    <w:p w:rsidR="00401345" w:rsidRDefault="00950409">
      <w:pPr>
        <w:spacing w:after="6617"/>
      </w:pPr>
      <w:r>
        <w:rPr>
          <w:rFonts w:ascii="Calibri" w:hAnsi="Calibri"/>
        </w:rPr>
        <w:t xml:space="preserve"> </w:t>
      </w:r>
      <w:r>
        <w:rPr>
          <w:rFonts w:ascii="Calibri" w:hAnsi="Calibri"/>
        </w:rPr>
        <w:tab/>
        <w:t xml:space="preserve"> </w:t>
      </w:r>
    </w:p>
    <w:p w:rsidR="00401345" w:rsidRDefault="00950409">
      <w:pPr>
        <w:spacing w:after="0"/>
        <w:ind w:left="17" w:right="7" w:hanging="10"/>
        <w:jc w:val="center"/>
      </w:pPr>
      <w:r>
        <w:rPr>
          <w:rFonts w:ascii="Calibri" w:hAnsi="Calibri"/>
          <w:color w:val="5B9BD5"/>
          <w:sz w:val="28"/>
        </w:rPr>
        <w:t xml:space="preserve">[DATE] </w:t>
      </w:r>
    </w:p>
    <w:p w:rsidR="00401345" w:rsidRDefault="00950409">
      <w:pPr>
        <w:spacing w:after="0"/>
        <w:ind w:left="2521"/>
      </w:pPr>
      <w:r>
        <w:rPr>
          <w:rFonts w:ascii="Calibri" w:hAnsi="Calibri"/>
          <w:color w:val="5B9BD5"/>
        </w:rPr>
        <w:t xml:space="preserve">UNIVERSITY OF WALES TRINITY SAINT DAVID </w:t>
      </w:r>
    </w:p>
    <w:p w:rsidR="00401345" w:rsidRDefault="00950409">
      <w:pPr>
        <w:spacing w:after="0"/>
        <w:ind w:left="5"/>
        <w:jc w:val="center"/>
      </w:pPr>
      <w:r>
        <w:rPr>
          <w:rFonts w:ascii="Calibri" w:hAnsi="Calibri"/>
          <w:color w:val="5B9BD5"/>
        </w:rPr>
        <w:t xml:space="preserve">[Company address] </w:t>
      </w:r>
    </w:p>
    <w:p w:rsidR="00401345" w:rsidRDefault="00950409">
      <w:pPr>
        <w:pStyle w:val="Heading1"/>
      </w:pPr>
      <w:bookmarkStart w:id="0" w:name="_Toc2991"/>
      <w:r>
        <w:t xml:space="preserve">Executive Summary </w:t>
      </w:r>
      <w:bookmarkEnd w:id="0"/>
    </w:p>
    <w:p w:rsidR="00401345" w:rsidRDefault="00950409" w:rsidP="009030D2">
      <w:r>
        <w:rPr>
          <w:rFonts w:ascii="Calibri" w:hAnsi="Calibri"/>
        </w:rPr>
        <w:t xml:space="preserve"> </w:t>
      </w:r>
      <w:r w:rsidR="009030D2">
        <w:t xml:space="preserve">This report starts with </w:t>
      </w:r>
      <w:r w:rsidR="00736BDE">
        <w:t>understanding the informational requirement and management of information systems.</w:t>
      </w:r>
      <w:r w:rsidR="00EB6917">
        <w:t xml:space="preserve"> This report also analyses the importance of information management in the hotel industry. After that, the significance of financial information management also has been explored. This report also prioritised the management information system in the hotel industry that will maximise the </w:t>
      </w:r>
      <w:r w:rsidR="00956536">
        <w:t>profit and revenue.</w:t>
      </w:r>
      <w:r w:rsidR="001760E6">
        <w:t xml:space="preserve"> </w:t>
      </w:r>
      <w:r w:rsidR="001760E6" w:rsidRPr="00A03D63">
        <w:t>Zero Based</w:t>
      </w:r>
      <w:r w:rsidR="00C6014D">
        <w:t xml:space="preserve"> the importance of </w:t>
      </w:r>
      <w:r w:rsidR="004E1881" w:rsidRPr="00A03D63">
        <w:t>Zero-Based</w:t>
      </w:r>
      <w:r w:rsidR="00C6014D">
        <w:t xml:space="preserve"> budgeting has been explored.</w:t>
      </w:r>
    </w:p>
    <w:p w:rsidR="00401345" w:rsidRDefault="00950409">
      <w:r>
        <w:rPr>
          <w:rFonts w:ascii="Calibri" w:hAnsi="Calibri"/>
        </w:rPr>
        <w:t xml:space="preserve"> </w:t>
      </w:r>
    </w:p>
    <w:p w:rsidR="00401345" w:rsidRDefault="00950409">
      <w:pPr>
        <w:spacing w:after="161"/>
      </w:pPr>
      <w:r>
        <w:rPr>
          <w:rFonts w:ascii="Calibri" w:hAnsi="Calibri"/>
        </w:rPr>
        <w:t xml:space="preserve"> </w:t>
      </w:r>
    </w:p>
    <w:p w:rsidR="00401345" w:rsidRDefault="00950409">
      <w:r>
        <w:rPr>
          <w:rFonts w:ascii="Calibri" w:hAnsi="Calibri"/>
        </w:rPr>
        <w:t xml:space="preserve"> </w:t>
      </w:r>
    </w:p>
    <w:p w:rsidR="00401345" w:rsidRDefault="00950409">
      <w:r>
        <w:rPr>
          <w:rFonts w:ascii="Calibri" w:hAnsi="Calibri"/>
        </w:rPr>
        <w:t xml:space="preserve"> </w:t>
      </w:r>
    </w:p>
    <w:p w:rsidR="00401345" w:rsidRDefault="00950409">
      <w:r>
        <w:rPr>
          <w:rFonts w:ascii="Calibri" w:hAnsi="Calibri"/>
        </w:rPr>
        <w:t xml:space="preserve"> </w:t>
      </w:r>
    </w:p>
    <w:p w:rsidR="00401345" w:rsidRDefault="00950409">
      <w:r>
        <w:rPr>
          <w:rFonts w:ascii="Calibri" w:hAnsi="Calibri"/>
        </w:rPr>
        <w:t xml:space="preserve"> </w:t>
      </w:r>
    </w:p>
    <w:p w:rsidR="00401345" w:rsidRDefault="00950409">
      <w:r>
        <w:rPr>
          <w:rFonts w:ascii="Calibri" w:hAnsi="Calibri"/>
        </w:rPr>
        <w:t xml:space="preserve"> </w:t>
      </w:r>
    </w:p>
    <w:p w:rsidR="00401345" w:rsidRDefault="00950409">
      <w:r>
        <w:rPr>
          <w:rFonts w:ascii="Calibri" w:hAnsi="Calibri"/>
        </w:rPr>
        <w:t xml:space="preserve"> </w:t>
      </w:r>
    </w:p>
    <w:p w:rsidR="00401345" w:rsidRDefault="00950409">
      <w:r>
        <w:rPr>
          <w:rFonts w:ascii="Calibri" w:hAnsi="Calibri"/>
        </w:rPr>
        <w:t xml:space="preserve"> </w:t>
      </w:r>
    </w:p>
    <w:p w:rsidR="00401345" w:rsidRDefault="00950409">
      <w:r>
        <w:rPr>
          <w:rFonts w:ascii="Calibri" w:hAnsi="Calibri"/>
        </w:rPr>
        <w:t xml:space="preserve"> </w:t>
      </w:r>
    </w:p>
    <w:p w:rsidR="00401345" w:rsidRDefault="00950409">
      <w:r>
        <w:rPr>
          <w:rFonts w:ascii="Calibri" w:hAnsi="Calibri"/>
        </w:rPr>
        <w:t xml:space="preserve"> </w:t>
      </w:r>
    </w:p>
    <w:p w:rsidR="00401345" w:rsidRDefault="00950409">
      <w:r>
        <w:rPr>
          <w:rFonts w:ascii="Calibri" w:hAnsi="Calibri"/>
        </w:rPr>
        <w:t xml:space="preserve"> </w:t>
      </w:r>
    </w:p>
    <w:p w:rsidR="00401345" w:rsidRDefault="00950409">
      <w:r>
        <w:rPr>
          <w:rFonts w:ascii="Calibri" w:hAnsi="Calibri"/>
        </w:rPr>
        <w:t xml:space="preserve"> </w:t>
      </w:r>
    </w:p>
    <w:p w:rsidR="00401345" w:rsidRDefault="00950409">
      <w:pPr>
        <w:spacing w:after="161"/>
      </w:pPr>
      <w:r>
        <w:rPr>
          <w:rFonts w:ascii="Calibri" w:hAnsi="Calibri"/>
        </w:rPr>
        <w:t xml:space="preserve"> </w:t>
      </w:r>
    </w:p>
    <w:p w:rsidR="00401345" w:rsidRDefault="00950409">
      <w:r>
        <w:rPr>
          <w:rFonts w:ascii="Calibri" w:hAnsi="Calibri"/>
        </w:rPr>
        <w:t xml:space="preserve"> </w:t>
      </w:r>
    </w:p>
    <w:p w:rsidR="00401345" w:rsidRDefault="00950409">
      <w:r>
        <w:rPr>
          <w:rFonts w:ascii="Calibri" w:hAnsi="Calibri"/>
        </w:rPr>
        <w:t xml:space="preserve"> </w:t>
      </w:r>
    </w:p>
    <w:p w:rsidR="00401345" w:rsidRDefault="00950409">
      <w:r>
        <w:rPr>
          <w:rFonts w:ascii="Calibri" w:hAnsi="Calibri"/>
        </w:rPr>
        <w:t xml:space="preserve"> </w:t>
      </w:r>
    </w:p>
    <w:p w:rsidR="00401345" w:rsidRDefault="00950409">
      <w:pPr>
        <w:spacing w:after="161"/>
      </w:pPr>
      <w:r>
        <w:rPr>
          <w:rFonts w:ascii="Calibri" w:hAnsi="Calibri"/>
        </w:rPr>
        <w:t xml:space="preserve"> </w:t>
      </w:r>
    </w:p>
    <w:p w:rsidR="00401345" w:rsidRDefault="00950409">
      <w:pPr>
        <w:spacing w:after="155"/>
      </w:pPr>
      <w:r>
        <w:rPr>
          <w:rFonts w:ascii="Calibri" w:hAnsi="Calibri"/>
        </w:rPr>
        <w:t xml:space="preserve"> </w:t>
      </w:r>
    </w:p>
    <w:p w:rsidR="00401345" w:rsidRDefault="00950409" w:rsidP="004E1881">
      <w:r>
        <w:rPr>
          <w:rFonts w:ascii="Calibri" w:hAnsi="Calibri"/>
        </w:rPr>
        <w:t xml:space="preserve"> </w:t>
      </w:r>
    </w:p>
    <w:p w:rsidR="00401345" w:rsidRDefault="00950409">
      <w:pPr>
        <w:spacing w:after="0"/>
      </w:pPr>
      <w:r>
        <w:rPr>
          <w:rFonts w:ascii="Calibri" w:hAnsi="Calibri"/>
        </w:rPr>
        <w:t xml:space="preserve"> </w:t>
      </w:r>
    </w:p>
    <w:sdt>
      <w:sdtPr>
        <w:id w:val="838744107"/>
        <w:docPartObj>
          <w:docPartGallery w:val="Table of Contents"/>
        </w:docPartObj>
      </w:sdtPr>
      <w:sdtEndPr/>
      <w:sdtContent>
        <w:p w:rsidR="00401345" w:rsidRDefault="00950409">
          <w:pPr>
            <w:spacing w:after="0"/>
            <w:ind w:left="10" w:hanging="10"/>
          </w:pPr>
          <w:r>
            <w:rPr>
              <w:rFonts w:ascii="Calibri" w:hAnsi="Calibri"/>
              <w:color w:val="2E74B5"/>
              <w:sz w:val="32"/>
            </w:rPr>
            <w:t xml:space="preserve">Table of Contents </w:t>
          </w:r>
        </w:p>
        <w:p w:rsidR="00401345" w:rsidRDefault="00950409">
          <w:pPr>
            <w:pStyle w:val="TOC1"/>
            <w:tabs>
              <w:tab w:val="right" w:leader="dot" w:pos="9020"/>
            </w:tabs>
          </w:pPr>
          <w:r>
            <w:fldChar w:fldCharType="begin"/>
          </w:r>
          <w:r>
            <w:instrText xml:space="preserve"> TOC \o "1-2" \h \z \u </w:instrText>
          </w:r>
          <w:r>
            <w:fldChar w:fldCharType="separate"/>
          </w:r>
          <w:hyperlink w:anchor="_Toc2991" w:history="1">
            <w:r>
              <w:t>Executive Summary</w:t>
            </w:r>
            <w:r>
              <w:tab/>
            </w:r>
            <w:r>
              <w:fldChar w:fldCharType="begin"/>
            </w:r>
            <w:r>
              <w:instrText>PAGEREF _Toc2991 \h</w:instrText>
            </w:r>
            <w:r>
              <w:fldChar w:fldCharType="separate"/>
            </w:r>
            <w:r>
              <w:t xml:space="preserve">1 </w:t>
            </w:r>
            <w:r>
              <w:fldChar w:fldCharType="end"/>
            </w:r>
          </w:hyperlink>
        </w:p>
        <w:p w:rsidR="00401345" w:rsidRDefault="00950409">
          <w:pPr>
            <w:pStyle w:val="TOC1"/>
            <w:tabs>
              <w:tab w:val="right" w:leader="dot" w:pos="9020"/>
            </w:tabs>
          </w:pPr>
          <w:hyperlink w:anchor="_Toc2992" w:history="1">
            <w:r w:rsidR="00BC5D5C">
              <w:t>1.</w:t>
            </w:r>
            <w:r w:rsidR="00BC5D5C">
              <w:rPr>
                <w:sz w:val="24"/>
              </w:rPr>
              <w:t xml:space="preserve">  </w:t>
            </w:r>
            <w:r w:rsidR="00BC5D5C">
              <w:t>Introduction</w:t>
            </w:r>
            <w:r w:rsidR="00BC5D5C">
              <w:tab/>
            </w:r>
            <w:r w:rsidR="00BC5D5C">
              <w:fldChar w:fldCharType="begin"/>
            </w:r>
            <w:r w:rsidR="00BC5D5C">
              <w:instrText>PAGEREF _Toc2992 \h</w:instrText>
            </w:r>
            <w:r w:rsidR="00BC5D5C">
              <w:fldChar w:fldCharType="separate"/>
            </w:r>
            <w:r w:rsidR="00BC5D5C">
              <w:t xml:space="preserve">3 </w:t>
            </w:r>
            <w:r w:rsidR="00BC5D5C">
              <w:fldChar w:fldCharType="end"/>
            </w:r>
          </w:hyperlink>
        </w:p>
        <w:p w:rsidR="00401345" w:rsidRDefault="00950409">
          <w:pPr>
            <w:pStyle w:val="TOC1"/>
            <w:tabs>
              <w:tab w:val="right" w:leader="dot" w:pos="9020"/>
            </w:tabs>
          </w:pPr>
          <w:hyperlink w:anchor="_Toc2993" w:history="1">
            <w:r w:rsidR="00BC5D5C">
              <w:t>2.</w:t>
            </w:r>
            <w:r w:rsidR="00BC5D5C">
              <w:rPr>
                <w:sz w:val="24"/>
              </w:rPr>
              <w:t xml:space="preserve">  </w:t>
            </w:r>
            <w:r w:rsidR="00BC5D5C">
              <w:t>Zero Based Budgeting</w:t>
            </w:r>
            <w:r w:rsidR="00BC5D5C">
              <w:tab/>
            </w:r>
            <w:r w:rsidR="00BC5D5C">
              <w:fldChar w:fldCharType="begin"/>
            </w:r>
            <w:r w:rsidR="00BC5D5C">
              <w:instrText>PAGEREF _Toc2993 \h</w:instrText>
            </w:r>
            <w:r w:rsidR="00BC5D5C">
              <w:fldChar w:fldCharType="separate"/>
            </w:r>
            <w:r w:rsidR="00BC5D5C">
              <w:t xml:space="preserve">4 </w:t>
            </w:r>
            <w:r w:rsidR="00BC5D5C">
              <w:fldChar w:fldCharType="end"/>
            </w:r>
          </w:hyperlink>
        </w:p>
        <w:p w:rsidR="00401345" w:rsidRDefault="00950409">
          <w:pPr>
            <w:pStyle w:val="TOC2"/>
            <w:tabs>
              <w:tab w:val="right" w:leader="dot" w:pos="9020"/>
            </w:tabs>
          </w:pPr>
          <w:hyperlink w:anchor="_Toc2994" w:history="1">
            <w:r w:rsidR="00BC5D5C">
              <w:t>2.1 Zero-based budgeting</w:t>
            </w:r>
            <w:r w:rsidR="00BC5D5C">
              <w:tab/>
            </w:r>
            <w:r w:rsidR="00BC5D5C">
              <w:fldChar w:fldCharType="begin"/>
            </w:r>
            <w:r w:rsidR="00BC5D5C">
              <w:instrText>PAGEREF _Toc2994 \h</w:instrText>
            </w:r>
            <w:r w:rsidR="00BC5D5C">
              <w:fldChar w:fldCharType="separate"/>
            </w:r>
            <w:r w:rsidR="00BC5D5C">
              <w:t xml:space="preserve">4 </w:t>
            </w:r>
            <w:r w:rsidR="00BC5D5C">
              <w:fldChar w:fldCharType="end"/>
            </w:r>
          </w:hyperlink>
        </w:p>
        <w:p w:rsidR="00401345" w:rsidRDefault="00950409">
          <w:pPr>
            <w:pStyle w:val="TOC2"/>
            <w:tabs>
              <w:tab w:val="right" w:leader="dot" w:pos="9020"/>
            </w:tabs>
          </w:pPr>
          <w:hyperlink w:anchor="_Toc2995" w:history="1">
            <w:r w:rsidR="00BC5D5C">
              <w:t>2.2 Advantages of Zero-based budgeting over Traditional Based</w:t>
            </w:r>
            <w:r w:rsidR="00BC5D5C">
              <w:tab/>
            </w:r>
            <w:r w:rsidR="00BC5D5C">
              <w:fldChar w:fldCharType="begin"/>
            </w:r>
            <w:r w:rsidR="00BC5D5C">
              <w:instrText>PAGEREF _Toc2995 \h</w:instrText>
            </w:r>
            <w:r w:rsidR="00BC5D5C">
              <w:fldChar w:fldCharType="separate"/>
            </w:r>
            <w:r w:rsidR="00BC5D5C">
              <w:t xml:space="preserve">4 </w:t>
            </w:r>
            <w:r w:rsidR="00BC5D5C">
              <w:fldChar w:fldCharType="end"/>
            </w:r>
          </w:hyperlink>
        </w:p>
        <w:p w:rsidR="00401345" w:rsidRDefault="00950409">
          <w:pPr>
            <w:pStyle w:val="TOC2"/>
            <w:tabs>
              <w:tab w:val="right" w:leader="dot" w:pos="9020"/>
            </w:tabs>
          </w:pPr>
          <w:hyperlink w:anchor="_Toc2996" w:history="1">
            <w:r w:rsidR="00BC5D5C">
              <w:t>2.3 How the Organisation Might introduce Zero-based Budgeting</w:t>
            </w:r>
            <w:r w:rsidR="00BC5D5C">
              <w:tab/>
            </w:r>
            <w:r w:rsidR="00BC5D5C">
              <w:fldChar w:fldCharType="begin"/>
            </w:r>
            <w:r w:rsidR="00BC5D5C">
              <w:instrText>PAGEREF _Toc2996 \h</w:instrText>
            </w:r>
            <w:r w:rsidR="00BC5D5C">
              <w:fldChar w:fldCharType="separate"/>
            </w:r>
            <w:r w:rsidR="00BC5D5C">
              <w:t xml:space="preserve">4 </w:t>
            </w:r>
            <w:r w:rsidR="00BC5D5C">
              <w:fldChar w:fldCharType="end"/>
            </w:r>
          </w:hyperlink>
        </w:p>
        <w:p w:rsidR="00401345" w:rsidRDefault="00950409">
          <w:pPr>
            <w:pStyle w:val="TOC1"/>
            <w:tabs>
              <w:tab w:val="right" w:leader="dot" w:pos="9020"/>
            </w:tabs>
          </w:pPr>
          <w:hyperlink w:anchor="_Toc2997" w:history="1">
            <w:r w:rsidR="00BC5D5C">
              <w:t>3.</w:t>
            </w:r>
            <w:r w:rsidR="00BC5D5C">
              <w:rPr>
                <w:sz w:val="24"/>
              </w:rPr>
              <w:t xml:space="preserve">  </w:t>
            </w:r>
            <w:r w:rsidR="00BC5D5C">
              <w:t>Conclusion</w:t>
            </w:r>
            <w:r w:rsidR="00BC5D5C">
              <w:tab/>
            </w:r>
            <w:r w:rsidR="00BC5D5C">
              <w:fldChar w:fldCharType="begin"/>
            </w:r>
            <w:r w:rsidR="00BC5D5C">
              <w:instrText>PAGEREF _Toc2997 \h</w:instrText>
            </w:r>
            <w:r w:rsidR="00BC5D5C">
              <w:fldChar w:fldCharType="separate"/>
            </w:r>
            <w:r w:rsidR="00BC5D5C">
              <w:t xml:space="preserve">5 </w:t>
            </w:r>
            <w:r w:rsidR="00BC5D5C">
              <w:fldChar w:fldCharType="end"/>
            </w:r>
          </w:hyperlink>
        </w:p>
        <w:p w:rsidR="00401345" w:rsidRDefault="00950409">
          <w:pPr>
            <w:pStyle w:val="TOC1"/>
            <w:tabs>
              <w:tab w:val="right" w:leader="dot" w:pos="9020"/>
            </w:tabs>
          </w:pPr>
          <w:hyperlink w:anchor="_Toc2998" w:history="1">
            <w:r w:rsidR="00BC5D5C">
              <w:t>4.</w:t>
            </w:r>
            <w:r w:rsidR="00BC5D5C">
              <w:rPr>
                <w:sz w:val="24"/>
              </w:rPr>
              <w:t xml:space="preserve"> </w:t>
            </w:r>
            <w:r w:rsidR="00BC5D5C">
              <w:t>Reference List</w:t>
            </w:r>
            <w:r w:rsidR="00BC5D5C">
              <w:tab/>
            </w:r>
            <w:r w:rsidR="00BC5D5C">
              <w:fldChar w:fldCharType="begin"/>
            </w:r>
            <w:r w:rsidR="00BC5D5C">
              <w:instrText>PAGEREF _Toc2998 \h</w:instrText>
            </w:r>
            <w:r w:rsidR="00BC5D5C">
              <w:fldChar w:fldCharType="separate"/>
            </w:r>
            <w:r w:rsidR="00BC5D5C">
              <w:t xml:space="preserve">7 </w:t>
            </w:r>
            <w:r w:rsidR="00BC5D5C">
              <w:fldChar w:fldCharType="end"/>
            </w:r>
          </w:hyperlink>
        </w:p>
        <w:p w:rsidR="00401345" w:rsidRDefault="00950409">
          <w:r>
            <w:fldChar w:fldCharType="end"/>
          </w:r>
        </w:p>
      </w:sdtContent>
    </w:sdt>
    <w:p w:rsidR="00401345" w:rsidRDefault="00950409">
      <w:pPr>
        <w:spacing w:after="94" w:line="353" w:lineRule="auto"/>
        <w:ind w:left="-5" w:hanging="10"/>
      </w:pPr>
      <w:r>
        <w:rPr>
          <w:rFonts w:ascii="Calibri" w:hAnsi="Calibri"/>
        </w:rPr>
        <w:t xml:space="preserve"> </w:t>
      </w:r>
    </w:p>
    <w:p w:rsidR="00401345" w:rsidRDefault="00950409">
      <w:pPr>
        <w:spacing w:after="0"/>
      </w:pPr>
      <w:r>
        <w:rPr>
          <w:rFonts w:ascii="Calibri" w:hAnsi="Calibri"/>
        </w:rPr>
        <w:t xml:space="preserve"> </w:t>
      </w:r>
      <w:r>
        <w:rPr>
          <w:rFonts w:ascii="Calibri" w:hAnsi="Calibri"/>
        </w:rPr>
        <w:tab/>
        <w:t xml:space="preserve"> </w:t>
      </w:r>
      <w:r>
        <w:br w:type="page"/>
      </w:r>
    </w:p>
    <w:p w:rsidR="00401345" w:rsidRDefault="00950409" w:rsidP="004D558A">
      <w:pPr>
        <w:pStyle w:val="Heading1"/>
      </w:pPr>
      <w:bookmarkStart w:id="1" w:name="_Toc2992"/>
      <w:r>
        <w:t xml:space="preserve">1. </w:t>
      </w:r>
      <w:r w:rsidRPr="004D558A">
        <w:t>Introduction</w:t>
      </w:r>
      <w:r>
        <w:t xml:space="preserve"> </w:t>
      </w:r>
      <w:bookmarkEnd w:id="1"/>
    </w:p>
    <w:p w:rsidR="00194DFB" w:rsidRDefault="00950409" w:rsidP="00194DFB">
      <w:pPr>
        <w:sectPr w:rsidR="00194DFB">
          <w:footerReference w:type="even" r:id="rId10"/>
          <w:footerReference w:type="default" r:id="rId11"/>
          <w:footerReference w:type="first" r:id="rId12"/>
          <w:pgSz w:w="11905" w:h="16840"/>
          <w:pgMar w:top="1506" w:right="1444" w:bottom="1601" w:left="1441" w:header="720" w:footer="720" w:gutter="0"/>
          <w:pgNumType w:start="0"/>
          <w:cols w:space="720"/>
          <w:titlePg/>
        </w:sectPr>
      </w:pPr>
      <w:r>
        <w:t xml:space="preserve"> </w:t>
      </w:r>
      <w:r w:rsidR="00090B2A">
        <w:t>I</w:t>
      </w:r>
      <w:r w:rsidR="00090B2A" w:rsidRPr="00090B2A">
        <w:t>nformational requirements in management</w:t>
      </w:r>
      <w:r w:rsidR="00090B2A">
        <w:t xml:space="preserve"> are important to make a decision in revenue management in an organisation.</w:t>
      </w:r>
      <w:r w:rsidR="005A3715">
        <w:t xml:space="preserve"> Proper management of information requires top management support, management information system, evaluation of the management information system, active participation in managing information, and qualified system.</w:t>
      </w:r>
      <w:r w:rsidR="004D558A">
        <w:t xml:space="preserve"> In making an important decision the information plays a central role in making the decision effective. It reduces the risk of data vandalism, the risk of legal and financial punishment against the organisation.</w:t>
      </w:r>
      <w:r w:rsidR="00DE1A5D">
        <w:t xml:space="preserve"> Within a hotel organisation, the </w:t>
      </w:r>
      <w:r w:rsidR="001F7B18">
        <w:t xml:space="preserve">financial performance is to monitored and observed properly to reduce waste and maximise the resource's uses. In the hotel industry, </w:t>
      </w:r>
      <w:r w:rsidR="009030D2">
        <w:t>information related to financial performance requires high prudence and accurate management to avoid unnecessary data vandalism that might destroy the image of the company</w:t>
      </w:r>
      <w:r w:rsidR="00DB76ED">
        <w:t>.</w:t>
      </w:r>
      <w:r w:rsidR="009F0CFF">
        <w:t xml:space="preserve"> In the hotel industry, financial management is important to improve the performance of the hotel by avoiding unnecessary costs in the way of business operation. In this connection, the </w:t>
      </w:r>
      <w:r w:rsidR="009F0CFF" w:rsidRPr="00D3006D">
        <w:t>Zero Based Budget</w:t>
      </w:r>
      <w:r w:rsidR="009F0CFF">
        <w:t xml:space="preserve"> helps the hotel to ensure cost that is justified by the revenue.</w:t>
      </w:r>
    </w:p>
    <w:p w:rsidR="00401345" w:rsidRDefault="00950409" w:rsidP="003B641E">
      <w:pPr>
        <w:pStyle w:val="Heading1"/>
        <w:ind w:left="0" w:firstLine="0"/>
      </w:pPr>
      <w:bookmarkStart w:id="2" w:name="_Toc2993"/>
      <w:r>
        <w:t xml:space="preserve">2. Zero Based </w:t>
      </w:r>
      <w:r w:rsidRPr="004E1881">
        <w:t>Budgeting</w:t>
      </w:r>
      <w:r>
        <w:t xml:space="preserve"> </w:t>
      </w:r>
      <w:bookmarkEnd w:id="2"/>
    </w:p>
    <w:p w:rsidR="00401345" w:rsidRDefault="00950409" w:rsidP="00D3006D">
      <w:pPr>
        <w:pStyle w:val="Heading2"/>
      </w:pPr>
      <w:bookmarkStart w:id="3" w:name="_Toc2994"/>
      <w:r>
        <w:t>2.1 Zero-</w:t>
      </w:r>
      <w:r w:rsidRPr="00D3006D">
        <w:t>based</w:t>
      </w:r>
      <w:r>
        <w:t xml:space="preserve"> budgeting </w:t>
      </w:r>
      <w:bookmarkEnd w:id="3"/>
    </w:p>
    <w:p w:rsidR="00B47C0B" w:rsidRDefault="00950409" w:rsidP="00090B2A">
      <w:bookmarkStart w:id="4" w:name="_Toc2995"/>
      <w:r w:rsidRPr="00D3006D">
        <w:t>Zero</w:t>
      </w:r>
      <w:r w:rsidR="002574E3">
        <w:t>-</w:t>
      </w:r>
      <w:r w:rsidRPr="00D3006D">
        <w:t xml:space="preserve">Based Budget </w:t>
      </w:r>
      <w:r>
        <w:t>refers to the method that allocates and assigns the money of the organisation to the expense and saving</w:t>
      </w:r>
      <w:r>
        <w:t xml:space="preserve"> and debt payment.</w:t>
      </w:r>
      <w:r w:rsidR="00A03D63">
        <w:t xml:space="preserve"> </w:t>
      </w:r>
      <w:r w:rsidR="00D201D3" w:rsidRPr="00D3006D">
        <w:t>Zero Based Budget</w:t>
      </w:r>
      <w:r w:rsidR="00DB76ED">
        <w:t xml:space="preserve"> </w:t>
      </w:r>
      <w:r w:rsidR="00D201D3">
        <w:t>sta</w:t>
      </w:r>
      <w:r w:rsidR="00DB76ED">
        <w:t>r</w:t>
      </w:r>
      <w:r w:rsidR="00D201D3">
        <w:t xml:space="preserve">ts with identifying the probable cost and then the cost is matched with the </w:t>
      </w:r>
      <w:r w:rsidR="00DB76ED">
        <w:t>earnings of the hotel organisation.</w:t>
      </w:r>
      <w:r w:rsidR="00A03D63" w:rsidRPr="00A03D63">
        <w:t xml:space="preserve"> Based Budgeting </w:t>
      </w:r>
      <w:r w:rsidR="00A03D63">
        <w:t>makes the reve</w:t>
      </w:r>
      <w:r w:rsidR="00B15F54">
        <w:t>nue</w:t>
      </w:r>
      <w:r w:rsidR="00A03D63">
        <w:t xml:space="preserve"> zero by deducting the expense from all the revenue in the organisation</w:t>
      </w:r>
      <w:r w:rsidR="002574E3">
        <w:t xml:space="preserve"> </w:t>
      </w:r>
      <w:r w:rsidR="002574E3" w:rsidRPr="002574E3">
        <w:t>(Ibrahim, 2019)</w:t>
      </w:r>
      <w:r w:rsidR="00A03D63">
        <w:t>.</w:t>
      </w:r>
      <w:r w:rsidR="00B15F54">
        <w:t xml:space="preserve"> </w:t>
      </w:r>
      <w:r w:rsidR="00B15F54" w:rsidRPr="00B15F54">
        <w:t xml:space="preserve">Zero-Based Budgeting </w:t>
      </w:r>
      <w:r w:rsidR="00B15F54">
        <w:t>is flexible to increase economic activities by keeping the permanent cost in the project that will maximise the profit and revenue.</w:t>
      </w:r>
      <w:r w:rsidR="00DE1A5D">
        <w:t xml:space="preserve"> </w:t>
      </w:r>
      <w:r w:rsidR="00DE1A5D" w:rsidRPr="00A03D63">
        <w:t>A zero</w:t>
      </w:r>
      <w:r>
        <w:t>-b</w:t>
      </w:r>
      <w:r w:rsidR="00DE1A5D" w:rsidRPr="00A03D63">
        <w:t>ased</w:t>
      </w:r>
      <w:r w:rsidR="00DE1A5D">
        <w:t xml:space="preserve"> </w:t>
      </w:r>
      <w:r>
        <w:t xml:space="preserve">budget </w:t>
      </w:r>
      <w:r w:rsidR="00DE1A5D">
        <w:t xml:space="preserve">is focused and lower cost centralisation. </w:t>
      </w:r>
      <w:r w:rsidR="00DE1A5D" w:rsidRPr="00A03D63">
        <w:t>Zero Based</w:t>
      </w:r>
      <w:r w:rsidR="00DE1A5D">
        <w:t xml:space="preserve"> follows the disciplined execution of the operation. </w:t>
      </w:r>
      <w:r w:rsidR="002323C7">
        <w:t>For this reason</w:t>
      </w:r>
      <w:r w:rsidR="002323C7" w:rsidRPr="002323C7">
        <w:t xml:space="preserve">, lowered costs may </w:t>
      </w:r>
      <w:r w:rsidR="002323C7">
        <w:t>create</w:t>
      </w:r>
      <w:r w:rsidR="002323C7" w:rsidRPr="002323C7">
        <w:t xml:space="preserve"> as zero-based budgeting may </w:t>
      </w:r>
      <w:r w:rsidR="002323C7">
        <w:t xml:space="preserve">eliminate </w:t>
      </w:r>
      <w:r w:rsidR="002323C7" w:rsidRPr="002323C7">
        <w:t xml:space="preserve">the misallocation of resources that </w:t>
      </w:r>
      <w:r w:rsidR="002323C7">
        <w:t xml:space="preserve">might occur </w:t>
      </w:r>
      <w:r w:rsidR="002323C7" w:rsidRPr="002323C7">
        <w:t xml:space="preserve">over time when a budget grows </w:t>
      </w:r>
      <w:r w:rsidR="005E7776" w:rsidRPr="002323C7">
        <w:t>incrementally</w:t>
      </w:r>
      <w:r w:rsidR="002323C7">
        <w:t xml:space="preserve"> in hotels</w:t>
      </w:r>
      <w:r w:rsidR="002574E3" w:rsidRPr="002574E3">
        <w:t xml:space="preserve"> (Libby and Lindsay, 2012)</w:t>
      </w:r>
      <w:r w:rsidR="002323C7">
        <w:t>.</w:t>
      </w:r>
    </w:p>
    <w:p w:rsidR="00B47C0B" w:rsidRDefault="00950409" w:rsidP="00B47C0B">
      <w:r w:rsidRPr="003633AC">
        <w:t xml:space="preserve">The </w:t>
      </w:r>
      <w:r w:rsidRPr="003633AC">
        <w:t>difference between the zero-based budget and traditional budget</w:t>
      </w:r>
      <w:r>
        <w:t xml:space="preserve"> is wide from the perspective of cash management, cost-benefit analysis, base years and tools use in budgeting. Some of the processes of zero-based budget outdo the traditional budget. For exam</w:t>
      </w:r>
      <w:r>
        <w:t>ple, in a traditional budget, the budget assumes the base year in preparing the budget. It can compare the effectiveness and efficiency based on the base year.</w:t>
      </w:r>
      <w:r w:rsidRPr="00410F5D">
        <w:t xml:space="preserve"> Whereas, each time the budget under zero-based budgeting is created, the activities are re-evalu</w:t>
      </w:r>
      <w:r w:rsidRPr="00410F5D">
        <w:t>ated and thus started from scratch.</w:t>
      </w:r>
      <w:r>
        <w:t xml:space="preserve"> The zero-based budget also incurs some problems and challenges, because some of the costs and expenses are hard to estimate indeed. Basically, the benefits of the Zero-based budget are qualitative in nature. A zero-based</w:t>
      </w:r>
      <w:r>
        <w:t xml:space="preserve"> budget is unnecessarily detrimental to the long-term goals. In achieving the long-term goals, the zero-based budget fails</w:t>
      </w:r>
      <w:r w:rsidR="002574E3">
        <w:t xml:space="preserve"> </w:t>
      </w:r>
      <w:r w:rsidR="002574E3" w:rsidRPr="002574E3">
        <w:t>(McCafferry, 2018)</w:t>
      </w:r>
      <w:r>
        <w:t>.</w:t>
      </w:r>
    </w:p>
    <w:p w:rsidR="008A0EE8" w:rsidRPr="009F0CFF" w:rsidRDefault="00950409" w:rsidP="00B47C0B">
      <w:r>
        <w:t>A zero-based budget is time-consuming because it takes a longer time to complete the budget.</w:t>
      </w:r>
      <w:r w:rsidR="00C83DCD">
        <w:t xml:space="preserve"> It is hard to achieve the zero point of revenue or expense. </w:t>
      </w:r>
      <w:r>
        <w:t>If a cost does not add value to the company, then the zero-based budget</w:t>
      </w:r>
      <w:r>
        <w:rPr>
          <w:b/>
          <w:bCs/>
        </w:rPr>
        <w:t xml:space="preserve"> </w:t>
      </w:r>
      <w:r>
        <w:t>kicks off the cost.</w:t>
      </w:r>
      <w:r w:rsidR="001244B5">
        <w:t xml:space="preserve"> Thus, it becomes easy and facilitation for the hotel industry to improve the proper utilisation of resources and funds in generating profits and revenue</w:t>
      </w:r>
      <w:r w:rsidR="002574E3">
        <w:t xml:space="preserve"> </w:t>
      </w:r>
      <w:r w:rsidR="002574E3" w:rsidRPr="002574E3">
        <w:t>(Chan, 2018)</w:t>
      </w:r>
      <w:r w:rsidR="001244B5">
        <w:t>.</w:t>
      </w:r>
    </w:p>
    <w:p w:rsidR="00090B2A" w:rsidRDefault="00950409" w:rsidP="00090B2A">
      <w:pPr>
        <w:rPr>
          <w:color w:val="2E74B5"/>
          <w:sz w:val="26"/>
        </w:rPr>
      </w:pPr>
      <w:r>
        <w:br w:type="page"/>
      </w:r>
    </w:p>
    <w:p w:rsidR="004E1881" w:rsidRDefault="00950409">
      <w:pPr>
        <w:pStyle w:val="Heading2"/>
      </w:pPr>
      <w:r>
        <w:t>2.2 Advantages of Zero-based budgeting over Traditional Based</w:t>
      </w:r>
    </w:p>
    <w:bookmarkEnd w:id="4"/>
    <w:p w:rsidR="00401345" w:rsidRDefault="00950409" w:rsidP="004E1881">
      <w:r w:rsidRPr="004E1881">
        <w:t xml:space="preserve">Zero-based budgeting ensures that managers think about how every </w:t>
      </w:r>
      <w:r>
        <w:t>penny</w:t>
      </w:r>
      <w:r w:rsidRPr="004E1881">
        <w:t xml:space="preserve"> is spent, every budgeting period.</w:t>
      </w:r>
      <w:r w:rsidR="003633AC" w:rsidRPr="003633AC">
        <w:t xml:space="preserve"> </w:t>
      </w:r>
      <w:r w:rsidR="00B47C0B">
        <w:t xml:space="preserve">The zero-based budget also </w:t>
      </w:r>
      <w:r w:rsidR="00E50715">
        <w:t>entangles</w:t>
      </w:r>
      <w:r w:rsidR="00B47C0B">
        <w:t xml:space="preserve"> some </w:t>
      </w:r>
      <w:r w:rsidR="00E50715">
        <w:t>drawbacks</w:t>
      </w:r>
      <w:r w:rsidR="00B47C0B">
        <w:t xml:space="preserve"> and challenges</w:t>
      </w:r>
      <w:r w:rsidR="00E50715">
        <w:t>.</w:t>
      </w:r>
      <w:r w:rsidR="00B47C0B">
        <w:t xml:space="preserve"> </w:t>
      </w:r>
      <w:r w:rsidR="00E50715">
        <w:t>S</w:t>
      </w:r>
      <w:r w:rsidR="00B47C0B">
        <w:t xml:space="preserve">ome of the costs and expenses are </w:t>
      </w:r>
      <w:r w:rsidR="00E50715">
        <w:t>elusive</w:t>
      </w:r>
      <w:r w:rsidR="00B47C0B">
        <w:t xml:space="preserve"> to </w:t>
      </w:r>
      <w:r w:rsidR="00E50715">
        <w:t xml:space="preserve">determine </w:t>
      </w:r>
      <w:r w:rsidR="00B47C0B">
        <w:t>indeed. Basically, the benefits of the Zero-based budget are qualitative in nature. Zero-based budget</w:t>
      </w:r>
      <w:r w:rsidR="00E50715">
        <w:t xml:space="preserve"> or ZBB</w:t>
      </w:r>
      <w:r w:rsidR="00B47C0B">
        <w:t xml:space="preserve"> is </w:t>
      </w:r>
      <w:r w:rsidR="00E50715">
        <w:t>problematic</w:t>
      </w:r>
      <w:r w:rsidR="00B47C0B">
        <w:t xml:space="preserve"> to the long-term goals. In </w:t>
      </w:r>
      <w:r w:rsidR="00E50715">
        <w:t xml:space="preserve">gaining </w:t>
      </w:r>
      <w:r w:rsidR="00B47C0B">
        <w:t>long-term goals, the zero-based budget fails</w:t>
      </w:r>
      <w:r w:rsidR="00357093">
        <w:t xml:space="preserve"> </w:t>
      </w:r>
      <w:r w:rsidR="00357093" w:rsidRPr="00357093">
        <w:t>(Wildavsky, 2019)</w:t>
      </w:r>
      <w:r w:rsidR="00B47C0B">
        <w:t>.</w:t>
      </w:r>
    </w:p>
    <w:p w:rsidR="004E1881" w:rsidRDefault="00950409" w:rsidP="004E1881">
      <w:r w:rsidRPr="00410F5D">
        <w:rPr>
          <w:b/>
          <w:bCs/>
        </w:rPr>
        <w:t>Cost-benefit analysis</w:t>
      </w:r>
      <w:r>
        <w:t xml:space="preserve">: Cost-benefit or CBA </w:t>
      </w:r>
      <w:r w:rsidR="0076197D">
        <w:t xml:space="preserve">is a value-centric metric. </w:t>
      </w:r>
      <w:r w:rsidR="00410F5D">
        <w:t>C</w:t>
      </w:r>
      <w:r w:rsidR="00410F5D" w:rsidRPr="00410F5D">
        <w:t>ost-benefit analysis</w:t>
      </w:r>
      <w:r w:rsidR="00410F5D">
        <w:t xml:space="preserve"> is the process in which the project or estimated cost and benefits of a project are compared with another cost</w:t>
      </w:r>
      <w:r w:rsidR="00357093">
        <w:t xml:space="preserve"> </w:t>
      </w:r>
      <w:r w:rsidR="00357093" w:rsidRPr="00357093">
        <w:t>(Rouwendal, 2018)</w:t>
      </w:r>
      <w:r w:rsidR="00410F5D">
        <w:t>.</w:t>
      </w:r>
      <w:r w:rsidR="00AD2C5C">
        <w:t xml:space="preserve"> The benefits </w:t>
      </w:r>
      <w:r w:rsidR="00237A06">
        <w:t>are</w:t>
      </w:r>
      <w:r w:rsidR="00AD2C5C">
        <w:t xml:space="preserve"> determined by deducting the cost from cumulative benefits.</w:t>
      </w:r>
      <w:r w:rsidR="00ED402D">
        <w:t xml:space="preserve"> The benefits of zero-based budgeting</w:t>
      </w:r>
      <w:r w:rsidR="00825716">
        <w:t xml:space="preserve"> </w:t>
      </w:r>
      <w:r w:rsidR="00B47C0B">
        <w:t>are</w:t>
      </w:r>
      <w:r w:rsidR="00825716">
        <w:t xml:space="preserve"> that it ensures </w:t>
      </w:r>
      <w:r w:rsidR="00B47C0B">
        <w:t>low-cost</w:t>
      </w:r>
      <w:r w:rsidR="00825716">
        <w:t xml:space="preserve"> budgeting by </w:t>
      </w:r>
      <w:r w:rsidR="00B47C0B">
        <w:t>keeping</w:t>
      </w:r>
      <w:r w:rsidR="00825716">
        <w:t xml:space="preserve"> the old and new expenses in check.</w:t>
      </w:r>
    </w:p>
    <w:p w:rsidR="0076197D" w:rsidRDefault="00950409" w:rsidP="004E1881">
      <w:r w:rsidRPr="00410F5D">
        <w:rPr>
          <w:b/>
          <w:bCs/>
        </w:rPr>
        <w:t>Keeping cash flow accurately</w:t>
      </w:r>
      <w:r>
        <w:t>:</w:t>
      </w:r>
      <w:r w:rsidR="0031447F">
        <w:t xml:space="preserve"> The zero-based budget is useful to keep the cash flow properly in the organisation. In the hotel industry, </w:t>
      </w:r>
      <w:r w:rsidR="00FE7F5C">
        <w:t xml:space="preserve">cash comes very frequently and at the same time, it requires proper management. The zero-based budget can </w:t>
      </w:r>
      <w:r w:rsidR="00820042">
        <w:t>keep</w:t>
      </w:r>
      <w:r w:rsidR="0095082B">
        <w:t xml:space="preserve"> the cash into proper management</w:t>
      </w:r>
      <w:r w:rsidR="00357093">
        <w:t xml:space="preserve"> </w:t>
      </w:r>
      <w:r w:rsidR="00357093" w:rsidRPr="00357093">
        <w:t>(Gultus, 2016)</w:t>
      </w:r>
      <w:r w:rsidR="0095082B">
        <w:t>.</w:t>
      </w:r>
      <w:r w:rsidR="00EB744B">
        <w:t xml:space="preserve"> The traditional budget always</w:t>
      </w:r>
      <w:r w:rsidR="00C74F53">
        <w:t xml:space="preserve"> tries to get sure in managerial positions by incurring debt risk.</w:t>
      </w:r>
    </w:p>
    <w:p w:rsidR="00410377" w:rsidRDefault="00950409" w:rsidP="004E1881">
      <w:r w:rsidRPr="006F2D0E">
        <w:rPr>
          <w:b/>
          <w:bCs/>
        </w:rPr>
        <w:t>Effective resource allocation</w:t>
      </w:r>
      <w:r>
        <w:t>:</w:t>
      </w:r>
      <w:r w:rsidR="00897BDC">
        <w:t xml:space="preserve"> </w:t>
      </w:r>
      <w:r w:rsidR="00967B76">
        <w:t>Resource</w:t>
      </w:r>
      <w:r w:rsidR="00897BDC">
        <w:t xml:space="preserve"> allocation is important for the hotel </w:t>
      </w:r>
      <w:r w:rsidR="00967B76">
        <w:t>organisation</w:t>
      </w:r>
      <w:r w:rsidR="00897BDC">
        <w:t xml:space="preserve"> in a different department that maximises the operational efficiency and maximises the profit for the organisation.</w:t>
      </w:r>
      <w:r w:rsidR="00967B76">
        <w:t xml:space="preserve"> A zero-based budget is fruitful in improving </w:t>
      </w:r>
      <w:r w:rsidR="004A219D">
        <w:t>effective resource allocation.</w:t>
      </w:r>
    </w:p>
    <w:p w:rsidR="00D33BAB" w:rsidRDefault="00950409" w:rsidP="004E1881">
      <w:r w:rsidRPr="006F2D0E">
        <w:rPr>
          <w:b/>
          <w:bCs/>
        </w:rPr>
        <w:t>Promoting business ma</w:t>
      </w:r>
      <w:r w:rsidRPr="006F2D0E">
        <w:rPr>
          <w:b/>
          <w:bCs/>
        </w:rPr>
        <w:t>nagement optimisation</w:t>
      </w:r>
      <w:r>
        <w:t>: Zero-based budgets are expected to focus on the point, function that increase the value for the organisation. Zero-based budget involves entangling the business function that increases the value for the organisation.</w:t>
      </w:r>
    </w:p>
    <w:p w:rsidR="00F75869" w:rsidRDefault="00950409" w:rsidP="004E1881">
      <w:r w:rsidRPr="006F2D0E">
        <w:rPr>
          <w:b/>
          <w:bCs/>
        </w:rPr>
        <w:t>Emphasis on deci</w:t>
      </w:r>
      <w:r w:rsidRPr="006F2D0E">
        <w:rPr>
          <w:b/>
          <w:bCs/>
        </w:rPr>
        <w:t>sion making</w:t>
      </w:r>
      <w:r>
        <w:t>: Zero-based budget emphasises decision making.</w:t>
      </w:r>
      <w:r w:rsidR="00EC1316">
        <w:t xml:space="preserve"> </w:t>
      </w:r>
      <w:r w:rsidR="00D33BAB">
        <w:t xml:space="preserve"> </w:t>
      </w:r>
      <w:r w:rsidR="00EC1316" w:rsidRPr="00EC1316">
        <w:t>Zero-based budgeting aims towards achieving the objectives of the organization.</w:t>
      </w:r>
      <w:r w:rsidR="00E87257">
        <w:t xml:space="preserve"> The objectivity of the </w:t>
      </w:r>
      <w:r w:rsidR="0093276A">
        <w:t xml:space="preserve">business </w:t>
      </w:r>
      <w:r w:rsidR="00747A1A">
        <w:t xml:space="preserve">function helps the hotel to achieve </w:t>
      </w:r>
      <w:r w:rsidR="00393450">
        <w:t>certain types of goals.</w:t>
      </w:r>
    </w:p>
    <w:p w:rsidR="00CE0B93" w:rsidRPr="00D33BAB" w:rsidRDefault="00950409" w:rsidP="004E1881">
      <w:r w:rsidRPr="006F2D0E">
        <w:rPr>
          <w:b/>
          <w:bCs/>
        </w:rPr>
        <w:t xml:space="preserve">Improvement for the </w:t>
      </w:r>
      <w:r w:rsidRPr="006F2D0E">
        <w:rPr>
          <w:b/>
          <w:bCs/>
        </w:rPr>
        <w:t>next period:</w:t>
      </w:r>
      <w:r>
        <w:t xml:space="preserve"> Zero-based is expected to keep the focus on aims, goals achieving, and, in this connection, the Zero-based budget analyses and determines the </w:t>
      </w:r>
      <w:r w:rsidR="006F2D0E">
        <w:t>expense every year. The zero-based budget includes the expense in the Zero-based budget</w:t>
      </w:r>
      <w:r w:rsidR="006F2D0E" w:rsidRPr="006F2D0E">
        <w:t xml:space="preserve"> which are necessary and which derive benefits.</w:t>
      </w:r>
    </w:p>
    <w:p w:rsidR="00C37C0E" w:rsidRDefault="00950409" w:rsidP="00D8724F">
      <w:bookmarkStart w:id="5" w:name="_Toc2996"/>
      <w:r>
        <w:t>The traditional budget is simple and can be used for all the departments. On the other hand, the zero-based budget is complicated. The zero-based budget is based on the estimated data and a zero-based budget be used in the</w:t>
      </w:r>
      <w:r>
        <w:t xml:space="preserve"> care of the profit center. The zero-based budget considers the cost minimal because it starts with the </w:t>
      </w:r>
      <w:r w:rsidR="00B47C0B">
        <w:t>zero-point</w:t>
      </w:r>
      <w:r>
        <w:t xml:space="preserve"> having no previous cash</w:t>
      </w:r>
      <w:r w:rsidR="00357093">
        <w:t xml:space="preserve"> </w:t>
      </w:r>
      <w:r w:rsidR="00357093" w:rsidRPr="00357093">
        <w:t>(Pietrzak, 2014)</w:t>
      </w:r>
      <w:r>
        <w:t>.</w:t>
      </w:r>
    </w:p>
    <w:p w:rsidR="00BF774D" w:rsidRDefault="00950409" w:rsidP="00D8724F">
      <w:r w:rsidRPr="00BF774D">
        <w:t>Traditional budgeting also only analy</w:t>
      </w:r>
      <w:r>
        <w:t>s</w:t>
      </w:r>
      <w:r w:rsidRPr="00BF774D">
        <w:t>es only new expenditures</w:t>
      </w:r>
      <w:r>
        <w:t xml:space="preserve"> whereas zero-based budgeting starts with zero and justifies the old expenditure in the additional new expenditure. Zero-based budget stands to justify the old and new expenditure but the traditional budget is incremental increasing a certain percentage ov</w:t>
      </w:r>
      <w:r>
        <w:t>er the expense and income of the hotel.</w:t>
      </w:r>
    </w:p>
    <w:p w:rsidR="00401345" w:rsidRDefault="00950409">
      <w:pPr>
        <w:pStyle w:val="Heading2"/>
        <w:spacing w:after="0"/>
      </w:pPr>
      <w:r>
        <w:t xml:space="preserve">2.3 How the Organisation Might introduce Zero-based Budgeting </w:t>
      </w:r>
      <w:bookmarkEnd w:id="5"/>
    </w:p>
    <w:p w:rsidR="00401345" w:rsidRDefault="00950409" w:rsidP="00475EA0">
      <w:r>
        <w:t xml:space="preserve">Organisation needs to focus on budgeting by exploring and outlining the business goals. </w:t>
      </w:r>
      <w:r w:rsidR="00AB132C">
        <w:t xml:space="preserve">In this connection, the organisation at first </w:t>
      </w:r>
      <w:r w:rsidR="00124238">
        <w:t>selects</w:t>
      </w:r>
      <w:r w:rsidR="00AB132C">
        <w:t xml:space="preserve"> the monthly income of the company. In this connection, the </w:t>
      </w:r>
      <w:r w:rsidR="00124238">
        <w:t xml:space="preserve">number of </w:t>
      </w:r>
      <w:r w:rsidR="00772350">
        <w:t>guests</w:t>
      </w:r>
      <w:r w:rsidR="00124238">
        <w:t>, room division service charges, and other charges should be accumulated an</w:t>
      </w:r>
      <w:r w:rsidR="003B641E">
        <w:t>d</w:t>
      </w:r>
      <w:r w:rsidR="00124238">
        <w:t xml:space="preserve"> </w:t>
      </w:r>
      <w:r w:rsidR="003B641E">
        <w:t>considered</w:t>
      </w:r>
      <w:r w:rsidR="00124238">
        <w:t>.</w:t>
      </w:r>
      <w:r w:rsidR="003B641E">
        <w:t xml:space="preserve"> After</w:t>
      </w:r>
      <w:r w:rsidR="00594777">
        <w:t xml:space="preserve"> that, the organisation or Hotel should determine the probable cost, outline the cost that the organisation might incur during the course of business operation.</w:t>
      </w:r>
      <w:r w:rsidR="007D73AE">
        <w:t xml:space="preserve"> After identifying and determining the cost associated with the business operation and income, the cost is deducted from the income of the hotels</w:t>
      </w:r>
      <w:r w:rsidR="00357093">
        <w:t xml:space="preserve"> </w:t>
      </w:r>
      <w:r w:rsidR="00357093" w:rsidRPr="00357093">
        <w:t>(Gusmartina, Azlina, and Julita, 2021)</w:t>
      </w:r>
      <w:r w:rsidR="007D73AE">
        <w:t>.</w:t>
      </w:r>
      <w:r w:rsidR="00A0292F">
        <w:t xml:space="preserve"> Every income and cost are probable and these are not outlined by being sure.</w:t>
      </w:r>
      <w:r w:rsidR="00C11B86">
        <w:t xml:space="preserve"> In incurring the listed cost, the organisation should be conservative meaning the hotel will not incur additional cost or write less cost it incurs.</w:t>
      </w:r>
    </w:p>
    <w:p w:rsidR="00D902CF" w:rsidRDefault="00950409" w:rsidP="00475EA0">
      <w:r>
        <w:t>The subtracted value i</w:t>
      </w:r>
      <w:r w:rsidR="00435D1C">
        <w:t>s made zero intentionally.</w:t>
      </w:r>
      <w:r w:rsidR="00084AD0">
        <w:t xml:space="preserve"> If income </w:t>
      </w:r>
      <w:r w:rsidR="00712D45">
        <w:t>surpasses,</w:t>
      </w:r>
      <w:r w:rsidR="00084AD0">
        <w:t xml:space="preserve"> the cost then the additional </w:t>
      </w:r>
      <w:r w:rsidR="00A31605">
        <w:t>function is installed in the operation and it the probable cost if higher than the income the hotel will generate, then new areas of earning are created to minimise the cost.</w:t>
      </w:r>
      <w:r w:rsidR="004C4343">
        <w:t xml:space="preserve"> </w:t>
      </w:r>
    </w:p>
    <w:p w:rsidR="00712D45" w:rsidRDefault="00950409" w:rsidP="00475EA0">
      <w:r>
        <w:t xml:space="preserve">Hotels can implement and apply zero-based budgeting into the budgeting process by entangling the functional areas of the organisation. </w:t>
      </w:r>
      <w:r w:rsidR="00BF774D">
        <w:t>The traditional budget is incremental where every year the spending, expenditure, and sales are increased by 2%</w:t>
      </w:r>
      <w:r w:rsidR="00357093">
        <w:t xml:space="preserve"> </w:t>
      </w:r>
      <w:r w:rsidR="00357093" w:rsidRPr="00357093">
        <w:t>(Emerling and Wojcik-Jurkiewicz, 2018)</w:t>
      </w:r>
      <w:r w:rsidR="00BF774D">
        <w:t>.</w:t>
      </w:r>
      <w:r w:rsidR="00357093">
        <w:t xml:space="preserve"> </w:t>
      </w:r>
      <w:r>
        <w:t xml:space="preserve">The zero-based budget is important because it makes the best use of every single resource. </w:t>
      </w:r>
      <w:r w:rsidR="008C59DA">
        <w:t>For example, if the planning cost surpasses the income of the hotel,</w:t>
      </w:r>
      <w:r w:rsidR="006E0847">
        <w:t xml:space="preserve"> the hotel is expected to </w:t>
      </w:r>
      <w:r w:rsidR="00B02A6D">
        <w:t>determine, find out new areas of income and earning</w:t>
      </w:r>
      <w:r>
        <w:t>s. For this reason, zero-based budgeting is important to maximise wealth and earning.</w:t>
      </w:r>
      <w:r w:rsidRPr="006D0514">
        <w:t xml:space="preserve"> </w:t>
      </w:r>
    </w:p>
    <w:p w:rsidR="00401345" w:rsidRDefault="00950409">
      <w:pPr>
        <w:spacing w:after="174"/>
      </w:pPr>
      <w:r>
        <w:rPr>
          <w:rFonts w:ascii="Calibri" w:hAnsi="Calibri"/>
        </w:rPr>
        <w:t xml:space="preserve">  </w:t>
      </w:r>
    </w:p>
    <w:p w:rsidR="00401345" w:rsidRDefault="00950409">
      <w:pPr>
        <w:spacing w:after="0"/>
      </w:pPr>
      <w:r>
        <w:rPr>
          <w:rFonts w:ascii="Calibri" w:hAnsi="Calibri"/>
        </w:rPr>
        <w:t xml:space="preserve"> </w:t>
      </w:r>
      <w:r>
        <w:rPr>
          <w:rFonts w:ascii="Calibri" w:hAnsi="Calibri"/>
        </w:rPr>
        <w:tab/>
        <w:t xml:space="preserve"> </w:t>
      </w:r>
      <w:r>
        <w:br w:type="page"/>
      </w:r>
    </w:p>
    <w:p w:rsidR="008A32AE" w:rsidRDefault="00950409" w:rsidP="008A32AE">
      <w:pPr>
        <w:pStyle w:val="Heading2"/>
      </w:pPr>
      <w:bookmarkStart w:id="6" w:name="_Toc2997"/>
      <w:r>
        <w:t xml:space="preserve">3. Conclusion </w:t>
      </w:r>
      <w:bookmarkEnd w:id="6"/>
    </w:p>
    <w:p w:rsidR="00BF774D" w:rsidRDefault="00950409" w:rsidP="006D0514">
      <w:r>
        <w:t>Organisation might be got rid of the challenges and problems by properly analysis</w:t>
      </w:r>
      <w:r w:rsidRPr="008A32AE">
        <w:t xml:space="preserve"> of the expenses and with the help of management consu</w:t>
      </w:r>
      <w:r w:rsidRPr="008A32AE">
        <w:t>ltants.</w:t>
      </w:r>
      <w:r>
        <w:t xml:space="preserve"> The zero-based budget is important because by can be forecast by cruising the cost.</w:t>
      </w:r>
      <w:r w:rsidR="000464AD">
        <w:t xml:space="preserve"> More importantly, the zero-based budget is fruitful to help the company to</w:t>
      </w:r>
      <w:r w:rsidR="005846E2">
        <w:t xml:space="preserve"> recover from the loss</w:t>
      </w:r>
      <w:r w:rsidR="00710172">
        <w:t>.</w:t>
      </w:r>
      <w:r w:rsidR="0017586A">
        <w:t xml:space="preserve"> Zero-based budget at least </w:t>
      </w:r>
      <w:r w:rsidR="00C4436F">
        <w:t>helps</w:t>
      </w:r>
      <w:r w:rsidR="0017586A">
        <w:t xml:space="preserve"> the company to secure a position in the market. </w:t>
      </w:r>
      <w:r w:rsidR="00C4436F">
        <w:t>In the hotel industry the cost nature is strong and inevitable. The hotel industry can't avoid the cost to improve customer satisfaction.</w:t>
      </w:r>
      <w:r w:rsidR="006D0514">
        <w:t xml:space="preserve"> </w:t>
      </w:r>
      <w:r w:rsidR="006D0514" w:rsidRPr="006D0514">
        <w:t>Zero-based budgeting helps managers tackle lower costs in a company.</w:t>
      </w:r>
      <w:r w:rsidR="00555923">
        <w:t xml:space="preserve"> </w:t>
      </w:r>
      <w:r w:rsidR="006B1A5F">
        <w:t xml:space="preserve">After analysing the information regarding the zero-based budgeting, it has been clear that the zero-based budget can maximise and justify </w:t>
      </w:r>
      <w:r w:rsidR="00B25D38">
        <w:t>every</w:t>
      </w:r>
      <w:r w:rsidR="006B1A5F">
        <w:t xml:space="preserve"> cost by incurring additional earnings.</w:t>
      </w:r>
      <w:r w:rsidR="00331D78">
        <w:t xml:space="preserve"> </w:t>
      </w:r>
    </w:p>
    <w:p w:rsidR="00401345" w:rsidRDefault="00401345" w:rsidP="008A32AE"/>
    <w:p w:rsidR="00401345" w:rsidRDefault="00950409">
      <w:r>
        <w:rPr>
          <w:rFonts w:ascii="Calibri" w:hAnsi="Calibri"/>
        </w:rPr>
        <w:t xml:space="preserve"> </w:t>
      </w:r>
    </w:p>
    <w:p w:rsidR="00401345" w:rsidRDefault="00950409">
      <w:pPr>
        <w:spacing w:after="161"/>
      </w:pPr>
      <w:r>
        <w:rPr>
          <w:rFonts w:ascii="Calibri" w:hAnsi="Calibri"/>
        </w:rPr>
        <w:t xml:space="preserve"> </w:t>
      </w:r>
    </w:p>
    <w:p w:rsidR="003B641E" w:rsidRDefault="00950409">
      <w:pPr>
        <w:rPr>
          <w:rFonts w:ascii="Calibri" w:hAnsi="Calibri"/>
        </w:rPr>
        <w:sectPr w:rsidR="003B641E" w:rsidSect="00194DFB">
          <w:pgSz w:w="11905" w:h="16840"/>
          <w:pgMar w:top="1601" w:right="1441" w:bottom="1506" w:left="1444" w:header="720" w:footer="720" w:gutter="0"/>
          <w:pgNumType w:start="0"/>
          <w:cols w:space="720"/>
          <w:titlePg/>
          <w:docGrid w:linePitch="299"/>
        </w:sectPr>
      </w:pPr>
      <w:r>
        <w:rPr>
          <w:rFonts w:ascii="Calibri" w:hAnsi="Calibri"/>
        </w:rPr>
        <w:t xml:space="preserve"> </w:t>
      </w:r>
    </w:p>
    <w:p w:rsidR="00706367" w:rsidRDefault="00950409" w:rsidP="001567C3">
      <w:pPr>
        <w:rPr>
          <w:rFonts w:ascii="Calibri" w:hAnsi="Calibri"/>
          <w:color w:val="2E74B5"/>
          <w:sz w:val="32"/>
        </w:rPr>
      </w:pPr>
      <w:r>
        <w:rPr>
          <w:rFonts w:ascii="Calibri" w:hAnsi="Calibri"/>
          <w:color w:val="2E74B5"/>
          <w:sz w:val="32"/>
        </w:rPr>
        <w:t>4. Budget Calculations</w:t>
      </w:r>
    </w:p>
    <w:tbl>
      <w:tblPr>
        <w:tblW w:w="5222" w:type="pct"/>
        <w:tblLayout w:type="fixed"/>
        <w:tblLook w:val="04A0" w:firstRow="1" w:lastRow="0" w:firstColumn="1" w:lastColumn="0" w:noHBand="0" w:noVBand="1"/>
      </w:tblPr>
      <w:tblGrid>
        <w:gridCol w:w="2609"/>
        <w:gridCol w:w="271"/>
        <w:gridCol w:w="253"/>
        <w:gridCol w:w="772"/>
        <w:gridCol w:w="964"/>
        <w:gridCol w:w="849"/>
        <w:gridCol w:w="849"/>
        <w:gridCol w:w="849"/>
        <w:gridCol w:w="849"/>
        <w:gridCol w:w="849"/>
        <w:gridCol w:w="849"/>
        <w:gridCol w:w="849"/>
        <w:gridCol w:w="849"/>
        <w:gridCol w:w="849"/>
        <w:gridCol w:w="849"/>
        <w:gridCol w:w="984"/>
      </w:tblGrid>
      <w:tr w:rsidR="000D3B83" w:rsidTr="00034B38">
        <w:trPr>
          <w:trHeight w:val="212"/>
        </w:trPr>
        <w:tc>
          <w:tcPr>
            <w:tcW w:w="909"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94"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88"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69"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33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343"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r>
      <w:tr w:rsidR="000D3B83" w:rsidTr="00034B38">
        <w:trPr>
          <w:trHeight w:val="212"/>
        </w:trPr>
        <w:tc>
          <w:tcPr>
            <w:tcW w:w="909" w:type="pct"/>
            <w:tcBorders>
              <w:top w:val="single" w:sz="4" w:space="0" w:color="auto"/>
              <w:left w:val="single" w:sz="4" w:space="0" w:color="auto"/>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94" w:type="pct"/>
            <w:tcBorders>
              <w:top w:val="single" w:sz="4" w:space="0" w:color="auto"/>
              <w:left w:val="nil"/>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88" w:type="pct"/>
            <w:tcBorders>
              <w:top w:val="single" w:sz="4" w:space="0" w:color="auto"/>
              <w:left w:val="nil"/>
              <w:bottom w:val="nil"/>
              <w:right w:val="single" w:sz="4" w:space="0" w:color="auto"/>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69" w:type="pct"/>
            <w:tcBorders>
              <w:top w:val="single" w:sz="4" w:space="0" w:color="auto"/>
              <w:left w:val="nil"/>
              <w:bottom w:val="nil"/>
              <w:right w:val="nil"/>
            </w:tcBorders>
            <w:shd w:val="clear" w:color="000000" w:fill="95B3D7"/>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Jan</w:t>
            </w:r>
          </w:p>
        </w:tc>
        <w:tc>
          <w:tcPr>
            <w:tcW w:w="336" w:type="pct"/>
            <w:tcBorders>
              <w:top w:val="single" w:sz="4" w:space="0" w:color="auto"/>
              <w:left w:val="nil"/>
              <w:bottom w:val="nil"/>
              <w:right w:val="nil"/>
            </w:tcBorders>
            <w:shd w:val="clear" w:color="000000" w:fill="95B3D7"/>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February</w:t>
            </w:r>
          </w:p>
        </w:tc>
        <w:tc>
          <w:tcPr>
            <w:tcW w:w="296" w:type="pct"/>
            <w:tcBorders>
              <w:top w:val="single" w:sz="4" w:space="0" w:color="auto"/>
              <w:left w:val="nil"/>
              <w:bottom w:val="nil"/>
              <w:right w:val="nil"/>
            </w:tcBorders>
            <w:shd w:val="clear" w:color="000000" w:fill="95B3D7"/>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March</w:t>
            </w:r>
          </w:p>
        </w:tc>
        <w:tc>
          <w:tcPr>
            <w:tcW w:w="296" w:type="pct"/>
            <w:tcBorders>
              <w:top w:val="single" w:sz="4" w:space="0" w:color="auto"/>
              <w:left w:val="nil"/>
              <w:bottom w:val="nil"/>
              <w:right w:val="nil"/>
            </w:tcBorders>
            <w:shd w:val="clear" w:color="000000" w:fill="95B3D7"/>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April</w:t>
            </w:r>
          </w:p>
        </w:tc>
        <w:tc>
          <w:tcPr>
            <w:tcW w:w="296" w:type="pct"/>
            <w:tcBorders>
              <w:top w:val="single" w:sz="4" w:space="0" w:color="auto"/>
              <w:left w:val="nil"/>
              <w:bottom w:val="nil"/>
              <w:right w:val="nil"/>
            </w:tcBorders>
            <w:shd w:val="clear" w:color="000000" w:fill="95B3D7"/>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May</w:t>
            </w:r>
          </w:p>
        </w:tc>
        <w:tc>
          <w:tcPr>
            <w:tcW w:w="296" w:type="pct"/>
            <w:tcBorders>
              <w:top w:val="single" w:sz="4" w:space="0" w:color="auto"/>
              <w:left w:val="nil"/>
              <w:bottom w:val="nil"/>
              <w:right w:val="nil"/>
            </w:tcBorders>
            <w:shd w:val="clear" w:color="000000" w:fill="95B3D7"/>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June</w:t>
            </w:r>
          </w:p>
        </w:tc>
        <w:tc>
          <w:tcPr>
            <w:tcW w:w="296" w:type="pct"/>
            <w:tcBorders>
              <w:top w:val="single" w:sz="4" w:space="0" w:color="auto"/>
              <w:left w:val="nil"/>
              <w:bottom w:val="nil"/>
              <w:right w:val="nil"/>
            </w:tcBorders>
            <w:shd w:val="clear" w:color="000000" w:fill="95B3D7"/>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July</w:t>
            </w:r>
          </w:p>
        </w:tc>
        <w:tc>
          <w:tcPr>
            <w:tcW w:w="296" w:type="pct"/>
            <w:tcBorders>
              <w:top w:val="single" w:sz="4" w:space="0" w:color="auto"/>
              <w:left w:val="nil"/>
              <w:bottom w:val="nil"/>
              <w:right w:val="nil"/>
            </w:tcBorders>
            <w:shd w:val="clear" w:color="000000" w:fill="95B3D7"/>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August</w:t>
            </w:r>
          </w:p>
        </w:tc>
        <w:tc>
          <w:tcPr>
            <w:tcW w:w="296" w:type="pct"/>
            <w:tcBorders>
              <w:top w:val="single" w:sz="4" w:space="0" w:color="auto"/>
              <w:left w:val="nil"/>
              <w:bottom w:val="nil"/>
              <w:right w:val="nil"/>
            </w:tcBorders>
            <w:shd w:val="clear" w:color="000000" w:fill="95B3D7"/>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Sept</w:t>
            </w:r>
          </w:p>
        </w:tc>
        <w:tc>
          <w:tcPr>
            <w:tcW w:w="296" w:type="pct"/>
            <w:tcBorders>
              <w:top w:val="single" w:sz="4" w:space="0" w:color="auto"/>
              <w:left w:val="nil"/>
              <w:bottom w:val="nil"/>
              <w:right w:val="nil"/>
            </w:tcBorders>
            <w:shd w:val="clear" w:color="000000" w:fill="95B3D7"/>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Oct</w:t>
            </w:r>
          </w:p>
        </w:tc>
        <w:tc>
          <w:tcPr>
            <w:tcW w:w="296" w:type="pct"/>
            <w:tcBorders>
              <w:top w:val="single" w:sz="4" w:space="0" w:color="auto"/>
              <w:left w:val="nil"/>
              <w:bottom w:val="nil"/>
              <w:right w:val="nil"/>
            </w:tcBorders>
            <w:shd w:val="clear" w:color="000000" w:fill="95B3D7"/>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Nov</w:t>
            </w:r>
          </w:p>
        </w:tc>
        <w:tc>
          <w:tcPr>
            <w:tcW w:w="296" w:type="pct"/>
            <w:tcBorders>
              <w:top w:val="single" w:sz="4" w:space="0" w:color="auto"/>
              <w:left w:val="nil"/>
              <w:bottom w:val="nil"/>
              <w:right w:val="nil"/>
            </w:tcBorders>
            <w:shd w:val="clear" w:color="000000" w:fill="95B3D7"/>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Dec</w:t>
            </w:r>
          </w:p>
        </w:tc>
        <w:tc>
          <w:tcPr>
            <w:tcW w:w="343" w:type="pct"/>
            <w:tcBorders>
              <w:top w:val="single" w:sz="4" w:space="0" w:color="auto"/>
              <w:left w:val="nil"/>
              <w:bottom w:val="nil"/>
              <w:right w:val="single" w:sz="4" w:space="0" w:color="auto"/>
            </w:tcBorders>
            <w:shd w:val="clear" w:color="000000" w:fill="95B3D7"/>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Total</w:t>
            </w:r>
          </w:p>
        </w:tc>
      </w:tr>
      <w:tr w:rsidR="000D3B83" w:rsidTr="00034B38">
        <w:trPr>
          <w:trHeight w:val="212"/>
        </w:trPr>
        <w:tc>
          <w:tcPr>
            <w:tcW w:w="909" w:type="pct"/>
            <w:tcBorders>
              <w:top w:val="nil"/>
              <w:left w:val="single" w:sz="4" w:space="0" w:color="auto"/>
              <w:bottom w:val="single" w:sz="4" w:space="0" w:color="auto"/>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94" w:type="pct"/>
            <w:tcBorders>
              <w:top w:val="nil"/>
              <w:left w:val="nil"/>
              <w:bottom w:val="single" w:sz="4" w:space="0" w:color="auto"/>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88" w:type="pct"/>
            <w:tcBorders>
              <w:top w:val="nil"/>
              <w:left w:val="nil"/>
              <w:bottom w:val="single" w:sz="4" w:space="0" w:color="auto"/>
              <w:right w:val="single" w:sz="4" w:space="0" w:color="auto"/>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69" w:type="pct"/>
            <w:tcBorders>
              <w:top w:val="nil"/>
              <w:left w:val="nil"/>
              <w:bottom w:val="single" w:sz="4" w:space="0" w:color="auto"/>
              <w:right w:val="nil"/>
            </w:tcBorders>
            <w:shd w:val="clear" w:color="000000" w:fill="95B3D7"/>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w:t>
            </w:r>
          </w:p>
        </w:tc>
        <w:tc>
          <w:tcPr>
            <w:tcW w:w="336" w:type="pct"/>
            <w:tcBorders>
              <w:top w:val="nil"/>
              <w:left w:val="nil"/>
              <w:bottom w:val="single" w:sz="4" w:space="0" w:color="auto"/>
              <w:right w:val="nil"/>
            </w:tcBorders>
            <w:shd w:val="clear" w:color="000000" w:fill="95B3D7"/>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w:t>
            </w:r>
          </w:p>
        </w:tc>
        <w:tc>
          <w:tcPr>
            <w:tcW w:w="296" w:type="pct"/>
            <w:tcBorders>
              <w:top w:val="nil"/>
              <w:left w:val="nil"/>
              <w:bottom w:val="single" w:sz="4" w:space="0" w:color="auto"/>
              <w:right w:val="nil"/>
            </w:tcBorders>
            <w:shd w:val="clear" w:color="000000" w:fill="95B3D7"/>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w:t>
            </w:r>
          </w:p>
        </w:tc>
        <w:tc>
          <w:tcPr>
            <w:tcW w:w="296" w:type="pct"/>
            <w:tcBorders>
              <w:top w:val="nil"/>
              <w:left w:val="nil"/>
              <w:bottom w:val="single" w:sz="4" w:space="0" w:color="auto"/>
              <w:right w:val="nil"/>
            </w:tcBorders>
            <w:shd w:val="clear" w:color="000000" w:fill="95B3D7"/>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w:t>
            </w:r>
          </w:p>
        </w:tc>
        <w:tc>
          <w:tcPr>
            <w:tcW w:w="296" w:type="pct"/>
            <w:tcBorders>
              <w:top w:val="nil"/>
              <w:left w:val="nil"/>
              <w:bottom w:val="single" w:sz="4" w:space="0" w:color="auto"/>
              <w:right w:val="nil"/>
            </w:tcBorders>
            <w:shd w:val="clear" w:color="000000" w:fill="95B3D7"/>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w:t>
            </w:r>
          </w:p>
        </w:tc>
        <w:tc>
          <w:tcPr>
            <w:tcW w:w="296" w:type="pct"/>
            <w:tcBorders>
              <w:top w:val="nil"/>
              <w:left w:val="nil"/>
              <w:bottom w:val="single" w:sz="4" w:space="0" w:color="auto"/>
              <w:right w:val="nil"/>
            </w:tcBorders>
            <w:shd w:val="clear" w:color="000000" w:fill="95B3D7"/>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w:t>
            </w:r>
          </w:p>
        </w:tc>
        <w:tc>
          <w:tcPr>
            <w:tcW w:w="296" w:type="pct"/>
            <w:tcBorders>
              <w:top w:val="nil"/>
              <w:left w:val="nil"/>
              <w:bottom w:val="single" w:sz="4" w:space="0" w:color="auto"/>
              <w:right w:val="nil"/>
            </w:tcBorders>
            <w:shd w:val="clear" w:color="000000" w:fill="95B3D7"/>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w:t>
            </w:r>
          </w:p>
        </w:tc>
        <w:tc>
          <w:tcPr>
            <w:tcW w:w="296" w:type="pct"/>
            <w:tcBorders>
              <w:top w:val="nil"/>
              <w:left w:val="nil"/>
              <w:bottom w:val="single" w:sz="4" w:space="0" w:color="auto"/>
              <w:right w:val="nil"/>
            </w:tcBorders>
            <w:shd w:val="clear" w:color="000000" w:fill="95B3D7"/>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w:t>
            </w:r>
          </w:p>
        </w:tc>
        <w:tc>
          <w:tcPr>
            <w:tcW w:w="296" w:type="pct"/>
            <w:tcBorders>
              <w:top w:val="nil"/>
              <w:left w:val="nil"/>
              <w:bottom w:val="single" w:sz="4" w:space="0" w:color="auto"/>
              <w:right w:val="nil"/>
            </w:tcBorders>
            <w:shd w:val="clear" w:color="000000" w:fill="95B3D7"/>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w:t>
            </w:r>
          </w:p>
        </w:tc>
        <w:tc>
          <w:tcPr>
            <w:tcW w:w="296" w:type="pct"/>
            <w:tcBorders>
              <w:top w:val="nil"/>
              <w:left w:val="nil"/>
              <w:bottom w:val="single" w:sz="4" w:space="0" w:color="auto"/>
              <w:right w:val="nil"/>
            </w:tcBorders>
            <w:shd w:val="clear" w:color="000000" w:fill="95B3D7"/>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w:t>
            </w:r>
          </w:p>
        </w:tc>
        <w:tc>
          <w:tcPr>
            <w:tcW w:w="296" w:type="pct"/>
            <w:tcBorders>
              <w:top w:val="nil"/>
              <w:left w:val="nil"/>
              <w:bottom w:val="single" w:sz="4" w:space="0" w:color="auto"/>
              <w:right w:val="nil"/>
            </w:tcBorders>
            <w:shd w:val="clear" w:color="000000" w:fill="95B3D7"/>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w:t>
            </w:r>
          </w:p>
        </w:tc>
        <w:tc>
          <w:tcPr>
            <w:tcW w:w="296" w:type="pct"/>
            <w:tcBorders>
              <w:top w:val="nil"/>
              <w:left w:val="nil"/>
              <w:bottom w:val="single" w:sz="4" w:space="0" w:color="auto"/>
              <w:right w:val="nil"/>
            </w:tcBorders>
            <w:shd w:val="clear" w:color="000000" w:fill="95B3D7"/>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w:t>
            </w:r>
          </w:p>
        </w:tc>
        <w:tc>
          <w:tcPr>
            <w:tcW w:w="343" w:type="pct"/>
            <w:tcBorders>
              <w:top w:val="nil"/>
              <w:left w:val="nil"/>
              <w:bottom w:val="single" w:sz="4" w:space="0" w:color="auto"/>
              <w:right w:val="single" w:sz="4" w:space="0" w:color="auto"/>
            </w:tcBorders>
            <w:shd w:val="clear" w:color="000000" w:fill="95B3D7"/>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w:t>
            </w:r>
          </w:p>
        </w:tc>
      </w:tr>
      <w:tr w:rsidR="000D3B83" w:rsidTr="00034B38">
        <w:trPr>
          <w:trHeight w:val="212"/>
        </w:trPr>
        <w:tc>
          <w:tcPr>
            <w:tcW w:w="909" w:type="pct"/>
            <w:tcBorders>
              <w:top w:val="nil"/>
              <w:left w:val="single" w:sz="4" w:space="0" w:color="auto"/>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94" w:type="pct"/>
            <w:tcBorders>
              <w:top w:val="nil"/>
              <w:left w:val="nil"/>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88" w:type="pct"/>
            <w:tcBorders>
              <w:top w:val="nil"/>
              <w:left w:val="nil"/>
              <w:bottom w:val="nil"/>
              <w:right w:val="single" w:sz="4" w:space="0" w:color="auto"/>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69"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eastAsia="Times New Roman" w:cs="Arial"/>
                <w:color w:val="auto"/>
                <w:sz w:val="18"/>
                <w:szCs w:val="18"/>
              </w:rPr>
            </w:pPr>
          </w:p>
        </w:tc>
        <w:tc>
          <w:tcPr>
            <w:tcW w:w="33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343"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r>
      <w:tr w:rsidR="000D3B83" w:rsidTr="00034B38">
        <w:trPr>
          <w:trHeight w:val="212"/>
        </w:trPr>
        <w:tc>
          <w:tcPr>
            <w:tcW w:w="909" w:type="pct"/>
            <w:tcBorders>
              <w:top w:val="nil"/>
              <w:left w:val="single" w:sz="4" w:space="0" w:color="auto"/>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94" w:type="pct"/>
            <w:tcBorders>
              <w:top w:val="nil"/>
              <w:left w:val="nil"/>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88" w:type="pct"/>
            <w:tcBorders>
              <w:top w:val="nil"/>
              <w:left w:val="nil"/>
              <w:bottom w:val="nil"/>
              <w:right w:val="single" w:sz="4" w:space="0" w:color="auto"/>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69"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eastAsia="Times New Roman" w:cs="Arial"/>
                <w:color w:val="auto"/>
                <w:sz w:val="18"/>
                <w:szCs w:val="18"/>
              </w:rPr>
            </w:pPr>
          </w:p>
        </w:tc>
        <w:tc>
          <w:tcPr>
            <w:tcW w:w="33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343"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r>
      <w:tr w:rsidR="000D3B83" w:rsidTr="00034B38">
        <w:trPr>
          <w:trHeight w:val="212"/>
        </w:trPr>
        <w:tc>
          <w:tcPr>
            <w:tcW w:w="909" w:type="pct"/>
            <w:tcBorders>
              <w:top w:val="single" w:sz="4" w:space="0" w:color="auto"/>
              <w:left w:val="single" w:sz="4" w:space="0" w:color="auto"/>
              <w:bottom w:val="single" w:sz="4" w:space="0" w:color="auto"/>
              <w:right w:val="nil"/>
            </w:tcBorders>
            <w:shd w:val="clear" w:color="000000" w:fill="95B3D7"/>
            <w:noWrap/>
            <w:vAlign w:val="bottom"/>
            <w:hideMark/>
          </w:tcPr>
          <w:p w:rsidR="003B641E" w:rsidRPr="00194DFB" w:rsidRDefault="00950409" w:rsidP="00034B38">
            <w:pPr>
              <w:spacing w:after="0" w:line="240" w:lineRule="auto"/>
              <w:jc w:val="left"/>
              <w:rPr>
                <w:rFonts w:eastAsia="Times New Roman" w:cs="Arial"/>
                <w:b/>
                <w:bCs/>
                <w:color w:val="auto"/>
                <w:sz w:val="18"/>
                <w:szCs w:val="18"/>
              </w:rPr>
            </w:pPr>
            <w:r w:rsidRPr="00194DFB">
              <w:rPr>
                <w:rFonts w:eastAsia="Times New Roman" w:cs="Arial"/>
                <w:b/>
                <w:bCs/>
                <w:color w:val="auto"/>
                <w:sz w:val="18"/>
                <w:szCs w:val="18"/>
              </w:rPr>
              <w:t>Receipts :</w:t>
            </w:r>
          </w:p>
        </w:tc>
        <w:tc>
          <w:tcPr>
            <w:tcW w:w="94" w:type="pct"/>
            <w:tcBorders>
              <w:top w:val="single" w:sz="4" w:space="0" w:color="auto"/>
              <w:left w:val="nil"/>
              <w:bottom w:val="single" w:sz="4" w:space="0" w:color="auto"/>
              <w:right w:val="nil"/>
            </w:tcBorders>
            <w:shd w:val="clear" w:color="000000" w:fill="95B3D7"/>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88" w:type="pct"/>
            <w:tcBorders>
              <w:top w:val="single" w:sz="4" w:space="0" w:color="auto"/>
              <w:left w:val="nil"/>
              <w:bottom w:val="single" w:sz="4" w:space="0" w:color="auto"/>
              <w:right w:val="single" w:sz="4" w:space="0" w:color="auto"/>
            </w:tcBorders>
            <w:shd w:val="clear" w:color="000000" w:fill="95B3D7"/>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69" w:type="pct"/>
            <w:tcBorders>
              <w:top w:val="nil"/>
              <w:left w:val="nil"/>
              <w:bottom w:val="nil"/>
              <w:right w:val="nil"/>
            </w:tcBorders>
            <w:shd w:val="clear" w:color="000000" w:fill="FFFFFF"/>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w:t>
            </w:r>
          </w:p>
        </w:tc>
        <w:tc>
          <w:tcPr>
            <w:tcW w:w="336" w:type="pct"/>
            <w:tcBorders>
              <w:top w:val="nil"/>
              <w:left w:val="nil"/>
              <w:bottom w:val="nil"/>
              <w:right w:val="nil"/>
            </w:tcBorders>
            <w:shd w:val="clear" w:color="000000" w:fill="FFFFFF"/>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w:t>
            </w:r>
          </w:p>
        </w:tc>
        <w:tc>
          <w:tcPr>
            <w:tcW w:w="296" w:type="pct"/>
            <w:tcBorders>
              <w:top w:val="nil"/>
              <w:left w:val="nil"/>
              <w:bottom w:val="nil"/>
              <w:right w:val="nil"/>
            </w:tcBorders>
            <w:shd w:val="clear" w:color="000000" w:fill="FFFFFF"/>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w:t>
            </w:r>
          </w:p>
        </w:tc>
        <w:tc>
          <w:tcPr>
            <w:tcW w:w="296" w:type="pct"/>
            <w:tcBorders>
              <w:top w:val="nil"/>
              <w:left w:val="nil"/>
              <w:bottom w:val="nil"/>
              <w:right w:val="nil"/>
            </w:tcBorders>
            <w:shd w:val="clear" w:color="000000" w:fill="FFFFFF"/>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w:t>
            </w:r>
          </w:p>
        </w:tc>
        <w:tc>
          <w:tcPr>
            <w:tcW w:w="296" w:type="pct"/>
            <w:tcBorders>
              <w:top w:val="nil"/>
              <w:left w:val="nil"/>
              <w:bottom w:val="nil"/>
              <w:right w:val="nil"/>
            </w:tcBorders>
            <w:shd w:val="clear" w:color="000000" w:fill="FFFFFF"/>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w:t>
            </w:r>
          </w:p>
        </w:tc>
        <w:tc>
          <w:tcPr>
            <w:tcW w:w="296" w:type="pct"/>
            <w:tcBorders>
              <w:top w:val="nil"/>
              <w:left w:val="nil"/>
              <w:bottom w:val="nil"/>
              <w:right w:val="nil"/>
            </w:tcBorders>
            <w:shd w:val="clear" w:color="000000" w:fill="FFFFFF"/>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w:t>
            </w:r>
          </w:p>
        </w:tc>
        <w:tc>
          <w:tcPr>
            <w:tcW w:w="296" w:type="pct"/>
            <w:tcBorders>
              <w:top w:val="nil"/>
              <w:left w:val="nil"/>
              <w:bottom w:val="nil"/>
              <w:right w:val="nil"/>
            </w:tcBorders>
            <w:shd w:val="clear" w:color="000000" w:fill="FFFFFF"/>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96" w:type="pct"/>
            <w:tcBorders>
              <w:top w:val="nil"/>
              <w:left w:val="nil"/>
              <w:bottom w:val="nil"/>
              <w:right w:val="nil"/>
            </w:tcBorders>
            <w:shd w:val="clear" w:color="000000" w:fill="FFFFFF"/>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96" w:type="pct"/>
            <w:tcBorders>
              <w:top w:val="nil"/>
              <w:left w:val="nil"/>
              <w:bottom w:val="nil"/>
              <w:right w:val="nil"/>
            </w:tcBorders>
            <w:shd w:val="clear" w:color="000000" w:fill="FFFFFF"/>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96" w:type="pct"/>
            <w:tcBorders>
              <w:top w:val="nil"/>
              <w:left w:val="nil"/>
              <w:bottom w:val="nil"/>
              <w:right w:val="nil"/>
            </w:tcBorders>
            <w:shd w:val="clear" w:color="000000" w:fill="FFFFFF"/>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96" w:type="pct"/>
            <w:tcBorders>
              <w:top w:val="nil"/>
              <w:left w:val="nil"/>
              <w:bottom w:val="nil"/>
              <w:right w:val="nil"/>
            </w:tcBorders>
            <w:shd w:val="clear" w:color="000000" w:fill="FFFFFF"/>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96" w:type="pct"/>
            <w:tcBorders>
              <w:top w:val="nil"/>
              <w:left w:val="nil"/>
              <w:bottom w:val="nil"/>
              <w:right w:val="nil"/>
            </w:tcBorders>
            <w:shd w:val="clear" w:color="000000" w:fill="FFFFFF"/>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343" w:type="pct"/>
            <w:tcBorders>
              <w:top w:val="nil"/>
              <w:left w:val="nil"/>
              <w:bottom w:val="nil"/>
              <w:right w:val="nil"/>
            </w:tcBorders>
            <w:shd w:val="clear" w:color="000000" w:fill="FFFFFF"/>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r>
      <w:tr w:rsidR="000D3B83" w:rsidTr="00034B38">
        <w:trPr>
          <w:trHeight w:val="212"/>
        </w:trPr>
        <w:tc>
          <w:tcPr>
            <w:tcW w:w="909" w:type="pct"/>
            <w:tcBorders>
              <w:top w:val="nil"/>
              <w:left w:val="single" w:sz="4" w:space="0" w:color="auto"/>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94" w:type="pct"/>
            <w:tcBorders>
              <w:top w:val="nil"/>
              <w:left w:val="nil"/>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88" w:type="pct"/>
            <w:tcBorders>
              <w:top w:val="nil"/>
              <w:left w:val="nil"/>
              <w:bottom w:val="nil"/>
              <w:right w:val="single" w:sz="4" w:space="0" w:color="auto"/>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69"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eastAsia="Times New Roman" w:cs="Arial"/>
                <w:color w:val="auto"/>
                <w:sz w:val="18"/>
                <w:szCs w:val="18"/>
              </w:rPr>
            </w:pPr>
          </w:p>
        </w:tc>
        <w:tc>
          <w:tcPr>
            <w:tcW w:w="33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343"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r>
      <w:tr w:rsidR="000D3B83" w:rsidTr="00034B38">
        <w:trPr>
          <w:trHeight w:val="212"/>
        </w:trPr>
        <w:tc>
          <w:tcPr>
            <w:tcW w:w="909" w:type="pct"/>
            <w:tcBorders>
              <w:top w:val="nil"/>
              <w:left w:val="single" w:sz="4" w:space="0" w:color="auto"/>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Payment on business accounts</w:t>
            </w:r>
          </w:p>
        </w:tc>
        <w:tc>
          <w:tcPr>
            <w:tcW w:w="94" w:type="pct"/>
            <w:tcBorders>
              <w:top w:val="nil"/>
              <w:left w:val="nil"/>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88" w:type="pct"/>
            <w:tcBorders>
              <w:top w:val="nil"/>
              <w:left w:val="nil"/>
              <w:bottom w:val="nil"/>
              <w:right w:val="single" w:sz="4" w:space="0" w:color="auto"/>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69"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75,000 </w:t>
            </w:r>
          </w:p>
        </w:tc>
        <w:tc>
          <w:tcPr>
            <w:tcW w:w="33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46,000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75,000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30,000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32,000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39,000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46,500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46,900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54,000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39,000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40,900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40,800 </w:t>
            </w:r>
          </w:p>
        </w:tc>
        <w:tc>
          <w:tcPr>
            <w:tcW w:w="343"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565,100 </w:t>
            </w:r>
          </w:p>
        </w:tc>
      </w:tr>
      <w:tr w:rsidR="000D3B83" w:rsidTr="00034B38">
        <w:trPr>
          <w:trHeight w:val="212"/>
        </w:trPr>
        <w:tc>
          <w:tcPr>
            <w:tcW w:w="909" w:type="pct"/>
            <w:tcBorders>
              <w:top w:val="nil"/>
              <w:left w:val="single" w:sz="4" w:space="0" w:color="auto"/>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Cash sales</w:t>
            </w:r>
          </w:p>
        </w:tc>
        <w:tc>
          <w:tcPr>
            <w:tcW w:w="94" w:type="pct"/>
            <w:tcBorders>
              <w:top w:val="nil"/>
              <w:left w:val="nil"/>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88" w:type="pct"/>
            <w:tcBorders>
              <w:top w:val="nil"/>
              <w:left w:val="nil"/>
              <w:bottom w:val="nil"/>
              <w:right w:val="single" w:sz="4" w:space="0" w:color="auto"/>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69"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6,800 </w:t>
            </w:r>
          </w:p>
        </w:tc>
        <w:tc>
          <w:tcPr>
            <w:tcW w:w="33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6,800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6,800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6,800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6,800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6,800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6,800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6,800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6,800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6,800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6,800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6,800 </w:t>
            </w:r>
          </w:p>
        </w:tc>
        <w:tc>
          <w:tcPr>
            <w:tcW w:w="343"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81,600 </w:t>
            </w:r>
          </w:p>
        </w:tc>
      </w:tr>
      <w:tr w:rsidR="000D3B83" w:rsidTr="00034B38">
        <w:trPr>
          <w:trHeight w:val="212"/>
        </w:trPr>
        <w:tc>
          <w:tcPr>
            <w:tcW w:w="909" w:type="pct"/>
            <w:tcBorders>
              <w:top w:val="nil"/>
              <w:left w:val="single" w:sz="4" w:space="0" w:color="auto"/>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Interest Received</w:t>
            </w:r>
          </w:p>
        </w:tc>
        <w:tc>
          <w:tcPr>
            <w:tcW w:w="94" w:type="pct"/>
            <w:tcBorders>
              <w:top w:val="nil"/>
              <w:left w:val="nil"/>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88" w:type="pct"/>
            <w:tcBorders>
              <w:top w:val="nil"/>
              <w:left w:val="nil"/>
              <w:bottom w:val="nil"/>
              <w:right w:val="single" w:sz="4" w:space="0" w:color="auto"/>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69"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eastAsia="Times New Roman" w:cs="Arial"/>
                <w:color w:val="auto"/>
                <w:sz w:val="18"/>
                <w:szCs w:val="18"/>
              </w:rPr>
            </w:pPr>
          </w:p>
        </w:tc>
        <w:tc>
          <w:tcPr>
            <w:tcW w:w="33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xml:space="preserve">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xml:space="preserve">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xml:space="preserve">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xml:space="preserve">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xml:space="preserve">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xml:space="preserve">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xml:space="preserve">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xml:space="preserve"> </w:t>
            </w: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eastAsia="Times New Roman" w:cs="Arial"/>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343"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r>
      <w:tr w:rsidR="000D3B83" w:rsidTr="00034B38">
        <w:trPr>
          <w:trHeight w:val="212"/>
        </w:trPr>
        <w:tc>
          <w:tcPr>
            <w:tcW w:w="909" w:type="pct"/>
            <w:tcBorders>
              <w:top w:val="nil"/>
              <w:left w:val="single" w:sz="4" w:space="0" w:color="auto"/>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xml:space="preserve"> </w:t>
            </w:r>
          </w:p>
        </w:tc>
        <w:tc>
          <w:tcPr>
            <w:tcW w:w="94" w:type="pct"/>
            <w:tcBorders>
              <w:top w:val="nil"/>
              <w:left w:val="nil"/>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88" w:type="pct"/>
            <w:tcBorders>
              <w:top w:val="nil"/>
              <w:left w:val="nil"/>
              <w:bottom w:val="nil"/>
              <w:right w:val="single" w:sz="4" w:space="0" w:color="auto"/>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69"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eastAsia="Times New Roman" w:cs="Arial"/>
                <w:color w:val="auto"/>
                <w:sz w:val="18"/>
                <w:szCs w:val="18"/>
              </w:rPr>
            </w:pPr>
          </w:p>
        </w:tc>
        <w:tc>
          <w:tcPr>
            <w:tcW w:w="33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343"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r>
      <w:tr w:rsidR="000D3B83" w:rsidTr="00034B38">
        <w:trPr>
          <w:trHeight w:val="212"/>
        </w:trPr>
        <w:tc>
          <w:tcPr>
            <w:tcW w:w="909" w:type="pct"/>
            <w:tcBorders>
              <w:top w:val="nil"/>
              <w:left w:val="single" w:sz="4" w:space="0" w:color="auto"/>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94" w:type="pct"/>
            <w:tcBorders>
              <w:top w:val="nil"/>
              <w:left w:val="nil"/>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88" w:type="pct"/>
            <w:tcBorders>
              <w:top w:val="nil"/>
              <w:left w:val="nil"/>
              <w:bottom w:val="nil"/>
              <w:right w:val="single" w:sz="4" w:space="0" w:color="auto"/>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69"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eastAsia="Times New Roman" w:cs="Arial"/>
                <w:color w:val="auto"/>
                <w:sz w:val="18"/>
                <w:szCs w:val="18"/>
              </w:rPr>
            </w:pPr>
          </w:p>
        </w:tc>
        <w:tc>
          <w:tcPr>
            <w:tcW w:w="33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343"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r>
      <w:tr w:rsidR="000D3B83" w:rsidTr="00034B38">
        <w:trPr>
          <w:trHeight w:val="222"/>
        </w:trPr>
        <w:tc>
          <w:tcPr>
            <w:tcW w:w="909" w:type="pct"/>
            <w:tcBorders>
              <w:top w:val="single" w:sz="4" w:space="0" w:color="auto"/>
              <w:left w:val="single" w:sz="4" w:space="0" w:color="auto"/>
              <w:bottom w:val="single" w:sz="4" w:space="0" w:color="auto"/>
              <w:right w:val="nil"/>
            </w:tcBorders>
            <w:shd w:val="clear" w:color="000000" w:fill="95B3D7"/>
            <w:noWrap/>
            <w:vAlign w:val="bottom"/>
            <w:hideMark/>
          </w:tcPr>
          <w:p w:rsidR="003B641E" w:rsidRPr="00194DFB" w:rsidRDefault="00950409" w:rsidP="00034B38">
            <w:pPr>
              <w:spacing w:after="0" w:line="240" w:lineRule="auto"/>
              <w:jc w:val="left"/>
              <w:rPr>
                <w:rFonts w:eastAsia="Times New Roman" w:cs="Arial"/>
                <w:b/>
                <w:bCs/>
                <w:color w:val="auto"/>
                <w:sz w:val="18"/>
                <w:szCs w:val="18"/>
              </w:rPr>
            </w:pPr>
            <w:r w:rsidRPr="00194DFB">
              <w:rPr>
                <w:rFonts w:eastAsia="Times New Roman" w:cs="Arial"/>
                <w:b/>
                <w:bCs/>
                <w:color w:val="auto"/>
                <w:sz w:val="18"/>
                <w:szCs w:val="18"/>
              </w:rPr>
              <w:t>Total receipt</w:t>
            </w:r>
          </w:p>
        </w:tc>
        <w:tc>
          <w:tcPr>
            <w:tcW w:w="94" w:type="pct"/>
            <w:tcBorders>
              <w:top w:val="single" w:sz="4" w:space="0" w:color="auto"/>
              <w:left w:val="nil"/>
              <w:bottom w:val="single" w:sz="4" w:space="0" w:color="auto"/>
              <w:right w:val="nil"/>
            </w:tcBorders>
            <w:shd w:val="clear" w:color="000000" w:fill="95B3D7"/>
            <w:noWrap/>
            <w:vAlign w:val="bottom"/>
            <w:hideMark/>
          </w:tcPr>
          <w:p w:rsidR="003B641E" w:rsidRPr="00194DFB" w:rsidRDefault="00950409" w:rsidP="00034B38">
            <w:pPr>
              <w:spacing w:after="0" w:line="240" w:lineRule="auto"/>
              <w:jc w:val="left"/>
              <w:rPr>
                <w:rFonts w:eastAsia="Times New Roman" w:cs="Arial"/>
                <w:b/>
                <w:bCs/>
                <w:color w:val="auto"/>
                <w:sz w:val="18"/>
                <w:szCs w:val="18"/>
              </w:rPr>
            </w:pPr>
            <w:r w:rsidRPr="00194DFB">
              <w:rPr>
                <w:rFonts w:eastAsia="Times New Roman" w:cs="Arial"/>
                <w:b/>
                <w:bCs/>
                <w:color w:val="auto"/>
                <w:sz w:val="18"/>
                <w:szCs w:val="18"/>
              </w:rPr>
              <w:t> </w:t>
            </w:r>
          </w:p>
        </w:tc>
        <w:tc>
          <w:tcPr>
            <w:tcW w:w="88" w:type="pct"/>
            <w:tcBorders>
              <w:top w:val="single" w:sz="4" w:space="0" w:color="auto"/>
              <w:left w:val="nil"/>
              <w:bottom w:val="single" w:sz="4" w:space="0" w:color="auto"/>
              <w:right w:val="single" w:sz="4" w:space="0" w:color="auto"/>
            </w:tcBorders>
            <w:shd w:val="clear" w:color="000000" w:fill="95B3D7"/>
            <w:noWrap/>
            <w:vAlign w:val="bottom"/>
            <w:hideMark/>
          </w:tcPr>
          <w:p w:rsidR="003B641E" w:rsidRPr="00194DFB" w:rsidRDefault="00950409" w:rsidP="00034B38">
            <w:pPr>
              <w:spacing w:after="0" w:line="240" w:lineRule="auto"/>
              <w:jc w:val="left"/>
              <w:rPr>
                <w:rFonts w:eastAsia="Times New Roman" w:cs="Arial"/>
                <w:b/>
                <w:bCs/>
                <w:color w:val="auto"/>
                <w:sz w:val="18"/>
                <w:szCs w:val="18"/>
              </w:rPr>
            </w:pPr>
            <w:r w:rsidRPr="00194DFB">
              <w:rPr>
                <w:rFonts w:eastAsia="Times New Roman" w:cs="Arial"/>
                <w:b/>
                <w:bCs/>
                <w:color w:val="auto"/>
                <w:sz w:val="18"/>
                <w:szCs w:val="18"/>
              </w:rPr>
              <w:t> </w:t>
            </w:r>
          </w:p>
        </w:tc>
        <w:tc>
          <w:tcPr>
            <w:tcW w:w="269" w:type="pct"/>
            <w:tcBorders>
              <w:top w:val="single" w:sz="4" w:space="0" w:color="auto"/>
              <w:left w:val="nil"/>
              <w:bottom w:val="single" w:sz="8" w:space="0" w:color="auto"/>
              <w:right w:val="nil"/>
            </w:tcBorders>
            <w:shd w:val="clear" w:color="000000" w:fill="B8CCE4"/>
            <w:noWrap/>
            <w:vAlign w:val="bottom"/>
            <w:hideMark/>
          </w:tcPr>
          <w:p w:rsidR="003B641E" w:rsidRPr="00194DFB" w:rsidRDefault="00950409" w:rsidP="00034B38">
            <w:pPr>
              <w:spacing w:after="0" w:line="240" w:lineRule="auto"/>
              <w:rPr>
                <w:rFonts w:eastAsia="Times New Roman" w:cs="Arial"/>
                <w:b/>
                <w:bCs/>
                <w:color w:val="auto"/>
                <w:sz w:val="18"/>
                <w:szCs w:val="18"/>
              </w:rPr>
            </w:pPr>
            <w:r>
              <w:rPr>
                <w:rFonts w:eastAsia="Times New Roman" w:cs="Arial"/>
                <w:b/>
                <w:bCs/>
                <w:color w:val="auto"/>
                <w:sz w:val="18"/>
                <w:szCs w:val="18"/>
              </w:rPr>
              <w:t>81000</w:t>
            </w:r>
            <w:r w:rsidRPr="00194DFB">
              <w:rPr>
                <w:rFonts w:eastAsia="Times New Roman" w:cs="Arial"/>
                <w:b/>
                <w:bCs/>
                <w:color w:val="auto"/>
                <w:sz w:val="18"/>
                <w:szCs w:val="18"/>
              </w:rPr>
              <w:t xml:space="preserve"> </w:t>
            </w:r>
          </w:p>
        </w:tc>
        <w:tc>
          <w:tcPr>
            <w:tcW w:w="336" w:type="pct"/>
            <w:tcBorders>
              <w:top w:val="single" w:sz="4" w:space="0" w:color="auto"/>
              <w:left w:val="nil"/>
              <w:bottom w:val="single" w:sz="8" w:space="0" w:color="auto"/>
              <w:right w:val="nil"/>
            </w:tcBorders>
            <w:shd w:val="clear" w:color="000000" w:fill="B8CCE4"/>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 xml:space="preserve">52,800 </w:t>
            </w:r>
          </w:p>
        </w:tc>
        <w:tc>
          <w:tcPr>
            <w:tcW w:w="296" w:type="pct"/>
            <w:tcBorders>
              <w:top w:val="single" w:sz="4" w:space="0" w:color="auto"/>
              <w:left w:val="nil"/>
              <w:bottom w:val="single" w:sz="8" w:space="0" w:color="auto"/>
              <w:right w:val="nil"/>
            </w:tcBorders>
            <w:shd w:val="clear" w:color="000000" w:fill="B8CCE4"/>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 xml:space="preserve">81,800 </w:t>
            </w:r>
          </w:p>
        </w:tc>
        <w:tc>
          <w:tcPr>
            <w:tcW w:w="296" w:type="pct"/>
            <w:tcBorders>
              <w:top w:val="single" w:sz="4" w:space="0" w:color="auto"/>
              <w:left w:val="nil"/>
              <w:bottom w:val="single" w:sz="8" w:space="0" w:color="auto"/>
              <w:right w:val="nil"/>
            </w:tcBorders>
            <w:shd w:val="clear" w:color="000000" w:fill="B8CCE4"/>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 xml:space="preserve">36,800 </w:t>
            </w:r>
          </w:p>
        </w:tc>
        <w:tc>
          <w:tcPr>
            <w:tcW w:w="296" w:type="pct"/>
            <w:tcBorders>
              <w:top w:val="single" w:sz="4" w:space="0" w:color="auto"/>
              <w:left w:val="nil"/>
              <w:bottom w:val="single" w:sz="8" w:space="0" w:color="auto"/>
              <w:right w:val="nil"/>
            </w:tcBorders>
            <w:shd w:val="clear" w:color="000000" w:fill="B8CCE4"/>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 xml:space="preserve">38,800 </w:t>
            </w:r>
          </w:p>
        </w:tc>
        <w:tc>
          <w:tcPr>
            <w:tcW w:w="296" w:type="pct"/>
            <w:tcBorders>
              <w:top w:val="single" w:sz="4" w:space="0" w:color="auto"/>
              <w:left w:val="nil"/>
              <w:bottom w:val="single" w:sz="8" w:space="0" w:color="auto"/>
              <w:right w:val="nil"/>
            </w:tcBorders>
            <w:shd w:val="clear" w:color="000000" w:fill="B8CCE4"/>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 xml:space="preserve">45,800 </w:t>
            </w:r>
          </w:p>
        </w:tc>
        <w:tc>
          <w:tcPr>
            <w:tcW w:w="296" w:type="pct"/>
            <w:tcBorders>
              <w:top w:val="single" w:sz="4" w:space="0" w:color="auto"/>
              <w:left w:val="nil"/>
              <w:bottom w:val="single" w:sz="8" w:space="0" w:color="auto"/>
              <w:right w:val="nil"/>
            </w:tcBorders>
            <w:shd w:val="clear" w:color="000000" w:fill="B8CCE4"/>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 xml:space="preserve">53,300 </w:t>
            </w:r>
          </w:p>
        </w:tc>
        <w:tc>
          <w:tcPr>
            <w:tcW w:w="296" w:type="pct"/>
            <w:tcBorders>
              <w:top w:val="single" w:sz="4" w:space="0" w:color="auto"/>
              <w:left w:val="nil"/>
              <w:bottom w:val="single" w:sz="8" w:space="0" w:color="auto"/>
              <w:right w:val="nil"/>
            </w:tcBorders>
            <w:shd w:val="clear" w:color="000000" w:fill="B8CCE4"/>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 xml:space="preserve">53,700 </w:t>
            </w:r>
          </w:p>
        </w:tc>
        <w:tc>
          <w:tcPr>
            <w:tcW w:w="296" w:type="pct"/>
            <w:tcBorders>
              <w:top w:val="single" w:sz="4" w:space="0" w:color="auto"/>
              <w:left w:val="nil"/>
              <w:bottom w:val="single" w:sz="8" w:space="0" w:color="auto"/>
              <w:right w:val="nil"/>
            </w:tcBorders>
            <w:shd w:val="clear" w:color="000000" w:fill="B8CCE4"/>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 xml:space="preserve">60,800 </w:t>
            </w:r>
          </w:p>
        </w:tc>
        <w:tc>
          <w:tcPr>
            <w:tcW w:w="296" w:type="pct"/>
            <w:tcBorders>
              <w:top w:val="single" w:sz="4" w:space="0" w:color="auto"/>
              <w:left w:val="nil"/>
              <w:bottom w:val="single" w:sz="8" w:space="0" w:color="auto"/>
              <w:right w:val="nil"/>
            </w:tcBorders>
            <w:shd w:val="clear" w:color="000000" w:fill="B8CCE4"/>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 xml:space="preserve">45,800 </w:t>
            </w:r>
          </w:p>
        </w:tc>
        <w:tc>
          <w:tcPr>
            <w:tcW w:w="296" w:type="pct"/>
            <w:tcBorders>
              <w:top w:val="single" w:sz="4" w:space="0" w:color="auto"/>
              <w:left w:val="nil"/>
              <w:bottom w:val="single" w:sz="8" w:space="0" w:color="auto"/>
              <w:right w:val="nil"/>
            </w:tcBorders>
            <w:shd w:val="clear" w:color="000000" w:fill="B8CCE4"/>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 xml:space="preserve">47,700 </w:t>
            </w:r>
          </w:p>
        </w:tc>
        <w:tc>
          <w:tcPr>
            <w:tcW w:w="296" w:type="pct"/>
            <w:tcBorders>
              <w:top w:val="single" w:sz="4" w:space="0" w:color="auto"/>
              <w:left w:val="nil"/>
              <w:bottom w:val="single" w:sz="8" w:space="0" w:color="auto"/>
              <w:right w:val="nil"/>
            </w:tcBorders>
            <w:shd w:val="clear" w:color="000000" w:fill="B8CCE4"/>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 xml:space="preserve">47,600 </w:t>
            </w:r>
          </w:p>
        </w:tc>
        <w:tc>
          <w:tcPr>
            <w:tcW w:w="343" w:type="pct"/>
            <w:tcBorders>
              <w:top w:val="single" w:sz="4" w:space="0" w:color="auto"/>
              <w:left w:val="nil"/>
              <w:bottom w:val="single" w:sz="8" w:space="0" w:color="auto"/>
              <w:right w:val="nil"/>
            </w:tcBorders>
            <w:shd w:val="clear" w:color="000000" w:fill="B8CCE4"/>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 xml:space="preserve">646,700 </w:t>
            </w:r>
          </w:p>
        </w:tc>
      </w:tr>
      <w:tr w:rsidR="000D3B83" w:rsidTr="00034B38">
        <w:trPr>
          <w:trHeight w:val="212"/>
        </w:trPr>
        <w:tc>
          <w:tcPr>
            <w:tcW w:w="909" w:type="pct"/>
            <w:tcBorders>
              <w:top w:val="nil"/>
              <w:left w:val="single" w:sz="4" w:space="0" w:color="auto"/>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94" w:type="pct"/>
            <w:tcBorders>
              <w:top w:val="nil"/>
              <w:left w:val="nil"/>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88" w:type="pct"/>
            <w:tcBorders>
              <w:top w:val="nil"/>
              <w:left w:val="nil"/>
              <w:bottom w:val="nil"/>
              <w:right w:val="single" w:sz="4" w:space="0" w:color="auto"/>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69"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eastAsia="Times New Roman" w:cs="Arial"/>
                <w:color w:val="auto"/>
                <w:sz w:val="18"/>
                <w:szCs w:val="18"/>
              </w:rPr>
            </w:pPr>
          </w:p>
        </w:tc>
        <w:tc>
          <w:tcPr>
            <w:tcW w:w="33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343"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r>
      <w:tr w:rsidR="000D3B83" w:rsidTr="00034B38">
        <w:trPr>
          <w:trHeight w:val="212"/>
        </w:trPr>
        <w:tc>
          <w:tcPr>
            <w:tcW w:w="909" w:type="pct"/>
            <w:tcBorders>
              <w:top w:val="nil"/>
              <w:left w:val="single" w:sz="4" w:space="0" w:color="auto"/>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94" w:type="pct"/>
            <w:tcBorders>
              <w:top w:val="nil"/>
              <w:left w:val="nil"/>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88" w:type="pct"/>
            <w:tcBorders>
              <w:top w:val="nil"/>
              <w:left w:val="nil"/>
              <w:bottom w:val="nil"/>
              <w:right w:val="single" w:sz="4" w:space="0" w:color="auto"/>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69"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eastAsia="Times New Roman" w:cs="Arial"/>
                <w:color w:val="auto"/>
                <w:sz w:val="18"/>
                <w:szCs w:val="18"/>
              </w:rPr>
            </w:pPr>
          </w:p>
        </w:tc>
        <w:tc>
          <w:tcPr>
            <w:tcW w:w="33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343"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r>
      <w:tr w:rsidR="000D3B83" w:rsidTr="00034B38">
        <w:trPr>
          <w:trHeight w:val="212"/>
        </w:trPr>
        <w:tc>
          <w:tcPr>
            <w:tcW w:w="909" w:type="pct"/>
            <w:tcBorders>
              <w:top w:val="nil"/>
              <w:left w:val="single" w:sz="4" w:space="0" w:color="auto"/>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94" w:type="pct"/>
            <w:tcBorders>
              <w:top w:val="nil"/>
              <w:left w:val="nil"/>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88" w:type="pct"/>
            <w:tcBorders>
              <w:top w:val="nil"/>
              <w:left w:val="nil"/>
              <w:bottom w:val="nil"/>
              <w:right w:val="single" w:sz="4" w:space="0" w:color="auto"/>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69"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eastAsia="Times New Roman" w:cs="Arial"/>
                <w:color w:val="auto"/>
                <w:sz w:val="18"/>
                <w:szCs w:val="18"/>
              </w:rPr>
            </w:pPr>
          </w:p>
        </w:tc>
        <w:tc>
          <w:tcPr>
            <w:tcW w:w="33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343"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r>
      <w:tr w:rsidR="000D3B83" w:rsidTr="00034B38">
        <w:trPr>
          <w:trHeight w:val="212"/>
        </w:trPr>
        <w:tc>
          <w:tcPr>
            <w:tcW w:w="909" w:type="pct"/>
            <w:tcBorders>
              <w:top w:val="single" w:sz="4" w:space="0" w:color="auto"/>
              <w:left w:val="single" w:sz="4" w:space="0" w:color="auto"/>
              <w:bottom w:val="single" w:sz="4" w:space="0" w:color="auto"/>
              <w:right w:val="nil"/>
            </w:tcBorders>
            <w:shd w:val="clear" w:color="000000" w:fill="95B3D7"/>
            <w:noWrap/>
            <w:vAlign w:val="bottom"/>
            <w:hideMark/>
          </w:tcPr>
          <w:p w:rsidR="003B641E" w:rsidRPr="00194DFB" w:rsidRDefault="00950409" w:rsidP="00034B38">
            <w:pPr>
              <w:spacing w:after="0" w:line="240" w:lineRule="auto"/>
              <w:jc w:val="left"/>
              <w:rPr>
                <w:rFonts w:eastAsia="Times New Roman" w:cs="Arial"/>
                <w:b/>
                <w:bCs/>
                <w:color w:val="auto"/>
                <w:sz w:val="18"/>
                <w:szCs w:val="18"/>
              </w:rPr>
            </w:pPr>
            <w:r w:rsidRPr="00194DFB">
              <w:rPr>
                <w:rFonts w:eastAsia="Times New Roman" w:cs="Arial"/>
                <w:b/>
                <w:bCs/>
                <w:color w:val="auto"/>
                <w:sz w:val="18"/>
                <w:szCs w:val="18"/>
              </w:rPr>
              <w:t>Payments :</w:t>
            </w:r>
          </w:p>
        </w:tc>
        <w:tc>
          <w:tcPr>
            <w:tcW w:w="94" w:type="pct"/>
            <w:tcBorders>
              <w:top w:val="single" w:sz="4" w:space="0" w:color="auto"/>
              <w:left w:val="nil"/>
              <w:bottom w:val="single" w:sz="4" w:space="0" w:color="auto"/>
              <w:right w:val="nil"/>
            </w:tcBorders>
            <w:shd w:val="clear" w:color="000000" w:fill="95B3D7"/>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88" w:type="pct"/>
            <w:tcBorders>
              <w:top w:val="single" w:sz="4" w:space="0" w:color="auto"/>
              <w:left w:val="nil"/>
              <w:bottom w:val="single" w:sz="4" w:space="0" w:color="auto"/>
              <w:right w:val="single" w:sz="4" w:space="0" w:color="auto"/>
            </w:tcBorders>
            <w:shd w:val="clear" w:color="000000" w:fill="95B3D7"/>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69" w:type="pct"/>
            <w:tcBorders>
              <w:top w:val="nil"/>
              <w:left w:val="nil"/>
              <w:bottom w:val="nil"/>
              <w:right w:val="nil"/>
            </w:tcBorders>
            <w:shd w:val="clear" w:color="000000" w:fill="FFFFFF"/>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w:t>
            </w:r>
          </w:p>
        </w:tc>
        <w:tc>
          <w:tcPr>
            <w:tcW w:w="336" w:type="pct"/>
            <w:tcBorders>
              <w:top w:val="nil"/>
              <w:left w:val="nil"/>
              <w:bottom w:val="nil"/>
              <w:right w:val="nil"/>
            </w:tcBorders>
            <w:shd w:val="clear" w:color="000000" w:fill="FFFFFF"/>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w:t>
            </w:r>
          </w:p>
        </w:tc>
        <w:tc>
          <w:tcPr>
            <w:tcW w:w="296" w:type="pct"/>
            <w:tcBorders>
              <w:top w:val="nil"/>
              <w:left w:val="nil"/>
              <w:bottom w:val="nil"/>
              <w:right w:val="nil"/>
            </w:tcBorders>
            <w:shd w:val="clear" w:color="000000" w:fill="FFFFFF"/>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w:t>
            </w:r>
          </w:p>
        </w:tc>
        <w:tc>
          <w:tcPr>
            <w:tcW w:w="296" w:type="pct"/>
            <w:tcBorders>
              <w:top w:val="nil"/>
              <w:left w:val="nil"/>
              <w:bottom w:val="nil"/>
              <w:right w:val="nil"/>
            </w:tcBorders>
            <w:shd w:val="clear" w:color="000000" w:fill="FFFFFF"/>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w:t>
            </w:r>
          </w:p>
        </w:tc>
        <w:tc>
          <w:tcPr>
            <w:tcW w:w="296" w:type="pct"/>
            <w:tcBorders>
              <w:top w:val="nil"/>
              <w:left w:val="nil"/>
              <w:bottom w:val="nil"/>
              <w:right w:val="nil"/>
            </w:tcBorders>
            <w:shd w:val="clear" w:color="000000" w:fill="FFFFFF"/>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w:t>
            </w:r>
          </w:p>
        </w:tc>
        <w:tc>
          <w:tcPr>
            <w:tcW w:w="296" w:type="pct"/>
            <w:tcBorders>
              <w:top w:val="nil"/>
              <w:left w:val="nil"/>
              <w:bottom w:val="nil"/>
              <w:right w:val="nil"/>
            </w:tcBorders>
            <w:shd w:val="clear" w:color="000000" w:fill="FFFFFF"/>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w:t>
            </w:r>
          </w:p>
        </w:tc>
        <w:tc>
          <w:tcPr>
            <w:tcW w:w="296" w:type="pct"/>
            <w:tcBorders>
              <w:top w:val="nil"/>
              <w:left w:val="nil"/>
              <w:bottom w:val="nil"/>
              <w:right w:val="nil"/>
            </w:tcBorders>
            <w:shd w:val="clear" w:color="000000" w:fill="FFFFFF"/>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96" w:type="pct"/>
            <w:tcBorders>
              <w:top w:val="nil"/>
              <w:left w:val="nil"/>
              <w:bottom w:val="nil"/>
              <w:right w:val="nil"/>
            </w:tcBorders>
            <w:shd w:val="clear" w:color="000000" w:fill="FFFFFF"/>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96" w:type="pct"/>
            <w:tcBorders>
              <w:top w:val="nil"/>
              <w:left w:val="nil"/>
              <w:bottom w:val="nil"/>
              <w:right w:val="nil"/>
            </w:tcBorders>
            <w:shd w:val="clear" w:color="000000" w:fill="FFFFFF"/>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96" w:type="pct"/>
            <w:tcBorders>
              <w:top w:val="nil"/>
              <w:left w:val="nil"/>
              <w:bottom w:val="nil"/>
              <w:right w:val="nil"/>
            </w:tcBorders>
            <w:shd w:val="clear" w:color="000000" w:fill="FFFFFF"/>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96" w:type="pct"/>
            <w:tcBorders>
              <w:top w:val="nil"/>
              <w:left w:val="nil"/>
              <w:bottom w:val="nil"/>
              <w:right w:val="nil"/>
            </w:tcBorders>
            <w:shd w:val="clear" w:color="000000" w:fill="FFFFFF"/>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96" w:type="pct"/>
            <w:tcBorders>
              <w:top w:val="nil"/>
              <w:left w:val="nil"/>
              <w:bottom w:val="nil"/>
              <w:right w:val="nil"/>
            </w:tcBorders>
            <w:shd w:val="clear" w:color="000000" w:fill="FFFFFF"/>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343" w:type="pct"/>
            <w:tcBorders>
              <w:top w:val="nil"/>
              <w:left w:val="nil"/>
              <w:bottom w:val="nil"/>
              <w:right w:val="nil"/>
            </w:tcBorders>
            <w:shd w:val="clear" w:color="000000" w:fill="FFFFFF"/>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r>
      <w:tr w:rsidR="000D3B83" w:rsidTr="00034B38">
        <w:trPr>
          <w:trHeight w:val="212"/>
        </w:trPr>
        <w:tc>
          <w:tcPr>
            <w:tcW w:w="909" w:type="pct"/>
            <w:tcBorders>
              <w:top w:val="nil"/>
              <w:left w:val="single" w:sz="4" w:space="0" w:color="auto"/>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Room Beverages</w:t>
            </w:r>
          </w:p>
        </w:tc>
        <w:tc>
          <w:tcPr>
            <w:tcW w:w="94" w:type="pct"/>
            <w:tcBorders>
              <w:top w:val="nil"/>
              <w:left w:val="nil"/>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88" w:type="pct"/>
            <w:tcBorders>
              <w:top w:val="nil"/>
              <w:left w:val="nil"/>
              <w:bottom w:val="nil"/>
              <w:right w:val="single" w:sz="4" w:space="0" w:color="auto"/>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69"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eastAsia="Times New Roman" w:cs="Arial"/>
                <w:color w:val="auto"/>
                <w:sz w:val="18"/>
                <w:szCs w:val="18"/>
              </w:rPr>
            </w:pPr>
          </w:p>
        </w:tc>
        <w:tc>
          <w:tcPr>
            <w:tcW w:w="33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xml:space="preserve">250 </w:t>
            </w: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eastAsia="Times New Roman" w:cs="Arial"/>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xml:space="preserve">250 </w:t>
            </w: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eastAsia="Times New Roman" w:cs="Arial"/>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250 </w:t>
            </w: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right"/>
              <w:rPr>
                <w:rFonts w:eastAsia="Times New Roman" w:cs="Arial"/>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250 </w:t>
            </w: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right"/>
              <w:rPr>
                <w:rFonts w:eastAsia="Times New Roman" w:cs="Arial"/>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250 </w:t>
            </w:r>
          </w:p>
        </w:tc>
        <w:tc>
          <w:tcPr>
            <w:tcW w:w="343"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1,250 </w:t>
            </w:r>
          </w:p>
        </w:tc>
      </w:tr>
      <w:tr w:rsidR="000D3B83" w:rsidTr="00034B38">
        <w:trPr>
          <w:trHeight w:val="212"/>
        </w:trPr>
        <w:tc>
          <w:tcPr>
            <w:tcW w:w="909" w:type="pct"/>
            <w:tcBorders>
              <w:top w:val="nil"/>
              <w:left w:val="single" w:sz="4" w:space="0" w:color="auto"/>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Building insurence</w:t>
            </w:r>
          </w:p>
        </w:tc>
        <w:tc>
          <w:tcPr>
            <w:tcW w:w="94" w:type="pct"/>
            <w:tcBorders>
              <w:top w:val="nil"/>
              <w:left w:val="nil"/>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88" w:type="pct"/>
            <w:tcBorders>
              <w:top w:val="nil"/>
              <w:left w:val="nil"/>
              <w:bottom w:val="nil"/>
              <w:right w:val="single" w:sz="4" w:space="0" w:color="auto"/>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69"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xml:space="preserve"> </w:t>
            </w:r>
          </w:p>
        </w:tc>
        <w:tc>
          <w:tcPr>
            <w:tcW w:w="33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eastAsia="Times New Roman" w:cs="Arial"/>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xml:space="preserve"> </w:t>
            </w: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eastAsia="Times New Roman" w:cs="Arial"/>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2,500 </w:t>
            </w: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right"/>
              <w:rPr>
                <w:rFonts w:eastAsia="Times New Roman" w:cs="Arial"/>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343"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2,500 </w:t>
            </w:r>
          </w:p>
        </w:tc>
      </w:tr>
      <w:tr w:rsidR="000D3B83" w:rsidTr="00034B38">
        <w:trPr>
          <w:trHeight w:val="212"/>
        </w:trPr>
        <w:tc>
          <w:tcPr>
            <w:tcW w:w="909" w:type="pct"/>
            <w:tcBorders>
              <w:top w:val="nil"/>
              <w:left w:val="single" w:sz="4" w:space="0" w:color="auto"/>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Fixtures and fittings</w:t>
            </w:r>
          </w:p>
        </w:tc>
        <w:tc>
          <w:tcPr>
            <w:tcW w:w="94" w:type="pct"/>
            <w:tcBorders>
              <w:top w:val="nil"/>
              <w:left w:val="nil"/>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88" w:type="pct"/>
            <w:tcBorders>
              <w:top w:val="nil"/>
              <w:left w:val="nil"/>
              <w:bottom w:val="nil"/>
              <w:right w:val="single" w:sz="4" w:space="0" w:color="auto"/>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69"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xml:space="preserve"> </w:t>
            </w:r>
          </w:p>
        </w:tc>
        <w:tc>
          <w:tcPr>
            <w:tcW w:w="33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eastAsia="Times New Roman" w:cs="Arial"/>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xml:space="preserve"> </w:t>
            </w: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eastAsia="Times New Roman" w:cs="Arial"/>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1,750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1,750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1,750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1,750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xml:space="preserve">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xml:space="preserve"> </w:t>
            </w: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eastAsia="Times New Roman" w:cs="Arial"/>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xml:space="preserve"> </w:t>
            </w:r>
          </w:p>
        </w:tc>
        <w:tc>
          <w:tcPr>
            <w:tcW w:w="343"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7,000 </w:t>
            </w:r>
          </w:p>
        </w:tc>
      </w:tr>
      <w:tr w:rsidR="000D3B83" w:rsidTr="00034B38">
        <w:trPr>
          <w:trHeight w:val="212"/>
        </w:trPr>
        <w:tc>
          <w:tcPr>
            <w:tcW w:w="909" w:type="pct"/>
            <w:tcBorders>
              <w:top w:val="nil"/>
              <w:left w:val="single" w:sz="4" w:space="0" w:color="auto"/>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Property expenses</w:t>
            </w:r>
          </w:p>
        </w:tc>
        <w:tc>
          <w:tcPr>
            <w:tcW w:w="94" w:type="pct"/>
            <w:tcBorders>
              <w:top w:val="nil"/>
              <w:left w:val="nil"/>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88" w:type="pct"/>
            <w:tcBorders>
              <w:top w:val="nil"/>
              <w:left w:val="nil"/>
              <w:bottom w:val="nil"/>
              <w:right w:val="single" w:sz="4" w:space="0" w:color="auto"/>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69"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1,500 </w:t>
            </w:r>
          </w:p>
        </w:tc>
        <w:tc>
          <w:tcPr>
            <w:tcW w:w="33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1,500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1,500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1,500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1,500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1,500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1,500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1,500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1,500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1,500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1,500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1,500 </w:t>
            </w:r>
          </w:p>
        </w:tc>
        <w:tc>
          <w:tcPr>
            <w:tcW w:w="343"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18,000 </w:t>
            </w:r>
          </w:p>
        </w:tc>
      </w:tr>
      <w:tr w:rsidR="000D3B83" w:rsidTr="00034B38">
        <w:trPr>
          <w:trHeight w:val="212"/>
        </w:trPr>
        <w:tc>
          <w:tcPr>
            <w:tcW w:w="909" w:type="pct"/>
            <w:tcBorders>
              <w:top w:val="nil"/>
              <w:left w:val="single" w:sz="4" w:space="0" w:color="auto"/>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Sky+ P.License</w:t>
            </w:r>
          </w:p>
        </w:tc>
        <w:tc>
          <w:tcPr>
            <w:tcW w:w="94" w:type="pct"/>
            <w:tcBorders>
              <w:top w:val="nil"/>
              <w:left w:val="nil"/>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88" w:type="pct"/>
            <w:tcBorders>
              <w:top w:val="nil"/>
              <w:left w:val="nil"/>
              <w:bottom w:val="nil"/>
              <w:right w:val="single" w:sz="4" w:space="0" w:color="auto"/>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69"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250 </w:t>
            </w:r>
          </w:p>
        </w:tc>
        <w:tc>
          <w:tcPr>
            <w:tcW w:w="33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250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250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250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250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250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250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250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250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250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250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3,250 </w:t>
            </w:r>
          </w:p>
        </w:tc>
        <w:tc>
          <w:tcPr>
            <w:tcW w:w="343"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6,000 </w:t>
            </w:r>
          </w:p>
        </w:tc>
      </w:tr>
      <w:tr w:rsidR="000D3B83" w:rsidTr="00034B38">
        <w:trPr>
          <w:trHeight w:val="212"/>
        </w:trPr>
        <w:tc>
          <w:tcPr>
            <w:tcW w:w="909" w:type="pct"/>
            <w:tcBorders>
              <w:top w:val="nil"/>
              <w:left w:val="single" w:sz="4" w:space="0" w:color="auto"/>
              <w:bottom w:val="nil"/>
              <w:right w:val="nil"/>
            </w:tcBorders>
            <w:shd w:val="clear" w:color="000000" w:fill="FFFF00"/>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Energy costs</w:t>
            </w:r>
          </w:p>
        </w:tc>
        <w:tc>
          <w:tcPr>
            <w:tcW w:w="94" w:type="pct"/>
            <w:tcBorders>
              <w:top w:val="nil"/>
              <w:left w:val="nil"/>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88" w:type="pct"/>
            <w:tcBorders>
              <w:top w:val="nil"/>
              <w:left w:val="nil"/>
              <w:bottom w:val="nil"/>
              <w:right w:val="single" w:sz="4" w:space="0" w:color="auto"/>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69"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800 </w:t>
            </w:r>
          </w:p>
        </w:tc>
        <w:tc>
          <w:tcPr>
            <w:tcW w:w="33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800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800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800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800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800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800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800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800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800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800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800 </w:t>
            </w:r>
          </w:p>
        </w:tc>
        <w:tc>
          <w:tcPr>
            <w:tcW w:w="343"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9,600 </w:t>
            </w:r>
          </w:p>
        </w:tc>
      </w:tr>
      <w:tr w:rsidR="000D3B83" w:rsidTr="00034B38">
        <w:trPr>
          <w:trHeight w:val="212"/>
        </w:trPr>
        <w:tc>
          <w:tcPr>
            <w:tcW w:w="909" w:type="pct"/>
            <w:tcBorders>
              <w:top w:val="nil"/>
              <w:left w:val="single" w:sz="4" w:space="0" w:color="auto"/>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Payments to suppliers</w:t>
            </w:r>
          </w:p>
        </w:tc>
        <w:tc>
          <w:tcPr>
            <w:tcW w:w="94" w:type="pct"/>
            <w:tcBorders>
              <w:top w:val="nil"/>
              <w:left w:val="nil"/>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88" w:type="pct"/>
            <w:tcBorders>
              <w:top w:val="nil"/>
              <w:left w:val="nil"/>
              <w:bottom w:val="nil"/>
              <w:right w:val="single" w:sz="4" w:space="0" w:color="auto"/>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69"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xml:space="preserve"> </w:t>
            </w:r>
          </w:p>
        </w:tc>
        <w:tc>
          <w:tcPr>
            <w:tcW w:w="33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xml:space="preserve">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xml:space="preserve">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xml:space="preserve">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xml:space="preserve">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xml:space="preserve">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xml:space="preserve">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xml:space="preserve">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xml:space="preserve">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xml:space="preserve">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xml:space="preserve">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xml:space="preserve"> </w:t>
            </w:r>
          </w:p>
        </w:tc>
        <w:tc>
          <w:tcPr>
            <w:tcW w:w="343"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eastAsia="Times New Roman" w:cs="Arial"/>
                <w:color w:val="auto"/>
                <w:sz w:val="18"/>
                <w:szCs w:val="18"/>
              </w:rPr>
            </w:pPr>
          </w:p>
        </w:tc>
      </w:tr>
      <w:tr w:rsidR="000D3B83" w:rsidTr="00034B38">
        <w:trPr>
          <w:trHeight w:val="212"/>
        </w:trPr>
        <w:tc>
          <w:tcPr>
            <w:tcW w:w="909" w:type="pct"/>
            <w:tcBorders>
              <w:top w:val="nil"/>
              <w:left w:val="single" w:sz="4" w:space="0" w:color="auto"/>
              <w:bottom w:val="nil"/>
              <w:right w:val="nil"/>
            </w:tcBorders>
            <w:shd w:val="clear" w:color="000000" w:fill="FFFF00"/>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Wages</w:t>
            </w:r>
          </w:p>
        </w:tc>
        <w:tc>
          <w:tcPr>
            <w:tcW w:w="94" w:type="pct"/>
            <w:tcBorders>
              <w:top w:val="nil"/>
              <w:left w:val="nil"/>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88" w:type="pct"/>
            <w:tcBorders>
              <w:top w:val="nil"/>
              <w:left w:val="nil"/>
              <w:bottom w:val="nil"/>
              <w:right w:val="single" w:sz="4" w:space="0" w:color="auto"/>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69" w:type="pct"/>
            <w:tcBorders>
              <w:top w:val="nil"/>
              <w:left w:val="nil"/>
              <w:bottom w:val="nil"/>
              <w:right w:val="nil"/>
            </w:tcBorders>
            <w:shd w:val="clear" w:color="000000" w:fill="FFFF00"/>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3,000 </w:t>
            </w:r>
          </w:p>
        </w:tc>
        <w:tc>
          <w:tcPr>
            <w:tcW w:w="33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3,000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3,000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3,000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3,000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3,000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3,000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3,000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3,000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3,000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3,000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3,000 </w:t>
            </w:r>
          </w:p>
        </w:tc>
        <w:tc>
          <w:tcPr>
            <w:tcW w:w="343"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36,000 </w:t>
            </w:r>
          </w:p>
        </w:tc>
      </w:tr>
      <w:tr w:rsidR="000D3B83" w:rsidTr="00034B38">
        <w:trPr>
          <w:trHeight w:val="212"/>
        </w:trPr>
        <w:tc>
          <w:tcPr>
            <w:tcW w:w="909" w:type="pct"/>
            <w:tcBorders>
              <w:top w:val="nil"/>
              <w:left w:val="single" w:sz="4" w:space="0" w:color="auto"/>
              <w:bottom w:val="nil"/>
              <w:right w:val="nil"/>
            </w:tcBorders>
            <w:shd w:val="clear" w:color="000000" w:fill="FFFF00"/>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V. Valeted</w:t>
            </w:r>
          </w:p>
        </w:tc>
        <w:tc>
          <w:tcPr>
            <w:tcW w:w="94" w:type="pct"/>
            <w:tcBorders>
              <w:top w:val="nil"/>
              <w:left w:val="nil"/>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88" w:type="pct"/>
            <w:tcBorders>
              <w:top w:val="nil"/>
              <w:left w:val="nil"/>
              <w:bottom w:val="nil"/>
              <w:right w:val="single" w:sz="4" w:space="0" w:color="auto"/>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69"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140 </w:t>
            </w:r>
          </w:p>
        </w:tc>
        <w:tc>
          <w:tcPr>
            <w:tcW w:w="33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140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140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140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140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140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140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140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140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140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140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140 </w:t>
            </w:r>
          </w:p>
        </w:tc>
        <w:tc>
          <w:tcPr>
            <w:tcW w:w="343"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1,680 </w:t>
            </w:r>
          </w:p>
        </w:tc>
      </w:tr>
      <w:tr w:rsidR="000D3B83" w:rsidTr="00034B38">
        <w:trPr>
          <w:trHeight w:val="212"/>
        </w:trPr>
        <w:tc>
          <w:tcPr>
            <w:tcW w:w="909" w:type="pct"/>
            <w:tcBorders>
              <w:top w:val="nil"/>
              <w:left w:val="single" w:sz="4" w:space="0" w:color="auto"/>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xml:space="preserve">Vehicles </w:t>
            </w:r>
          </w:p>
        </w:tc>
        <w:tc>
          <w:tcPr>
            <w:tcW w:w="94" w:type="pct"/>
            <w:tcBorders>
              <w:top w:val="nil"/>
              <w:left w:val="nil"/>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88" w:type="pct"/>
            <w:tcBorders>
              <w:top w:val="nil"/>
              <w:left w:val="nil"/>
              <w:bottom w:val="nil"/>
              <w:right w:val="single" w:sz="4" w:space="0" w:color="auto"/>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69"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275 </w:t>
            </w:r>
          </w:p>
        </w:tc>
        <w:tc>
          <w:tcPr>
            <w:tcW w:w="33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275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275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275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275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275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275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275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275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275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275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275 </w:t>
            </w:r>
          </w:p>
        </w:tc>
        <w:tc>
          <w:tcPr>
            <w:tcW w:w="343"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3,300 </w:t>
            </w:r>
          </w:p>
        </w:tc>
      </w:tr>
      <w:tr w:rsidR="000D3B83" w:rsidTr="00034B38">
        <w:trPr>
          <w:trHeight w:val="212"/>
        </w:trPr>
        <w:tc>
          <w:tcPr>
            <w:tcW w:w="909" w:type="pct"/>
            <w:tcBorders>
              <w:top w:val="nil"/>
              <w:left w:val="single" w:sz="4" w:space="0" w:color="auto"/>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Third P. Insurence</w:t>
            </w:r>
          </w:p>
        </w:tc>
        <w:tc>
          <w:tcPr>
            <w:tcW w:w="94" w:type="pct"/>
            <w:tcBorders>
              <w:top w:val="nil"/>
              <w:left w:val="nil"/>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88" w:type="pct"/>
            <w:tcBorders>
              <w:top w:val="nil"/>
              <w:left w:val="nil"/>
              <w:bottom w:val="nil"/>
              <w:right w:val="single" w:sz="4" w:space="0" w:color="auto"/>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69"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eastAsia="Times New Roman" w:cs="Arial"/>
                <w:color w:val="auto"/>
                <w:sz w:val="18"/>
                <w:szCs w:val="18"/>
              </w:rPr>
            </w:pPr>
          </w:p>
        </w:tc>
        <w:tc>
          <w:tcPr>
            <w:tcW w:w="33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xml:space="preserve">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xml:space="preserve">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xml:space="preserve">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xml:space="preserve">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xml:space="preserve">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xml:space="preserve">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xml:space="preserve">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xml:space="preserve">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xml:space="preserve">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xml:space="preserve">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4,000 </w:t>
            </w:r>
          </w:p>
        </w:tc>
        <w:tc>
          <w:tcPr>
            <w:tcW w:w="343"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4,000 </w:t>
            </w:r>
          </w:p>
        </w:tc>
      </w:tr>
      <w:tr w:rsidR="000D3B83" w:rsidTr="00034B38">
        <w:trPr>
          <w:trHeight w:val="212"/>
        </w:trPr>
        <w:tc>
          <w:tcPr>
            <w:tcW w:w="909" w:type="pct"/>
            <w:tcBorders>
              <w:top w:val="nil"/>
              <w:left w:val="single" w:sz="4" w:space="0" w:color="auto"/>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Petrol and diesel</w:t>
            </w:r>
          </w:p>
        </w:tc>
        <w:tc>
          <w:tcPr>
            <w:tcW w:w="94" w:type="pct"/>
            <w:tcBorders>
              <w:top w:val="nil"/>
              <w:left w:val="nil"/>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88" w:type="pct"/>
            <w:tcBorders>
              <w:top w:val="nil"/>
              <w:left w:val="nil"/>
              <w:bottom w:val="nil"/>
              <w:right w:val="single" w:sz="4" w:space="0" w:color="auto"/>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69"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500 </w:t>
            </w:r>
          </w:p>
        </w:tc>
        <w:tc>
          <w:tcPr>
            <w:tcW w:w="33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500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500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500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500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500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500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500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500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500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500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500 </w:t>
            </w:r>
          </w:p>
        </w:tc>
        <w:tc>
          <w:tcPr>
            <w:tcW w:w="343"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6,000 </w:t>
            </w:r>
          </w:p>
        </w:tc>
      </w:tr>
      <w:tr w:rsidR="000D3B83" w:rsidTr="00034B38">
        <w:trPr>
          <w:trHeight w:val="212"/>
        </w:trPr>
        <w:tc>
          <w:tcPr>
            <w:tcW w:w="909" w:type="pct"/>
            <w:tcBorders>
              <w:top w:val="nil"/>
              <w:left w:val="single" w:sz="4" w:space="0" w:color="auto"/>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Rates</w:t>
            </w:r>
          </w:p>
        </w:tc>
        <w:tc>
          <w:tcPr>
            <w:tcW w:w="94" w:type="pct"/>
            <w:tcBorders>
              <w:top w:val="nil"/>
              <w:left w:val="nil"/>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88" w:type="pct"/>
            <w:tcBorders>
              <w:top w:val="nil"/>
              <w:left w:val="nil"/>
              <w:bottom w:val="nil"/>
              <w:right w:val="single" w:sz="4" w:space="0" w:color="auto"/>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69"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400 </w:t>
            </w:r>
          </w:p>
        </w:tc>
        <w:tc>
          <w:tcPr>
            <w:tcW w:w="33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400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400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400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400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400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400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400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400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400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400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400 </w:t>
            </w:r>
          </w:p>
        </w:tc>
        <w:tc>
          <w:tcPr>
            <w:tcW w:w="343"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4,800 </w:t>
            </w:r>
          </w:p>
        </w:tc>
      </w:tr>
      <w:tr w:rsidR="000D3B83" w:rsidTr="00034B38">
        <w:trPr>
          <w:trHeight w:val="212"/>
        </w:trPr>
        <w:tc>
          <w:tcPr>
            <w:tcW w:w="909" w:type="pct"/>
            <w:tcBorders>
              <w:top w:val="nil"/>
              <w:left w:val="single" w:sz="4" w:space="0" w:color="auto"/>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Mini Bar</w:t>
            </w:r>
          </w:p>
        </w:tc>
        <w:tc>
          <w:tcPr>
            <w:tcW w:w="94" w:type="pct"/>
            <w:tcBorders>
              <w:top w:val="nil"/>
              <w:left w:val="nil"/>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88" w:type="pct"/>
            <w:tcBorders>
              <w:top w:val="nil"/>
              <w:left w:val="nil"/>
              <w:bottom w:val="nil"/>
              <w:right w:val="single" w:sz="4" w:space="0" w:color="auto"/>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69"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3,000 </w:t>
            </w:r>
          </w:p>
        </w:tc>
        <w:tc>
          <w:tcPr>
            <w:tcW w:w="33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3,000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3,000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3,000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3,000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3,000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3,000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3,000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3,000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3,000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3,000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3,000 </w:t>
            </w:r>
          </w:p>
        </w:tc>
        <w:tc>
          <w:tcPr>
            <w:tcW w:w="343"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36,000 </w:t>
            </w:r>
          </w:p>
        </w:tc>
      </w:tr>
      <w:tr w:rsidR="000D3B83" w:rsidTr="00034B38">
        <w:trPr>
          <w:trHeight w:val="212"/>
        </w:trPr>
        <w:tc>
          <w:tcPr>
            <w:tcW w:w="909" w:type="pct"/>
            <w:tcBorders>
              <w:top w:val="nil"/>
              <w:left w:val="single" w:sz="4" w:space="0" w:color="auto"/>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Overdraft Interest</w:t>
            </w:r>
          </w:p>
        </w:tc>
        <w:tc>
          <w:tcPr>
            <w:tcW w:w="94" w:type="pct"/>
            <w:tcBorders>
              <w:top w:val="nil"/>
              <w:left w:val="nil"/>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88" w:type="pct"/>
            <w:tcBorders>
              <w:top w:val="nil"/>
              <w:left w:val="nil"/>
              <w:bottom w:val="nil"/>
              <w:right w:val="single" w:sz="4" w:space="0" w:color="auto"/>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69"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eastAsia="Times New Roman" w:cs="Arial"/>
                <w:color w:val="auto"/>
                <w:sz w:val="18"/>
                <w:szCs w:val="18"/>
              </w:rPr>
            </w:pPr>
          </w:p>
        </w:tc>
        <w:tc>
          <w:tcPr>
            <w:tcW w:w="33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xml:space="preserve"> </w:t>
            </w: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eastAsia="Times New Roman" w:cs="Arial"/>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xml:space="preserve">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xml:space="preserve">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xml:space="preserve"> </w:t>
            </w: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eastAsia="Times New Roman" w:cs="Arial"/>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xml:space="preserve"> </w:t>
            </w: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eastAsia="Times New Roman" w:cs="Arial"/>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343"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r>
      <w:tr w:rsidR="000D3B83" w:rsidTr="00034B38">
        <w:trPr>
          <w:trHeight w:val="212"/>
        </w:trPr>
        <w:tc>
          <w:tcPr>
            <w:tcW w:w="909" w:type="pct"/>
            <w:tcBorders>
              <w:top w:val="nil"/>
              <w:left w:val="single" w:sz="4" w:space="0" w:color="auto"/>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Magazines</w:t>
            </w:r>
          </w:p>
        </w:tc>
        <w:tc>
          <w:tcPr>
            <w:tcW w:w="94" w:type="pct"/>
            <w:tcBorders>
              <w:top w:val="nil"/>
              <w:left w:val="nil"/>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88" w:type="pct"/>
            <w:tcBorders>
              <w:top w:val="nil"/>
              <w:left w:val="nil"/>
              <w:bottom w:val="nil"/>
              <w:right w:val="single" w:sz="4" w:space="0" w:color="auto"/>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69"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xml:space="preserve">150 </w:t>
            </w:r>
          </w:p>
        </w:tc>
        <w:tc>
          <w:tcPr>
            <w:tcW w:w="33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xml:space="preserve">450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xml:space="preserve">150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xml:space="preserve">150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xml:space="preserve">450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xml:space="preserve">150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150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150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xml:space="preserve">450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150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150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xml:space="preserve">450 </w:t>
            </w:r>
          </w:p>
        </w:tc>
        <w:tc>
          <w:tcPr>
            <w:tcW w:w="343"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right"/>
              <w:rPr>
                <w:rFonts w:eastAsia="Times New Roman" w:cs="Arial"/>
                <w:color w:val="auto"/>
                <w:sz w:val="18"/>
                <w:szCs w:val="18"/>
              </w:rPr>
            </w:pPr>
            <w:r w:rsidRPr="00194DFB">
              <w:rPr>
                <w:rFonts w:eastAsia="Times New Roman" w:cs="Arial"/>
                <w:color w:val="auto"/>
                <w:sz w:val="18"/>
                <w:szCs w:val="18"/>
              </w:rPr>
              <w:t xml:space="preserve">3,000 </w:t>
            </w:r>
          </w:p>
        </w:tc>
      </w:tr>
      <w:tr w:rsidR="000D3B83" w:rsidTr="00034B38">
        <w:trPr>
          <w:trHeight w:val="222"/>
        </w:trPr>
        <w:tc>
          <w:tcPr>
            <w:tcW w:w="909" w:type="pct"/>
            <w:tcBorders>
              <w:top w:val="single" w:sz="4" w:space="0" w:color="auto"/>
              <w:left w:val="single" w:sz="4" w:space="0" w:color="auto"/>
              <w:bottom w:val="single" w:sz="4" w:space="0" w:color="auto"/>
              <w:right w:val="nil"/>
            </w:tcBorders>
            <w:shd w:val="clear" w:color="000000" w:fill="95B3D7"/>
            <w:noWrap/>
            <w:vAlign w:val="bottom"/>
            <w:hideMark/>
          </w:tcPr>
          <w:p w:rsidR="003B641E" w:rsidRPr="00194DFB" w:rsidRDefault="00950409" w:rsidP="00034B38">
            <w:pPr>
              <w:spacing w:after="0" w:line="240" w:lineRule="auto"/>
              <w:jc w:val="left"/>
              <w:rPr>
                <w:rFonts w:eastAsia="Times New Roman" w:cs="Arial"/>
                <w:b/>
                <w:bCs/>
                <w:color w:val="auto"/>
                <w:sz w:val="18"/>
                <w:szCs w:val="18"/>
              </w:rPr>
            </w:pPr>
            <w:r w:rsidRPr="00194DFB">
              <w:rPr>
                <w:rFonts w:eastAsia="Times New Roman" w:cs="Arial"/>
                <w:b/>
                <w:bCs/>
                <w:color w:val="auto"/>
                <w:sz w:val="18"/>
                <w:szCs w:val="18"/>
              </w:rPr>
              <w:t>Total payments</w:t>
            </w:r>
          </w:p>
        </w:tc>
        <w:tc>
          <w:tcPr>
            <w:tcW w:w="94" w:type="pct"/>
            <w:tcBorders>
              <w:top w:val="single" w:sz="4" w:space="0" w:color="auto"/>
              <w:left w:val="nil"/>
              <w:bottom w:val="single" w:sz="4" w:space="0" w:color="auto"/>
              <w:right w:val="nil"/>
            </w:tcBorders>
            <w:shd w:val="clear" w:color="000000" w:fill="95B3D7"/>
            <w:noWrap/>
            <w:vAlign w:val="bottom"/>
            <w:hideMark/>
          </w:tcPr>
          <w:p w:rsidR="003B641E" w:rsidRPr="00194DFB" w:rsidRDefault="00950409" w:rsidP="00034B38">
            <w:pPr>
              <w:spacing w:after="0" w:line="240" w:lineRule="auto"/>
              <w:jc w:val="left"/>
              <w:rPr>
                <w:rFonts w:eastAsia="Times New Roman" w:cs="Arial"/>
                <w:b/>
                <w:bCs/>
                <w:color w:val="auto"/>
                <w:sz w:val="18"/>
                <w:szCs w:val="18"/>
              </w:rPr>
            </w:pPr>
            <w:r w:rsidRPr="00194DFB">
              <w:rPr>
                <w:rFonts w:eastAsia="Times New Roman" w:cs="Arial"/>
                <w:b/>
                <w:bCs/>
                <w:color w:val="auto"/>
                <w:sz w:val="18"/>
                <w:szCs w:val="18"/>
              </w:rPr>
              <w:t> </w:t>
            </w:r>
          </w:p>
        </w:tc>
        <w:tc>
          <w:tcPr>
            <w:tcW w:w="88" w:type="pct"/>
            <w:tcBorders>
              <w:top w:val="single" w:sz="4" w:space="0" w:color="auto"/>
              <w:left w:val="nil"/>
              <w:bottom w:val="single" w:sz="4" w:space="0" w:color="auto"/>
              <w:right w:val="single" w:sz="4" w:space="0" w:color="auto"/>
            </w:tcBorders>
            <w:shd w:val="clear" w:color="000000" w:fill="95B3D7"/>
            <w:noWrap/>
            <w:vAlign w:val="bottom"/>
            <w:hideMark/>
          </w:tcPr>
          <w:p w:rsidR="003B641E" w:rsidRPr="00194DFB" w:rsidRDefault="00950409" w:rsidP="00034B38">
            <w:pPr>
              <w:spacing w:after="0" w:line="240" w:lineRule="auto"/>
              <w:jc w:val="left"/>
              <w:rPr>
                <w:rFonts w:eastAsia="Times New Roman" w:cs="Arial"/>
                <w:b/>
                <w:bCs/>
                <w:color w:val="auto"/>
                <w:sz w:val="18"/>
                <w:szCs w:val="18"/>
              </w:rPr>
            </w:pPr>
            <w:r w:rsidRPr="00194DFB">
              <w:rPr>
                <w:rFonts w:eastAsia="Times New Roman" w:cs="Arial"/>
                <w:b/>
                <w:bCs/>
                <w:color w:val="auto"/>
                <w:sz w:val="18"/>
                <w:szCs w:val="18"/>
              </w:rPr>
              <w:t> </w:t>
            </w:r>
          </w:p>
        </w:tc>
        <w:tc>
          <w:tcPr>
            <w:tcW w:w="269" w:type="pct"/>
            <w:tcBorders>
              <w:top w:val="single" w:sz="4" w:space="0" w:color="auto"/>
              <w:left w:val="nil"/>
              <w:bottom w:val="single" w:sz="8" w:space="0" w:color="auto"/>
              <w:right w:val="nil"/>
            </w:tcBorders>
            <w:shd w:val="clear" w:color="000000" w:fill="B8CCE4"/>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 xml:space="preserve">10,015 </w:t>
            </w:r>
          </w:p>
        </w:tc>
        <w:tc>
          <w:tcPr>
            <w:tcW w:w="336" w:type="pct"/>
            <w:tcBorders>
              <w:top w:val="single" w:sz="4" w:space="0" w:color="auto"/>
              <w:left w:val="nil"/>
              <w:bottom w:val="single" w:sz="8" w:space="0" w:color="auto"/>
              <w:right w:val="nil"/>
            </w:tcBorders>
            <w:shd w:val="clear" w:color="000000" w:fill="B8CCE4"/>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 xml:space="preserve">10,315 </w:t>
            </w:r>
          </w:p>
        </w:tc>
        <w:tc>
          <w:tcPr>
            <w:tcW w:w="296" w:type="pct"/>
            <w:tcBorders>
              <w:top w:val="single" w:sz="4" w:space="0" w:color="auto"/>
              <w:left w:val="nil"/>
              <w:bottom w:val="single" w:sz="8" w:space="0" w:color="auto"/>
              <w:right w:val="nil"/>
            </w:tcBorders>
            <w:shd w:val="clear" w:color="000000" w:fill="B8CCE4"/>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 xml:space="preserve">10,015 </w:t>
            </w:r>
          </w:p>
        </w:tc>
        <w:tc>
          <w:tcPr>
            <w:tcW w:w="296" w:type="pct"/>
            <w:tcBorders>
              <w:top w:val="single" w:sz="4" w:space="0" w:color="auto"/>
              <w:left w:val="nil"/>
              <w:bottom w:val="single" w:sz="8" w:space="0" w:color="auto"/>
              <w:right w:val="nil"/>
            </w:tcBorders>
            <w:shd w:val="clear" w:color="000000" w:fill="B8CCE4"/>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 xml:space="preserve">10,265 </w:t>
            </w:r>
          </w:p>
        </w:tc>
        <w:tc>
          <w:tcPr>
            <w:tcW w:w="296" w:type="pct"/>
            <w:tcBorders>
              <w:top w:val="single" w:sz="4" w:space="0" w:color="auto"/>
              <w:left w:val="nil"/>
              <w:bottom w:val="single" w:sz="8" w:space="0" w:color="auto"/>
              <w:right w:val="nil"/>
            </w:tcBorders>
            <w:shd w:val="clear" w:color="000000" w:fill="B8CCE4"/>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 xml:space="preserve">12,065 </w:t>
            </w:r>
          </w:p>
        </w:tc>
        <w:tc>
          <w:tcPr>
            <w:tcW w:w="296" w:type="pct"/>
            <w:tcBorders>
              <w:top w:val="single" w:sz="4" w:space="0" w:color="auto"/>
              <w:left w:val="nil"/>
              <w:bottom w:val="single" w:sz="8" w:space="0" w:color="auto"/>
              <w:right w:val="nil"/>
            </w:tcBorders>
            <w:shd w:val="clear" w:color="000000" w:fill="B8CCE4"/>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 xml:space="preserve">12,015 </w:t>
            </w:r>
          </w:p>
        </w:tc>
        <w:tc>
          <w:tcPr>
            <w:tcW w:w="296" w:type="pct"/>
            <w:tcBorders>
              <w:top w:val="single" w:sz="4" w:space="0" w:color="auto"/>
              <w:left w:val="nil"/>
              <w:bottom w:val="single" w:sz="8" w:space="0" w:color="auto"/>
              <w:right w:val="nil"/>
            </w:tcBorders>
            <w:shd w:val="clear" w:color="000000" w:fill="B8CCE4"/>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 xml:space="preserve">11,765 </w:t>
            </w:r>
          </w:p>
        </w:tc>
        <w:tc>
          <w:tcPr>
            <w:tcW w:w="296" w:type="pct"/>
            <w:tcBorders>
              <w:top w:val="single" w:sz="4" w:space="0" w:color="auto"/>
              <w:left w:val="nil"/>
              <w:bottom w:val="single" w:sz="8" w:space="0" w:color="auto"/>
              <w:right w:val="nil"/>
            </w:tcBorders>
            <w:shd w:val="clear" w:color="000000" w:fill="B8CCE4"/>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 xml:space="preserve">12,015 </w:t>
            </w:r>
          </w:p>
        </w:tc>
        <w:tc>
          <w:tcPr>
            <w:tcW w:w="296" w:type="pct"/>
            <w:tcBorders>
              <w:top w:val="single" w:sz="4" w:space="0" w:color="auto"/>
              <w:left w:val="nil"/>
              <w:bottom w:val="single" w:sz="8" w:space="0" w:color="auto"/>
              <w:right w:val="nil"/>
            </w:tcBorders>
            <w:shd w:val="clear" w:color="000000" w:fill="B8CCE4"/>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 xml:space="preserve">12,815 </w:t>
            </w:r>
          </w:p>
        </w:tc>
        <w:tc>
          <w:tcPr>
            <w:tcW w:w="296" w:type="pct"/>
            <w:tcBorders>
              <w:top w:val="single" w:sz="4" w:space="0" w:color="auto"/>
              <w:left w:val="nil"/>
              <w:bottom w:val="single" w:sz="8" w:space="0" w:color="auto"/>
              <w:right w:val="nil"/>
            </w:tcBorders>
            <w:shd w:val="clear" w:color="000000" w:fill="B8CCE4"/>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 xml:space="preserve">10,265 </w:t>
            </w:r>
          </w:p>
        </w:tc>
        <w:tc>
          <w:tcPr>
            <w:tcW w:w="296" w:type="pct"/>
            <w:tcBorders>
              <w:top w:val="single" w:sz="4" w:space="0" w:color="auto"/>
              <w:left w:val="nil"/>
              <w:bottom w:val="single" w:sz="8" w:space="0" w:color="auto"/>
              <w:right w:val="nil"/>
            </w:tcBorders>
            <w:shd w:val="clear" w:color="000000" w:fill="B8CCE4"/>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 xml:space="preserve">10,015 </w:t>
            </w:r>
          </w:p>
        </w:tc>
        <w:tc>
          <w:tcPr>
            <w:tcW w:w="296" w:type="pct"/>
            <w:tcBorders>
              <w:top w:val="single" w:sz="4" w:space="0" w:color="auto"/>
              <w:left w:val="nil"/>
              <w:bottom w:val="single" w:sz="8" w:space="0" w:color="auto"/>
              <w:right w:val="nil"/>
            </w:tcBorders>
            <w:shd w:val="clear" w:color="000000" w:fill="B8CCE4"/>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 xml:space="preserve">17,565 </w:t>
            </w:r>
          </w:p>
        </w:tc>
        <w:tc>
          <w:tcPr>
            <w:tcW w:w="343" w:type="pct"/>
            <w:tcBorders>
              <w:top w:val="single" w:sz="4" w:space="0" w:color="auto"/>
              <w:left w:val="nil"/>
              <w:bottom w:val="single" w:sz="8" w:space="0" w:color="auto"/>
              <w:right w:val="nil"/>
            </w:tcBorders>
            <w:shd w:val="clear" w:color="000000" w:fill="B8CCE4"/>
            <w:noWrap/>
            <w:vAlign w:val="bottom"/>
            <w:hideMark/>
          </w:tcPr>
          <w:p w:rsidR="003B641E" w:rsidRPr="00194DFB" w:rsidRDefault="00950409" w:rsidP="00034B38">
            <w:pPr>
              <w:spacing w:after="0" w:line="240" w:lineRule="auto"/>
              <w:jc w:val="center"/>
              <w:rPr>
                <w:rFonts w:eastAsia="Times New Roman" w:cs="Arial"/>
                <w:b/>
                <w:bCs/>
                <w:color w:val="auto"/>
                <w:sz w:val="18"/>
                <w:szCs w:val="18"/>
              </w:rPr>
            </w:pPr>
            <w:r w:rsidRPr="00194DFB">
              <w:rPr>
                <w:rFonts w:eastAsia="Times New Roman" w:cs="Arial"/>
                <w:b/>
                <w:bCs/>
                <w:color w:val="auto"/>
                <w:sz w:val="18"/>
                <w:szCs w:val="18"/>
              </w:rPr>
              <w:t xml:space="preserve">139,130 </w:t>
            </w:r>
          </w:p>
        </w:tc>
      </w:tr>
      <w:tr w:rsidR="000D3B83" w:rsidTr="00034B38">
        <w:trPr>
          <w:trHeight w:val="212"/>
        </w:trPr>
        <w:tc>
          <w:tcPr>
            <w:tcW w:w="909" w:type="pct"/>
            <w:tcBorders>
              <w:top w:val="nil"/>
              <w:left w:val="single" w:sz="4" w:space="0" w:color="auto"/>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94" w:type="pct"/>
            <w:tcBorders>
              <w:top w:val="nil"/>
              <w:left w:val="nil"/>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88" w:type="pct"/>
            <w:tcBorders>
              <w:top w:val="nil"/>
              <w:left w:val="nil"/>
              <w:bottom w:val="nil"/>
              <w:right w:val="single" w:sz="4" w:space="0" w:color="auto"/>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69"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eastAsia="Times New Roman" w:cs="Arial"/>
                <w:color w:val="auto"/>
                <w:sz w:val="18"/>
                <w:szCs w:val="18"/>
              </w:rPr>
            </w:pPr>
          </w:p>
        </w:tc>
        <w:tc>
          <w:tcPr>
            <w:tcW w:w="33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343"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r>
      <w:tr w:rsidR="000D3B83" w:rsidTr="00034B38">
        <w:trPr>
          <w:trHeight w:val="212"/>
        </w:trPr>
        <w:tc>
          <w:tcPr>
            <w:tcW w:w="909" w:type="pct"/>
            <w:tcBorders>
              <w:top w:val="nil"/>
              <w:left w:val="single" w:sz="4" w:space="0" w:color="auto"/>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94" w:type="pct"/>
            <w:tcBorders>
              <w:top w:val="nil"/>
              <w:left w:val="nil"/>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88" w:type="pct"/>
            <w:tcBorders>
              <w:top w:val="nil"/>
              <w:left w:val="nil"/>
              <w:bottom w:val="nil"/>
              <w:right w:val="single" w:sz="4" w:space="0" w:color="auto"/>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69"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eastAsia="Times New Roman" w:cs="Arial"/>
                <w:color w:val="auto"/>
                <w:sz w:val="18"/>
                <w:szCs w:val="18"/>
              </w:rPr>
            </w:pPr>
          </w:p>
        </w:tc>
        <w:tc>
          <w:tcPr>
            <w:tcW w:w="33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343"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r>
      <w:tr w:rsidR="000D3B83" w:rsidTr="00034B38">
        <w:trPr>
          <w:trHeight w:val="212"/>
        </w:trPr>
        <w:tc>
          <w:tcPr>
            <w:tcW w:w="909" w:type="pct"/>
            <w:tcBorders>
              <w:top w:val="nil"/>
              <w:left w:val="single" w:sz="4" w:space="0" w:color="auto"/>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94" w:type="pct"/>
            <w:tcBorders>
              <w:top w:val="nil"/>
              <w:left w:val="nil"/>
              <w:bottom w:val="nil"/>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88" w:type="pct"/>
            <w:tcBorders>
              <w:top w:val="nil"/>
              <w:left w:val="nil"/>
              <w:bottom w:val="nil"/>
              <w:right w:val="single" w:sz="4" w:space="0" w:color="auto"/>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69"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eastAsia="Times New Roman" w:cs="Arial"/>
                <w:color w:val="auto"/>
                <w:sz w:val="18"/>
                <w:szCs w:val="18"/>
              </w:rPr>
            </w:pPr>
          </w:p>
        </w:tc>
        <w:tc>
          <w:tcPr>
            <w:tcW w:w="33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343"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r>
      <w:tr w:rsidR="000D3B83" w:rsidTr="00034B38">
        <w:trPr>
          <w:trHeight w:val="212"/>
        </w:trPr>
        <w:tc>
          <w:tcPr>
            <w:tcW w:w="909" w:type="pct"/>
            <w:tcBorders>
              <w:top w:val="single" w:sz="4" w:space="0" w:color="auto"/>
              <w:left w:val="single" w:sz="4" w:space="0" w:color="auto"/>
              <w:bottom w:val="nil"/>
              <w:right w:val="nil"/>
            </w:tcBorders>
            <w:shd w:val="clear" w:color="000000" w:fill="95B3D7"/>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Balance b / f</w:t>
            </w:r>
          </w:p>
        </w:tc>
        <w:tc>
          <w:tcPr>
            <w:tcW w:w="94" w:type="pct"/>
            <w:tcBorders>
              <w:top w:val="single" w:sz="4" w:space="0" w:color="auto"/>
              <w:left w:val="nil"/>
              <w:bottom w:val="nil"/>
              <w:right w:val="nil"/>
            </w:tcBorders>
            <w:shd w:val="clear" w:color="000000" w:fill="95B3D7"/>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88" w:type="pct"/>
            <w:tcBorders>
              <w:top w:val="single" w:sz="4" w:space="0" w:color="auto"/>
              <w:left w:val="nil"/>
              <w:bottom w:val="nil"/>
              <w:right w:val="single" w:sz="4" w:space="0" w:color="auto"/>
            </w:tcBorders>
            <w:shd w:val="clear" w:color="000000" w:fill="95B3D7"/>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69"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xml:space="preserve">6,000 </w:t>
            </w:r>
          </w:p>
        </w:tc>
        <w:tc>
          <w:tcPr>
            <w:tcW w:w="33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xml:space="preserve">77,785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xml:space="preserve">120,270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xml:space="preserve">192,055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xml:space="preserve">218,590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xml:space="preserve">245,325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xml:space="preserve">279,110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xml:space="preserve">320,645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xml:space="preserve">362,330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xml:space="preserve">410,315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xml:space="preserve">445,850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xml:space="preserve">483,535 </w:t>
            </w:r>
          </w:p>
        </w:tc>
        <w:tc>
          <w:tcPr>
            <w:tcW w:w="343"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xml:space="preserve">513,570 </w:t>
            </w:r>
          </w:p>
        </w:tc>
      </w:tr>
      <w:tr w:rsidR="000D3B83" w:rsidTr="00034B38">
        <w:trPr>
          <w:trHeight w:val="212"/>
        </w:trPr>
        <w:tc>
          <w:tcPr>
            <w:tcW w:w="909" w:type="pct"/>
            <w:tcBorders>
              <w:top w:val="nil"/>
              <w:left w:val="single" w:sz="4" w:space="0" w:color="auto"/>
              <w:bottom w:val="single" w:sz="4" w:space="0" w:color="auto"/>
              <w:right w:val="nil"/>
            </w:tcBorders>
            <w:shd w:val="clear" w:color="000000" w:fill="95B3D7"/>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94" w:type="pct"/>
            <w:tcBorders>
              <w:top w:val="nil"/>
              <w:left w:val="nil"/>
              <w:bottom w:val="single" w:sz="4" w:space="0" w:color="auto"/>
              <w:right w:val="nil"/>
            </w:tcBorders>
            <w:shd w:val="clear" w:color="000000" w:fill="95B3D7"/>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88" w:type="pct"/>
            <w:tcBorders>
              <w:top w:val="nil"/>
              <w:left w:val="nil"/>
              <w:bottom w:val="single" w:sz="4" w:space="0" w:color="auto"/>
              <w:right w:val="single" w:sz="4" w:space="0" w:color="auto"/>
            </w:tcBorders>
            <w:shd w:val="clear" w:color="000000" w:fill="95B3D7"/>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69"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eastAsia="Times New Roman" w:cs="Arial"/>
                <w:color w:val="auto"/>
                <w:sz w:val="18"/>
                <w:szCs w:val="18"/>
              </w:rPr>
            </w:pPr>
          </w:p>
        </w:tc>
        <w:tc>
          <w:tcPr>
            <w:tcW w:w="33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343"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r>
      <w:tr w:rsidR="000D3B83" w:rsidTr="00034B38">
        <w:trPr>
          <w:trHeight w:val="212"/>
        </w:trPr>
        <w:tc>
          <w:tcPr>
            <w:tcW w:w="909" w:type="pct"/>
            <w:tcBorders>
              <w:top w:val="nil"/>
              <w:left w:val="single" w:sz="4" w:space="0" w:color="auto"/>
              <w:bottom w:val="nil"/>
              <w:right w:val="nil"/>
            </w:tcBorders>
            <w:shd w:val="clear" w:color="000000" w:fill="95B3D7"/>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94" w:type="pct"/>
            <w:tcBorders>
              <w:top w:val="nil"/>
              <w:left w:val="nil"/>
              <w:bottom w:val="nil"/>
              <w:right w:val="nil"/>
            </w:tcBorders>
            <w:shd w:val="clear" w:color="000000" w:fill="95B3D7"/>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88" w:type="pct"/>
            <w:tcBorders>
              <w:top w:val="nil"/>
              <w:left w:val="nil"/>
              <w:bottom w:val="nil"/>
              <w:right w:val="single" w:sz="4" w:space="0" w:color="auto"/>
            </w:tcBorders>
            <w:shd w:val="clear" w:color="000000" w:fill="95B3D7"/>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69"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eastAsia="Times New Roman" w:cs="Arial"/>
                <w:color w:val="auto"/>
                <w:sz w:val="18"/>
                <w:szCs w:val="18"/>
              </w:rPr>
            </w:pPr>
          </w:p>
        </w:tc>
        <w:tc>
          <w:tcPr>
            <w:tcW w:w="33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343"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r>
      <w:tr w:rsidR="000D3B83" w:rsidTr="00034B38">
        <w:trPr>
          <w:trHeight w:val="212"/>
        </w:trPr>
        <w:tc>
          <w:tcPr>
            <w:tcW w:w="909" w:type="pct"/>
            <w:tcBorders>
              <w:top w:val="nil"/>
              <w:left w:val="single" w:sz="4" w:space="0" w:color="auto"/>
              <w:bottom w:val="nil"/>
              <w:right w:val="nil"/>
            </w:tcBorders>
            <w:shd w:val="clear" w:color="000000" w:fill="95B3D7"/>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Net cashflow in month</w:t>
            </w:r>
          </w:p>
        </w:tc>
        <w:tc>
          <w:tcPr>
            <w:tcW w:w="94" w:type="pct"/>
            <w:tcBorders>
              <w:top w:val="nil"/>
              <w:left w:val="nil"/>
              <w:bottom w:val="nil"/>
              <w:right w:val="nil"/>
            </w:tcBorders>
            <w:shd w:val="clear" w:color="000000" w:fill="95B3D7"/>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88" w:type="pct"/>
            <w:tcBorders>
              <w:top w:val="nil"/>
              <w:left w:val="nil"/>
              <w:bottom w:val="nil"/>
              <w:right w:val="single" w:sz="4" w:space="0" w:color="auto"/>
            </w:tcBorders>
            <w:shd w:val="clear" w:color="000000" w:fill="95B3D7"/>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69"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xml:space="preserve">71,785 </w:t>
            </w:r>
          </w:p>
        </w:tc>
        <w:tc>
          <w:tcPr>
            <w:tcW w:w="33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xml:space="preserve">42,485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xml:space="preserve">71,785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xml:space="preserve">26,535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xml:space="preserve">26,735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xml:space="preserve">33,785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xml:space="preserve">41,535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xml:space="preserve">41,685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xml:space="preserve">47,985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xml:space="preserve">35,535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xml:space="preserve">37,685 </w:t>
            </w:r>
          </w:p>
        </w:tc>
        <w:tc>
          <w:tcPr>
            <w:tcW w:w="296"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xml:space="preserve">30,035 </w:t>
            </w:r>
          </w:p>
        </w:tc>
        <w:tc>
          <w:tcPr>
            <w:tcW w:w="343" w:type="pct"/>
            <w:tcBorders>
              <w:top w:val="nil"/>
              <w:left w:val="nil"/>
              <w:bottom w:val="nil"/>
              <w:right w:val="nil"/>
            </w:tcBorders>
            <w:shd w:val="clear" w:color="auto" w:fill="auto"/>
            <w:noWrap/>
            <w:vAlign w:val="bottom"/>
            <w:hideMark/>
          </w:tcPr>
          <w:p w:rsidR="003B641E" w:rsidRPr="00194DFB" w:rsidRDefault="00950409" w:rsidP="00034B38">
            <w:pPr>
              <w:spacing w:after="0" w:line="240" w:lineRule="auto"/>
              <w:jc w:val="center"/>
              <w:rPr>
                <w:rFonts w:eastAsia="Times New Roman" w:cs="Arial"/>
                <w:color w:val="auto"/>
                <w:sz w:val="18"/>
                <w:szCs w:val="18"/>
              </w:rPr>
            </w:pPr>
            <w:r w:rsidRPr="00194DFB">
              <w:rPr>
                <w:rFonts w:eastAsia="Times New Roman" w:cs="Arial"/>
                <w:color w:val="auto"/>
                <w:sz w:val="18"/>
                <w:szCs w:val="18"/>
              </w:rPr>
              <w:t xml:space="preserve">507,570 </w:t>
            </w:r>
          </w:p>
        </w:tc>
      </w:tr>
      <w:tr w:rsidR="000D3B83" w:rsidTr="00034B38">
        <w:trPr>
          <w:trHeight w:val="212"/>
        </w:trPr>
        <w:tc>
          <w:tcPr>
            <w:tcW w:w="909" w:type="pct"/>
            <w:tcBorders>
              <w:top w:val="nil"/>
              <w:left w:val="single" w:sz="4" w:space="0" w:color="auto"/>
              <w:bottom w:val="single" w:sz="4" w:space="0" w:color="auto"/>
              <w:right w:val="nil"/>
            </w:tcBorders>
            <w:shd w:val="clear" w:color="000000" w:fill="95B3D7"/>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94" w:type="pct"/>
            <w:tcBorders>
              <w:top w:val="nil"/>
              <w:left w:val="nil"/>
              <w:bottom w:val="single" w:sz="4" w:space="0" w:color="auto"/>
              <w:right w:val="nil"/>
            </w:tcBorders>
            <w:shd w:val="clear" w:color="000000" w:fill="95B3D7"/>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88" w:type="pct"/>
            <w:tcBorders>
              <w:top w:val="nil"/>
              <w:left w:val="nil"/>
              <w:bottom w:val="single" w:sz="4" w:space="0" w:color="auto"/>
              <w:right w:val="single" w:sz="4" w:space="0" w:color="auto"/>
            </w:tcBorders>
            <w:shd w:val="clear" w:color="000000" w:fill="95B3D7"/>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69"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eastAsia="Times New Roman" w:cs="Arial"/>
                <w:color w:val="auto"/>
                <w:sz w:val="18"/>
                <w:szCs w:val="18"/>
              </w:rPr>
            </w:pPr>
          </w:p>
        </w:tc>
        <w:tc>
          <w:tcPr>
            <w:tcW w:w="33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343"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r>
      <w:tr w:rsidR="000D3B83" w:rsidTr="00034B38">
        <w:trPr>
          <w:trHeight w:val="212"/>
        </w:trPr>
        <w:tc>
          <w:tcPr>
            <w:tcW w:w="909" w:type="pct"/>
            <w:tcBorders>
              <w:top w:val="nil"/>
              <w:left w:val="single" w:sz="4" w:space="0" w:color="auto"/>
              <w:bottom w:val="single" w:sz="4" w:space="0" w:color="auto"/>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94" w:type="pct"/>
            <w:tcBorders>
              <w:top w:val="nil"/>
              <w:left w:val="nil"/>
              <w:bottom w:val="single" w:sz="4" w:space="0" w:color="auto"/>
              <w:right w:val="nil"/>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88" w:type="pct"/>
            <w:tcBorders>
              <w:top w:val="nil"/>
              <w:left w:val="nil"/>
              <w:bottom w:val="single" w:sz="4" w:space="0" w:color="auto"/>
              <w:right w:val="single" w:sz="4" w:space="0" w:color="auto"/>
            </w:tcBorders>
            <w:shd w:val="clear" w:color="000000" w:fill="B8CCE4"/>
            <w:noWrap/>
            <w:vAlign w:val="bottom"/>
            <w:hideMark/>
          </w:tcPr>
          <w:p w:rsidR="003B641E" w:rsidRPr="00194DFB" w:rsidRDefault="00950409" w:rsidP="00034B38">
            <w:pPr>
              <w:spacing w:after="0" w:line="240" w:lineRule="auto"/>
              <w:jc w:val="left"/>
              <w:rPr>
                <w:rFonts w:eastAsia="Times New Roman" w:cs="Arial"/>
                <w:color w:val="auto"/>
                <w:sz w:val="18"/>
                <w:szCs w:val="18"/>
              </w:rPr>
            </w:pPr>
            <w:r w:rsidRPr="00194DFB">
              <w:rPr>
                <w:rFonts w:eastAsia="Times New Roman" w:cs="Arial"/>
                <w:color w:val="auto"/>
                <w:sz w:val="18"/>
                <w:szCs w:val="18"/>
              </w:rPr>
              <w:t> </w:t>
            </w:r>
          </w:p>
        </w:tc>
        <w:tc>
          <w:tcPr>
            <w:tcW w:w="269"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eastAsia="Times New Roman" w:cs="Arial"/>
                <w:color w:val="auto"/>
                <w:sz w:val="18"/>
                <w:szCs w:val="18"/>
              </w:rPr>
            </w:pPr>
          </w:p>
        </w:tc>
        <w:tc>
          <w:tcPr>
            <w:tcW w:w="33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center"/>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296"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c>
          <w:tcPr>
            <w:tcW w:w="343" w:type="pct"/>
            <w:tcBorders>
              <w:top w:val="nil"/>
              <w:left w:val="nil"/>
              <w:bottom w:val="nil"/>
              <w:right w:val="nil"/>
            </w:tcBorders>
            <w:shd w:val="clear" w:color="auto" w:fill="auto"/>
            <w:noWrap/>
            <w:vAlign w:val="bottom"/>
            <w:hideMark/>
          </w:tcPr>
          <w:p w:rsidR="003B641E" w:rsidRPr="00194DFB" w:rsidRDefault="003B641E" w:rsidP="00034B38">
            <w:pPr>
              <w:spacing w:after="0" w:line="240" w:lineRule="auto"/>
              <w:jc w:val="left"/>
              <w:rPr>
                <w:rFonts w:ascii="Times New Roman" w:eastAsia="Times New Roman" w:hAnsi="Times New Roman" w:cs="Times New Roman"/>
                <w:color w:val="auto"/>
                <w:sz w:val="18"/>
                <w:szCs w:val="18"/>
              </w:rPr>
            </w:pPr>
          </w:p>
        </w:tc>
      </w:tr>
      <w:tr w:rsidR="000D3B83" w:rsidTr="00034B38">
        <w:trPr>
          <w:trHeight w:val="222"/>
        </w:trPr>
        <w:tc>
          <w:tcPr>
            <w:tcW w:w="909" w:type="pct"/>
            <w:tcBorders>
              <w:top w:val="nil"/>
              <w:left w:val="single" w:sz="4" w:space="0" w:color="auto"/>
              <w:bottom w:val="single" w:sz="4" w:space="0" w:color="auto"/>
              <w:right w:val="nil"/>
            </w:tcBorders>
            <w:shd w:val="clear" w:color="000000" w:fill="95B3D7"/>
            <w:noWrap/>
            <w:vAlign w:val="bottom"/>
            <w:hideMark/>
          </w:tcPr>
          <w:p w:rsidR="003B641E" w:rsidRPr="00194DFB" w:rsidRDefault="00950409" w:rsidP="00034B38">
            <w:pPr>
              <w:spacing w:after="0" w:line="240" w:lineRule="auto"/>
              <w:jc w:val="left"/>
              <w:rPr>
                <w:rFonts w:eastAsia="Times New Roman" w:cs="Arial"/>
                <w:b/>
                <w:bCs/>
                <w:color w:val="auto"/>
                <w:sz w:val="14"/>
                <w:szCs w:val="14"/>
              </w:rPr>
            </w:pPr>
            <w:r w:rsidRPr="00194DFB">
              <w:rPr>
                <w:rFonts w:eastAsia="Times New Roman" w:cs="Arial"/>
                <w:b/>
                <w:bCs/>
                <w:color w:val="auto"/>
                <w:sz w:val="14"/>
                <w:szCs w:val="14"/>
              </w:rPr>
              <w:t>Balance c / f</w:t>
            </w:r>
          </w:p>
        </w:tc>
        <w:tc>
          <w:tcPr>
            <w:tcW w:w="94" w:type="pct"/>
            <w:tcBorders>
              <w:top w:val="nil"/>
              <w:left w:val="nil"/>
              <w:bottom w:val="single" w:sz="4" w:space="0" w:color="auto"/>
              <w:right w:val="nil"/>
            </w:tcBorders>
            <w:shd w:val="clear" w:color="000000" w:fill="95B3D7"/>
            <w:noWrap/>
            <w:vAlign w:val="bottom"/>
            <w:hideMark/>
          </w:tcPr>
          <w:p w:rsidR="003B641E" w:rsidRPr="00194DFB" w:rsidRDefault="00950409" w:rsidP="00034B38">
            <w:pPr>
              <w:spacing w:after="0" w:line="240" w:lineRule="auto"/>
              <w:jc w:val="left"/>
              <w:rPr>
                <w:rFonts w:eastAsia="Times New Roman" w:cs="Arial"/>
                <w:b/>
                <w:bCs/>
                <w:color w:val="auto"/>
                <w:sz w:val="14"/>
                <w:szCs w:val="14"/>
              </w:rPr>
            </w:pPr>
            <w:r w:rsidRPr="00194DFB">
              <w:rPr>
                <w:rFonts w:eastAsia="Times New Roman" w:cs="Arial"/>
                <w:b/>
                <w:bCs/>
                <w:color w:val="auto"/>
                <w:sz w:val="14"/>
                <w:szCs w:val="14"/>
              </w:rPr>
              <w:t> </w:t>
            </w:r>
          </w:p>
        </w:tc>
        <w:tc>
          <w:tcPr>
            <w:tcW w:w="88" w:type="pct"/>
            <w:tcBorders>
              <w:top w:val="nil"/>
              <w:left w:val="nil"/>
              <w:bottom w:val="single" w:sz="4" w:space="0" w:color="auto"/>
              <w:right w:val="single" w:sz="4" w:space="0" w:color="auto"/>
            </w:tcBorders>
            <w:shd w:val="clear" w:color="000000" w:fill="95B3D7"/>
            <w:noWrap/>
            <w:vAlign w:val="bottom"/>
            <w:hideMark/>
          </w:tcPr>
          <w:p w:rsidR="003B641E" w:rsidRPr="00194DFB" w:rsidRDefault="00950409" w:rsidP="00034B38">
            <w:pPr>
              <w:spacing w:after="0" w:line="240" w:lineRule="auto"/>
              <w:jc w:val="left"/>
              <w:rPr>
                <w:rFonts w:eastAsia="Times New Roman" w:cs="Arial"/>
                <w:b/>
                <w:bCs/>
                <w:color w:val="auto"/>
                <w:sz w:val="14"/>
                <w:szCs w:val="14"/>
              </w:rPr>
            </w:pPr>
            <w:r w:rsidRPr="00194DFB">
              <w:rPr>
                <w:rFonts w:eastAsia="Times New Roman" w:cs="Arial"/>
                <w:b/>
                <w:bCs/>
                <w:color w:val="auto"/>
                <w:sz w:val="14"/>
                <w:szCs w:val="14"/>
              </w:rPr>
              <w:t> </w:t>
            </w:r>
          </w:p>
        </w:tc>
        <w:tc>
          <w:tcPr>
            <w:tcW w:w="269" w:type="pct"/>
            <w:tcBorders>
              <w:top w:val="single" w:sz="4" w:space="0" w:color="auto"/>
              <w:left w:val="nil"/>
              <w:bottom w:val="single" w:sz="8" w:space="0" w:color="auto"/>
              <w:right w:val="nil"/>
            </w:tcBorders>
            <w:shd w:val="clear" w:color="000000" w:fill="B8CCE4"/>
            <w:noWrap/>
            <w:vAlign w:val="bottom"/>
            <w:hideMark/>
          </w:tcPr>
          <w:p w:rsidR="003B641E" w:rsidRPr="00194DFB" w:rsidRDefault="00950409" w:rsidP="00034B38">
            <w:pPr>
              <w:spacing w:after="0" w:line="240" w:lineRule="auto"/>
              <w:jc w:val="center"/>
              <w:rPr>
                <w:rFonts w:eastAsia="Times New Roman" w:cs="Arial"/>
                <w:b/>
                <w:bCs/>
                <w:color w:val="auto"/>
                <w:sz w:val="14"/>
                <w:szCs w:val="14"/>
              </w:rPr>
            </w:pPr>
            <w:r w:rsidRPr="00194DFB">
              <w:rPr>
                <w:rFonts w:eastAsia="Times New Roman" w:cs="Arial"/>
                <w:b/>
                <w:bCs/>
                <w:color w:val="auto"/>
                <w:sz w:val="14"/>
                <w:szCs w:val="14"/>
              </w:rPr>
              <w:t xml:space="preserve">77,785 </w:t>
            </w:r>
          </w:p>
        </w:tc>
        <w:tc>
          <w:tcPr>
            <w:tcW w:w="336" w:type="pct"/>
            <w:tcBorders>
              <w:top w:val="single" w:sz="4" w:space="0" w:color="auto"/>
              <w:left w:val="nil"/>
              <w:bottom w:val="single" w:sz="8" w:space="0" w:color="auto"/>
              <w:right w:val="nil"/>
            </w:tcBorders>
            <w:shd w:val="clear" w:color="000000" w:fill="B8CCE4"/>
            <w:noWrap/>
            <w:vAlign w:val="bottom"/>
            <w:hideMark/>
          </w:tcPr>
          <w:p w:rsidR="003B641E" w:rsidRPr="00194DFB" w:rsidRDefault="00950409" w:rsidP="00034B38">
            <w:pPr>
              <w:spacing w:after="0" w:line="240" w:lineRule="auto"/>
              <w:jc w:val="center"/>
              <w:rPr>
                <w:rFonts w:eastAsia="Times New Roman" w:cs="Arial"/>
                <w:b/>
                <w:bCs/>
                <w:color w:val="auto"/>
                <w:sz w:val="14"/>
                <w:szCs w:val="14"/>
              </w:rPr>
            </w:pPr>
            <w:r w:rsidRPr="00194DFB">
              <w:rPr>
                <w:rFonts w:eastAsia="Times New Roman" w:cs="Arial"/>
                <w:b/>
                <w:bCs/>
                <w:color w:val="auto"/>
                <w:sz w:val="14"/>
                <w:szCs w:val="14"/>
              </w:rPr>
              <w:t xml:space="preserve">120,270 </w:t>
            </w:r>
          </w:p>
        </w:tc>
        <w:tc>
          <w:tcPr>
            <w:tcW w:w="296" w:type="pct"/>
            <w:tcBorders>
              <w:top w:val="single" w:sz="4" w:space="0" w:color="auto"/>
              <w:left w:val="nil"/>
              <w:bottom w:val="single" w:sz="8" w:space="0" w:color="auto"/>
              <w:right w:val="nil"/>
            </w:tcBorders>
            <w:shd w:val="clear" w:color="000000" w:fill="B8CCE4"/>
            <w:noWrap/>
            <w:vAlign w:val="bottom"/>
            <w:hideMark/>
          </w:tcPr>
          <w:p w:rsidR="003B641E" w:rsidRPr="00194DFB" w:rsidRDefault="00950409" w:rsidP="00034B38">
            <w:pPr>
              <w:spacing w:after="0" w:line="240" w:lineRule="auto"/>
              <w:jc w:val="center"/>
              <w:rPr>
                <w:rFonts w:eastAsia="Times New Roman" w:cs="Arial"/>
                <w:b/>
                <w:bCs/>
                <w:color w:val="auto"/>
                <w:sz w:val="14"/>
                <w:szCs w:val="14"/>
              </w:rPr>
            </w:pPr>
            <w:r w:rsidRPr="00194DFB">
              <w:rPr>
                <w:rFonts w:eastAsia="Times New Roman" w:cs="Arial"/>
                <w:b/>
                <w:bCs/>
                <w:color w:val="auto"/>
                <w:sz w:val="14"/>
                <w:szCs w:val="14"/>
              </w:rPr>
              <w:t xml:space="preserve">192,055 </w:t>
            </w:r>
          </w:p>
        </w:tc>
        <w:tc>
          <w:tcPr>
            <w:tcW w:w="296" w:type="pct"/>
            <w:tcBorders>
              <w:top w:val="single" w:sz="4" w:space="0" w:color="auto"/>
              <w:left w:val="nil"/>
              <w:bottom w:val="single" w:sz="8" w:space="0" w:color="auto"/>
              <w:right w:val="nil"/>
            </w:tcBorders>
            <w:shd w:val="clear" w:color="000000" w:fill="B8CCE4"/>
            <w:noWrap/>
            <w:vAlign w:val="bottom"/>
            <w:hideMark/>
          </w:tcPr>
          <w:p w:rsidR="003B641E" w:rsidRPr="00194DFB" w:rsidRDefault="00950409" w:rsidP="00034B38">
            <w:pPr>
              <w:spacing w:after="0" w:line="240" w:lineRule="auto"/>
              <w:jc w:val="center"/>
              <w:rPr>
                <w:rFonts w:eastAsia="Times New Roman" w:cs="Arial"/>
                <w:b/>
                <w:bCs/>
                <w:color w:val="auto"/>
                <w:sz w:val="14"/>
                <w:szCs w:val="14"/>
              </w:rPr>
            </w:pPr>
            <w:r w:rsidRPr="00194DFB">
              <w:rPr>
                <w:rFonts w:eastAsia="Times New Roman" w:cs="Arial"/>
                <w:b/>
                <w:bCs/>
                <w:color w:val="auto"/>
                <w:sz w:val="14"/>
                <w:szCs w:val="14"/>
              </w:rPr>
              <w:t xml:space="preserve">218,590 </w:t>
            </w:r>
          </w:p>
        </w:tc>
        <w:tc>
          <w:tcPr>
            <w:tcW w:w="296" w:type="pct"/>
            <w:tcBorders>
              <w:top w:val="single" w:sz="4" w:space="0" w:color="auto"/>
              <w:left w:val="nil"/>
              <w:bottom w:val="single" w:sz="8" w:space="0" w:color="auto"/>
              <w:right w:val="nil"/>
            </w:tcBorders>
            <w:shd w:val="clear" w:color="000000" w:fill="B8CCE4"/>
            <w:noWrap/>
            <w:vAlign w:val="bottom"/>
            <w:hideMark/>
          </w:tcPr>
          <w:p w:rsidR="003B641E" w:rsidRPr="00194DFB" w:rsidRDefault="00950409" w:rsidP="00034B38">
            <w:pPr>
              <w:spacing w:after="0" w:line="240" w:lineRule="auto"/>
              <w:jc w:val="center"/>
              <w:rPr>
                <w:rFonts w:eastAsia="Times New Roman" w:cs="Arial"/>
                <w:b/>
                <w:bCs/>
                <w:color w:val="auto"/>
                <w:sz w:val="14"/>
                <w:szCs w:val="14"/>
              </w:rPr>
            </w:pPr>
            <w:r w:rsidRPr="00194DFB">
              <w:rPr>
                <w:rFonts w:eastAsia="Times New Roman" w:cs="Arial"/>
                <w:b/>
                <w:bCs/>
                <w:color w:val="auto"/>
                <w:sz w:val="14"/>
                <w:szCs w:val="14"/>
              </w:rPr>
              <w:t xml:space="preserve">245,325 </w:t>
            </w:r>
          </w:p>
        </w:tc>
        <w:tc>
          <w:tcPr>
            <w:tcW w:w="296" w:type="pct"/>
            <w:tcBorders>
              <w:top w:val="single" w:sz="4" w:space="0" w:color="auto"/>
              <w:left w:val="nil"/>
              <w:bottom w:val="single" w:sz="8" w:space="0" w:color="auto"/>
              <w:right w:val="nil"/>
            </w:tcBorders>
            <w:shd w:val="clear" w:color="000000" w:fill="B8CCE4"/>
            <w:noWrap/>
            <w:vAlign w:val="bottom"/>
            <w:hideMark/>
          </w:tcPr>
          <w:p w:rsidR="003B641E" w:rsidRPr="00194DFB" w:rsidRDefault="00950409" w:rsidP="00034B38">
            <w:pPr>
              <w:spacing w:after="0" w:line="240" w:lineRule="auto"/>
              <w:jc w:val="center"/>
              <w:rPr>
                <w:rFonts w:eastAsia="Times New Roman" w:cs="Arial"/>
                <w:b/>
                <w:bCs/>
                <w:color w:val="auto"/>
                <w:sz w:val="14"/>
                <w:szCs w:val="14"/>
              </w:rPr>
            </w:pPr>
            <w:r w:rsidRPr="00194DFB">
              <w:rPr>
                <w:rFonts w:eastAsia="Times New Roman" w:cs="Arial"/>
                <w:b/>
                <w:bCs/>
                <w:color w:val="auto"/>
                <w:sz w:val="14"/>
                <w:szCs w:val="14"/>
              </w:rPr>
              <w:t xml:space="preserve">279,110 </w:t>
            </w:r>
          </w:p>
        </w:tc>
        <w:tc>
          <w:tcPr>
            <w:tcW w:w="296" w:type="pct"/>
            <w:tcBorders>
              <w:top w:val="single" w:sz="4" w:space="0" w:color="auto"/>
              <w:left w:val="nil"/>
              <w:bottom w:val="single" w:sz="8" w:space="0" w:color="auto"/>
              <w:right w:val="nil"/>
            </w:tcBorders>
            <w:shd w:val="clear" w:color="000000" w:fill="B8CCE4"/>
            <w:noWrap/>
            <w:vAlign w:val="bottom"/>
            <w:hideMark/>
          </w:tcPr>
          <w:p w:rsidR="003B641E" w:rsidRPr="00194DFB" w:rsidRDefault="00950409" w:rsidP="00034B38">
            <w:pPr>
              <w:spacing w:after="0" w:line="240" w:lineRule="auto"/>
              <w:jc w:val="center"/>
              <w:rPr>
                <w:rFonts w:eastAsia="Times New Roman" w:cs="Arial"/>
                <w:b/>
                <w:bCs/>
                <w:color w:val="auto"/>
                <w:sz w:val="14"/>
                <w:szCs w:val="14"/>
              </w:rPr>
            </w:pPr>
            <w:r w:rsidRPr="00194DFB">
              <w:rPr>
                <w:rFonts w:eastAsia="Times New Roman" w:cs="Arial"/>
                <w:b/>
                <w:bCs/>
                <w:color w:val="auto"/>
                <w:sz w:val="14"/>
                <w:szCs w:val="14"/>
              </w:rPr>
              <w:t xml:space="preserve">320,645 </w:t>
            </w:r>
          </w:p>
        </w:tc>
        <w:tc>
          <w:tcPr>
            <w:tcW w:w="296" w:type="pct"/>
            <w:tcBorders>
              <w:top w:val="single" w:sz="4" w:space="0" w:color="auto"/>
              <w:left w:val="nil"/>
              <w:bottom w:val="single" w:sz="8" w:space="0" w:color="auto"/>
              <w:right w:val="nil"/>
            </w:tcBorders>
            <w:shd w:val="clear" w:color="000000" w:fill="B8CCE4"/>
            <w:noWrap/>
            <w:vAlign w:val="bottom"/>
            <w:hideMark/>
          </w:tcPr>
          <w:p w:rsidR="003B641E" w:rsidRPr="00194DFB" w:rsidRDefault="00950409" w:rsidP="00034B38">
            <w:pPr>
              <w:spacing w:after="0" w:line="240" w:lineRule="auto"/>
              <w:jc w:val="center"/>
              <w:rPr>
                <w:rFonts w:eastAsia="Times New Roman" w:cs="Arial"/>
                <w:b/>
                <w:bCs/>
                <w:color w:val="auto"/>
                <w:sz w:val="14"/>
                <w:szCs w:val="14"/>
              </w:rPr>
            </w:pPr>
            <w:r w:rsidRPr="00194DFB">
              <w:rPr>
                <w:rFonts w:eastAsia="Times New Roman" w:cs="Arial"/>
                <w:b/>
                <w:bCs/>
                <w:color w:val="auto"/>
                <w:sz w:val="14"/>
                <w:szCs w:val="14"/>
              </w:rPr>
              <w:t xml:space="preserve">362,330 </w:t>
            </w:r>
          </w:p>
        </w:tc>
        <w:tc>
          <w:tcPr>
            <w:tcW w:w="296" w:type="pct"/>
            <w:tcBorders>
              <w:top w:val="single" w:sz="4" w:space="0" w:color="auto"/>
              <w:left w:val="nil"/>
              <w:bottom w:val="single" w:sz="8" w:space="0" w:color="auto"/>
              <w:right w:val="nil"/>
            </w:tcBorders>
            <w:shd w:val="clear" w:color="000000" w:fill="B8CCE4"/>
            <w:noWrap/>
            <w:vAlign w:val="bottom"/>
            <w:hideMark/>
          </w:tcPr>
          <w:p w:rsidR="003B641E" w:rsidRPr="00194DFB" w:rsidRDefault="00950409" w:rsidP="00034B38">
            <w:pPr>
              <w:spacing w:after="0" w:line="240" w:lineRule="auto"/>
              <w:jc w:val="center"/>
              <w:rPr>
                <w:rFonts w:eastAsia="Times New Roman" w:cs="Arial"/>
                <w:b/>
                <w:bCs/>
                <w:color w:val="auto"/>
                <w:sz w:val="14"/>
                <w:szCs w:val="14"/>
              </w:rPr>
            </w:pPr>
            <w:r w:rsidRPr="00194DFB">
              <w:rPr>
                <w:rFonts w:eastAsia="Times New Roman" w:cs="Arial"/>
                <w:b/>
                <w:bCs/>
                <w:color w:val="auto"/>
                <w:sz w:val="14"/>
                <w:szCs w:val="14"/>
              </w:rPr>
              <w:t xml:space="preserve">410,315 </w:t>
            </w:r>
          </w:p>
        </w:tc>
        <w:tc>
          <w:tcPr>
            <w:tcW w:w="296" w:type="pct"/>
            <w:tcBorders>
              <w:top w:val="single" w:sz="4" w:space="0" w:color="auto"/>
              <w:left w:val="nil"/>
              <w:bottom w:val="single" w:sz="8" w:space="0" w:color="auto"/>
              <w:right w:val="nil"/>
            </w:tcBorders>
            <w:shd w:val="clear" w:color="000000" w:fill="B8CCE4"/>
            <w:noWrap/>
            <w:vAlign w:val="bottom"/>
            <w:hideMark/>
          </w:tcPr>
          <w:p w:rsidR="003B641E" w:rsidRPr="00194DFB" w:rsidRDefault="00950409" w:rsidP="00034B38">
            <w:pPr>
              <w:spacing w:after="0" w:line="240" w:lineRule="auto"/>
              <w:jc w:val="center"/>
              <w:rPr>
                <w:rFonts w:eastAsia="Times New Roman" w:cs="Arial"/>
                <w:b/>
                <w:bCs/>
                <w:color w:val="auto"/>
                <w:sz w:val="14"/>
                <w:szCs w:val="14"/>
              </w:rPr>
            </w:pPr>
            <w:r w:rsidRPr="00194DFB">
              <w:rPr>
                <w:rFonts w:eastAsia="Times New Roman" w:cs="Arial"/>
                <w:b/>
                <w:bCs/>
                <w:color w:val="auto"/>
                <w:sz w:val="14"/>
                <w:szCs w:val="14"/>
              </w:rPr>
              <w:t xml:space="preserve">445,850 </w:t>
            </w:r>
          </w:p>
        </w:tc>
        <w:tc>
          <w:tcPr>
            <w:tcW w:w="296" w:type="pct"/>
            <w:tcBorders>
              <w:top w:val="single" w:sz="4" w:space="0" w:color="auto"/>
              <w:left w:val="nil"/>
              <w:bottom w:val="single" w:sz="8" w:space="0" w:color="auto"/>
              <w:right w:val="nil"/>
            </w:tcBorders>
            <w:shd w:val="clear" w:color="000000" w:fill="B8CCE4"/>
            <w:noWrap/>
            <w:vAlign w:val="bottom"/>
            <w:hideMark/>
          </w:tcPr>
          <w:p w:rsidR="003B641E" w:rsidRPr="00194DFB" w:rsidRDefault="00950409" w:rsidP="00034B38">
            <w:pPr>
              <w:spacing w:after="0" w:line="240" w:lineRule="auto"/>
              <w:jc w:val="center"/>
              <w:rPr>
                <w:rFonts w:eastAsia="Times New Roman" w:cs="Arial"/>
                <w:b/>
                <w:bCs/>
                <w:color w:val="auto"/>
                <w:sz w:val="14"/>
                <w:szCs w:val="14"/>
              </w:rPr>
            </w:pPr>
            <w:r w:rsidRPr="00194DFB">
              <w:rPr>
                <w:rFonts w:eastAsia="Times New Roman" w:cs="Arial"/>
                <w:b/>
                <w:bCs/>
                <w:color w:val="auto"/>
                <w:sz w:val="14"/>
                <w:szCs w:val="14"/>
              </w:rPr>
              <w:t xml:space="preserve">483,535 </w:t>
            </w:r>
          </w:p>
        </w:tc>
        <w:tc>
          <w:tcPr>
            <w:tcW w:w="296" w:type="pct"/>
            <w:tcBorders>
              <w:top w:val="single" w:sz="4" w:space="0" w:color="auto"/>
              <w:left w:val="nil"/>
              <w:bottom w:val="single" w:sz="8" w:space="0" w:color="auto"/>
              <w:right w:val="nil"/>
            </w:tcBorders>
            <w:shd w:val="clear" w:color="000000" w:fill="B8CCE4"/>
            <w:noWrap/>
            <w:vAlign w:val="bottom"/>
            <w:hideMark/>
          </w:tcPr>
          <w:p w:rsidR="003B641E" w:rsidRPr="00194DFB" w:rsidRDefault="00950409" w:rsidP="00034B38">
            <w:pPr>
              <w:spacing w:after="0" w:line="240" w:lineRule="auto"/>
              <w:jc w:val="center"/>
              <w:rPr>
                <w:rFonts w:eastAsia="Times New Roman" w:cs="Arial"/>
                <w:b/>
                <w:bCs/>
                <w:color w:val="auto"/>
                <w:sz w:val="14"/>
                <w:szCs w:val="14"/>
              </w:rPr>
            </w:pPr>
            <w:r w:rsidRPr="00194DFB">
              <w:rPr>
                <w:rFonts w:eastAsia="Times New Roman" w:cs="Arial"/>
                <w:b/>
                <w:bCs/>
                <w:color w:val="auto"/>
                <w:sz w:val="14"/>
                <w:szCs w:val="14"/>
              </w:rPr>
              <w:t xml:space="preserve">513,570 </w:t>
            </w:r>
          </w:p>
        </w:tc>
        <w:tc>
          <w:tcPr>
            <w:tcW w:w="343" w:type="pct"/>
            <w:tcBorders>
              <w:top w:val="single" w:sz="4" w:space="0" w:color="auto"/>
              <w:left w:val="nil"/>
              <w:bottom w:val="single" w:sz="8" w:space="0" w:color="auto"/>
              <w:right w:val="nil"/>
            </w:tcBorders>
            <w:shd w:val="clear" w:color="000000" w:fill="B8CCE4"/>
            <w:noWrap/>
            <w:vAlign w:val="bottom"/>
            <w:hideMark/>
          </w:tcPr>
          <w:p w:rsidR="003B641E" w:rsidRPr="00194DFB" w:rsidRDefault="00950409" w:rsidP="00034B38">
            <w:pPr>
              <w:spacing w:after="0" w:line="240" w:lineRule="auto"/>
              <w:jc w:val="center"/>
              <w:rPr>
                <w:rFonts w:eastAsia="Times New Roman" w:cs="Arial"/>
                <w:b/>
                <w:bCs/>
                <w:color w:val="auto"/>
                <w:sz w:val="14"/>
                <w:szCs w:val="14"/>
              </w:rPr>
            </w:pPr>
            <w:r w:rsidRPr="00194DFB">
              <w:rPr>
                <w:rFonts w:eastAsia="Times New Roman" w:cs="Arial"/>
                <w:b/>
                <w:bCs/>
                <w:color w:val="auto"/>
                <w:sz w:val="14"/>
                <w:szCs w:val="14"/>
              </w:rPr>
              <w:t xml:space="preserve">1,021,140 </w:t>
            </w:r>
          </w:p>
        </w:tc>
      </w:tr>
    </w:tbl>
    <w:p w:rsidR="003B641E" w:rsidRDefault="003B641E" w:rsidP="003B641E"/>
    <w:p w:rsidR="003B641E" w:rsidRDefault="003B641E" w:rsidP="001567C3">
      <w:pPr>
        <w:sectPr w:rsidR="003B641E" w:rsidSect="003B641E">
          <w:pgSz w:w="16840" w:h="11905" w:orient="landscape"/>
          <w:pgMar w:top="1441" w:right="1506" w:bottom="1444" w:left="1601" w:header="720" w:footer="720" w:gutter="0"/>
          <w:pgNumType w:start="0"/>
          <w:cols w:space="720"/>
          <w:titlePg/>
          <w:docGrid w:linePitch="299"/>
        </w:sectPr>
      </w:pPr>
    </w:p>
    <w:p w:rsidR="00555923" w:rsidRDefault="00950409" w:rsidP="00555923">
      <w:pPr>
        <w:pStyle w:val="Heading1"/>
      </w:pPr>
      <w:bookmarkStart w:id="7" w:name="_Toc2998"/>
      <w:r>
        <w:t xml:space="preserve">5. </w:t>
      </w:r>
      <w:r w:rsidRPr="00555923">
        <w:t>Reference</w:t>
      </w:r>
      <w:r>
        <w:t xml:space="preserve"> List</w:t>
      </w:r>
    </w:p>
    <w:p w:rsidR="00555923" w:rsidRPr="00555923" w:rsidRDefault="00950409" w:rsidP="00555923">
      <w:pPr>
        <w:pStyle w:val="ListParagraph"/>
        <w:numPr>
          <w:ilvl w:val="0"/>
          <w:numId w:val="1"/>
        </w:numPr>
        <w:rPr>
          <w:sz w:val="24"/>
          <w:szCs w:val="24"/>
        </w:rPr>
      </w:pPr>
      <w:r>
        <w:t xml:space="preserve">Chan, G.R.Y.C. (2018). Aligning collections budget with program priorities. </w:t>
      </w:r>
      <w:r w:rsidRPr="00555923">
        <w:rPr>
          <w:i/>
          <w:iCs/>
        </w:rPr>
        <w:t>Library Collections, Acquisitions, &amp; Technical Services</w:t>
      </w:r>
      <w:r>
        <w:t>, 32(1), pp.46–52.</w:t>
      </w:r>
    </w:p>
    <w:p w:rsidR="00555923" w:rsidRDefault="00950409" w:rsidP="00555923">
      <w:pPr>
        <w:pStyle w:val="ListParagraph"/>
        <w:numPr>
          <w:ilvl w:val="0"/>
          <w:numId w:val="1"/>
        </w:numPr>
      </w:pPr>
      <w:r>
        <w:t>Emerling, I. and Wojcik-Jurkiewicz, M. (2018). THE RISK ASSOCIATED WITH THE REPLACEMENT OF TRADITIONAL BUD</w:t>
      </w:r>
      <w:r>
        <w:t xml:space="preserve">GET WITH PERFORMANCE BUDGETING IN THE PUBLIC FINANCE SECTOR MANAGEMENT. </w:t>
      </w:r>
      <w:r w:rsidRPr="00555923">
        <w:rPr>
          <w:i/>
          <w:iCs/>
        </w:rPr>
        <w:t>Ekonomicko-manazerske spektrum</w:t>
      </w:r>
      <w:r>
        <w:t>, 12(1), pp.55–63.</w:t>
      </w:r>
    </w:p>
    <w:p w:rsidR="00555923" w:rsidRDefault="00950409" w:rsidP="00555923">
      <w:pPr>
        <w:pStyle w:val="ListParagraph"/>
        <w:numPr>
          <w:ilvl w:val="0"/>
          <w:numId w:val="1"/>
        </w:numPr>
      </w:pPr>
      <w:r>
        <w:t xml:space="preserve">Gultus, R. (2016). Cost-Effective Resource Allocation of Overlay Routing Relay Nodes A Survey. </w:t>
      </w:r>
      <w:r w:rsidRPr="00555923">
        <w:rPr>
          <w:i/>
          <w:iCs/>
        </w:rPr>
        <w:t>International Journal of Science and Res</w:t>
      </w:r>
      <w:r w:rsidRPr="00555923">
        <w:rPr>
          <w:i/>
          <w:iCs/>
        </w:rPr>
        <w:t>earch (IJSR)</w:t>
      </w:r>
      <w:r>
        <w:t>, 5(1), pp.1545–1547.</w:t>
      </w:r>
    </w:p>
    <w:p w:rsidR="00555923" w:rsidRDefault="00950409" w:rsidP="00555923">
      <w:pPr>
        <w:pStyle w:val="ListParagraph"/>
        <w:numPr>
          <w:ilvl w:val="0"/>
          <w:numId w:val="1"/>
        </w:numPr>
      </w:pPr>
      <w:r>
        <w:t>Gusmartina, S., Azlina, N. and Julita, J. (2021). The Effect of Budget Planning, Budget Implementation, Procurement of Goods and Services, Competence of Human Resources and Budget Politics on Budget Absorption (Empirical S</w:t>
      </w:r>
      <w:r>
        <w:t xml:space="preserve">tudy on Opd Pelalawan District). </w:t>
      </w:r>
      <w:r w:rsidRPr="00555923">
        <w:rPr>
          <w:i/>
          <w:iCs/>
        </w:rPr>
        <w:t>AFEBI Accounting Review</w:t>
      </w:r>
      <w:r>
        <w:t>, 6(1), p.1.</w:t>
      </w:r>
    </w:p>
    <w:p w:rsidR="00555923" w:rsidRDefault="00950409" w:rsidP="00555923">
      <w:pPr>
        <w:pStyle w:val="ListParagraph"/>
        <w:numPr>
          <w:ilvl w:val="0"/>
          <w:numId w:val="1"/>
        </w:numPr>
      </w:pPr>
      <w:r>
        <w:t xml:space="preserve">Ibrahim, M. (2019). Designing zero-based budgeting for public organizations. </w:t>
      </w:r>
      <w:r w:rsidRPr="00555923">
        <w:rPr>
          <w:i/>
          <w:iCs/>
        </w:rPr>
        <w:t>Problems and Perspectives in Management</w:t>
      </w:r>
      <w:r>
        <w:t>, 17(2), pp.323–333.</w:t>
      </w:r>
    </w:p>
    <w:p w:rsidR="00555923" w:rsidRDefault="00950409" w:rsidP="00555923">
      <w:pPr>
        <w:pStyle w:val="ListParagraph"/>
        <w:numPr>
          <w:ilvl w:val="0"/>
          <w:numId w:val="1"/>
        </w:numPr>
      </w:pPr>
      <w:r>
        <w:t>Libby, T. and Lindsay, M.R. (2012). The Effects of</w:t>
      </w:r>
      <w:r>
        <w:t xml:space="preserve"> Trust and Budget-Based Controls on Budget Gaming and Budget Value. </w:t>
      </w:r>
      <w:r w:rsidRPr="00555923">
        <w:rPr>
          <w:i/>
          <w:iCs/>
        </w:rPr>
        <w:t>SSRN Electronic Journal</w:t>
      </w:r>
      <w:r>
        <w:t>.</w:t>
      </w:r>
    </w:p>
    <w:p w:rsidR="00555923" w:rsidRDefault="00950409" w:rsidP="00555923">
      <w:pPr>
        <w:pStyle w:val="ListParagraph"/>
        <w:numPr>
          <w:ilvl w:val="0"/>
          <w:numId w:val="1"/>
        </w:numPr>
      </w:pPr>
      <w:r>
        <w:t xml:space="preserve">McCafferry, J. (2018). The Transformation of Zero Based Budgeting: Program Level Budgeting in Oregon. </w:t>
      </w:r>
      <w:r w:rsidRPr="00555923">
        <w:rPr>
          <w:i/>
          <w:iCs/>
        </w:rPr>
        <w:t>Public Budgeting Finance</w:t>
      </w:r>
      <w:r>
        <w:t>, 1(4), pp.48–55.</w:t>
      </w:r>
    </w:p>
    <w:p w:rsidR="00555923" w:rsidRDefault="00950409" w:rsidP="00555923">
      <w:pPr>
        <w:pStyle w:val="ListParagraph"/>
        <w:numPr>
          <w:ilvl w:val="0"/>
          <w:numId w:val="1"/>
        </w:numPr>
      </w:pPr>
      <w:r>
        <w:t>Pietrzak, Ż. (2014)</w:t>
      </w:r>
      <w:r>
        <w:t xml:space="preserve">. Traditional versus Activity-based Budgeting in Non-manufacturing Companies. </w:t>
      </w:r>
      <w:r w:rsidRPr="00555923">
        <w:rPr>
          <w:i/>
          <w:iCs/>
        </w:rPr>
        <w:t>Social Sciences</w:t>
      </w:r>
      <w:r>
        <w:t>, 82(4).</w:t>
      </w:r>
    </w:p>
    <w:p w:rsidR="00555923" w:rsidRDefault="00950409" w:rsidP="00555923">
      <w:pPr>
        <w:pStyle w:val="ListParagraph"/>
        <w:numPr>
          <w:ilvl w:val="0"/>
          <w:numId w:val="1"/>
        </w:numPr>
      </w:pPr>
      <w:r>
        <w:t xml:space="preserve">Rouwendal, J. (2018). Indirect Effects in Cost-Benefit Analysis. </w:t>
      </w:r>
      <w:r w:rsidRPr="00555923">
        <w:rPr>
          <w:i/>
          <w:iCs/>
        </w:rPr>
        <w:t>Journal of Benefit-Cost Analysis</w:t>
      </w:r>
      <w:r>
        <w:t>, 3(01), pp.1–27.</w:t>
      </w:r>
    </w:p>
    <w:p w:rsidR="00401345" w:rsidRDefault="00950409" w:rsidP="00555923">
      <w:pPr>
        <w:pStyle w:val="ListParagraph"/>
        <w:numPr>
          <w:ilvl w:val="0"/>
          <w:numId w:val="1"/>
        </w:numPr>
      </w:pPr>
      <w:r>
        <w:t xml:space="preserve">Wildavsky, A. (2019). A Budget for All </w:t>
      </w:r>
      <w:r>
        <w:t xml:space="preserve">Seasons? Why the Traditional Budget Lasts. </w:t>
      </w:r>
      <w:r w:rsidRPr="00555923">
        <w:rPr>
          <w:i/>
          <w:iCs/>
        </w:rPr>
        <w:t>Public Administration Review</w:t>
      </w:r>
      <w:r>
        <w:t>, 38(6), p.501.</w:t>
      </w:r>
      <w:bookmarkEnd w:id="7"/>
    </w:p>
    <w:sectPr w:rsidR="00401345" w:rsidSect="003B641E">
      <w:pgSz w:w="11905" w:h="16840"/>
      <w:pgMar w:top="1601" w:right="1441" w:bottom="1506" w:left="1444"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00000" w:rsidRDefault="00950409">
      <w:pPr>
        <w:spacing w:after="0" w:line="240" w:lineRule="auto"/>
      </w:pPr>
      <w:r>
        <w:separator/>
      </w:r>
    </w:p>
  </w:endnote>
  <w:endnote w:type="continuationSeparator" w:id="0">
    <w:p w:rsidR="00000000" w:rsidRDefault="00950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01345" w:rsidRDefault="00950409">
    <w:pPr>
      <w:spacing w:after="0"/>
      <w:ind w:left="5"/>
      <w:jc w:val="center"/>
    </w:pPr>
    <w:r>
      <w:fldChar w:fldCharType="begin"/>
    </w:r>
    <w:r>
      <w:instrText xml:space="preserve"> PAGE   \* MERGEFORMAT </w:instrText>
    </w:r>
    <w:r>
      <w:fldChar w:fldCharType="separate"/>
    </w:r>
    <w:r>
      <w:rPr>
        <w:rFonts w:ascii="Calibri" w:hAnsi="Calibri"/>
      </w:rPr>
      <w:t>2</w:t>
    </w:r>
    <w:r>
      <w:fldChar w:fldCharType="end"/>
    </w:r>
    <w:r>
      <w:rPr>
        <w:rFonts w:ascii="Calibri" w:hAnsi="Calibri"/>
      </w:rPr>
      <w:t xml:space="preserve"> </w:t>
    </w:r>
  </w:p>
  <w:p w:rsidR="00401345" w:rsidRDefault="00950409">
    <w:pPr>
      <w:spacing w:after="0"/>
    </w:pPr>
    <w:r>
      <w:rPr>
        <w:rFonts w:ascii="Calibri" w:hAnsi="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01345" w:rsidRDefault="00950409">
    <w:pPr>
      <w:spacing w:after="0"/>
      <w:ind w:left="5"/>
      <w:jc w:val="center"/>
    </w:pPr>
    <w:r>
      <w:fldChar w:fldCharType="begin"/>
    </w:r>
    <w:r>
      <w:instrText xml:space="preserve"> PAGE   \* MERGEFORMAT </w:instrText>
    </w:r>
    <w:r>
      <w:fldChar w:fldCharType="separate"/>
    </w:r>
    <w:r>
      <w:rPr>
        <w:rFonts w:ascii="Calibri" w:hAnsi="Calibri"/>
      </w:rPr>
      <w:t>2</w:t>
    </w:r>
    <w:r>
      <w:fldChar w:fldCharType="end"/>
    </w:r>
    <w:r>
      <w:rPr>
        <w:rFonts w:ascii="Calibri" w:hAnsi="Calibri"/>
      </w:rPr>
      <w:t xml:space="preserve"> </w:t>
    </w:r>
  </w:p>
  <w:p w:rsidR="00401345" w:rsidRDefault="00950409">
    <w:pPr>
      <w:spacing w:after="0"/>
    </w:pPr>
    <w:r>
      <w:rPr>
        <w:rFonts w:ascii="Calibri" w:hAnsi="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01345" w:rsidRDefault="0040134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00000" w:rsidRDefault="00950409">
      <w:pPr>
        <w:spacing w:after="0" w:line="240" w:lineRule="auto"/>
      </w:pPr>
      <w:r>
        <w:separator/>
      </w:r>
    </w:p>
  </w:footnote>
  <w:footnote w:type="continuationSeparator" w:id="0">
    <w:p w:rsidR="00000000" w:rsidRDefault="009504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557EA5"/>
    <w:multiLevelType w:val="hybridMultilevel"/>
    <w:tmpl w:val="97DA2AFC"/>
    <w:lvl w:ilvl="0" w:tplc="18584F66">
      <w:start w:val="1"/>
      <w:numFmt w:val="bullet"/>
      <w:lvlText w:val=""/>
      <w:lvlJc w:val="left"/>
      <w:pPr>
        <w:ind w:left="370" w:hanging="360"/>
      </w:pPr>
      <w:rPr>
        <w:rFonts w:ascii="Symbol" w:hAnsi="Symbol" w:hint="default"/>
      </w:rPr>
    </w:lvl>
    <w:lvl w:ilvl="1" w:tplc="89C616D6" w:tentative="1">
      <w:start w:val="1"/>
      <w:numFmt w:val="bullet"/>
      <w:lvlText w:val="o"/>
      <w:lvlJc w:val="left"/>
      <w:pPr>
        <w:ind w:left="1090" w:hanging="360"/>
      </w:pPr>
      <w:rPr>
        <w:rFonts w:ascii="Courier New" w:hAnsi="Courier New" w:cs="Courier New" w:hint="default"/>
      </w:rPr>
    </w:lvl>
    <w:lvl w:ilvl="2" w:tplc="673CD032" w:tentative="1">
      <w:start w:val="1"/>
      <w:numFmt w:val="bullet"/>
      <w:lvlText w:val=""/>
      <w:lvlJc w:val="left"/>
      <w:pPr>
        <w:ind w:left="1810" w:hanging="360"/>
      </w:pPr>
      <w:rPr>
        <w:rFonts w:ascii="Wingdings" w:hAnsi="Wingdings" w:hint="default"/>
      </w:rPr>
    </w:lvl>
    <w:lvl w:ilvl="3" w:tplc="C8969A3E" w:tentative="1">
      <w:start w:val="1"/>
      <w:numFmt w:val="bullet"/>
      <w:lvlText w:val=""/>
      <w:lvlJc w:val="left"/>
      <w:pPr>
        <w:ind w:left="2530" w:hanging="360"/>
      </w:pPr>
      <w:rPr>
        <w:rFonts w:ascii="Symbol" w:hAnsi="Symbol" w:hint="default"/>
      </w:rPr>
    </w:lvl>
    <w:lvl w:ilvl="4" w:tplc="B22AA98A" w:tentative="1">
      <w:start w:val="1"/>
      <w:numFmt w:val="bullet"/>
      <w:lvlText w:val="o"/>
      <w:lvlJc w:val="left"/>
      <w:pPr>
        <w:ind w:left="3250" w:hanging="360"/>
      </w:pPr>
      <w:rPr>
        <w:rFonts w:ascii="Courier New" w:hAnsi="Courier New" w:cs="Courier New" w:hint="default"/>
      </w:rPr>
    </w:lvl>
    <w:lvl w:ilvl="5" w:tplc="8CB2221A" w:tentative="1">
      <w:start w:val="1"/>
      <w:numFmt w:val="bullet"/>
      <w:lvlText w:val=""/>
      <w:lvlJc w:val="left"/>
      <w:pPr>
        <w:ind w:left="3970" w:hanging="360"/>
      </w:pPr>
      <w:rPr>
        <w:rFonts w:ascii="Wingdings" w:hAnsi="Wingdings" w:hint="default"/>
      </w:rPr>
    </w:lvl>
    <w:lvl w:ilvl="6" w:tplc="B1AA34DC" w:tentative="1">
      <w:start w:val="1"/>
      <w:numFmt w:val="bullet"/>
      <w:lvlText w:val=""/>
      <w:lvlJc w:val="left"/>
      <w:pPr>
        <w:ind w:left="4690" w:hanging="360"/>
      </w:pPr>
      <w:rPr>
        <w:rFonts w:ascii="Symbol" w:hAnsi="Symbol" w:hint="default"/>
      </w:rPr>
    </w:lvl>
    <w:lvl w:ilvl="7" w:tplc="5A72612E" w:tentative="1">
      <w:start w:val="1"/>
      <w:numFmt w:val="bullet"/>
      <w:lvlText w:val="o"/>
      <w:lvlJc w:val="left"/>
      <w:pPr>
        <w:ind w:left="5410" w:hanging="360"/>
      </w:pPr>
      <w:rPr>
        <w:rFonts w:ascii="Courier New" w:hAnsi="Courier New" w:cs="Courier New" w:hint="default"/>
      </w:rPr>
    </w:lvl>
    <w:lvl w:ilvl="8" w:tplc="B92E94E0" w:tentative="1">
      <w:start w:val="1"/>
      <w:numFmt w:val="bullet"/>
      <w:lvlText w:val=""/>
      <w:lvlJc w:val="left"/>
      <w:pPr>
        <w:ind w:left="613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345"/>
    <w:rsid w:val="00034B38"/>
    <w:rsid w:val="000464AD"/>
    <w:rsid w:val="000562FB"/>
    <w:rsid w:val="00084AD0"/>
    <w:rsid w:val="0008713E"/>
    <w:rsid w:val="00090B2A"/>
    <w:rsid w:val="000D3B83"/>
    <w:rsid w:val="00124238"/>
    <w:rsid w:val="001244B5"/>
    <w:rsid w:val="001567C3"/>
    <w:rsid w:val="0017586A"/>
    <w:rsid w:val="001760E6"/>
    <w:rsid w:val="00194DFB"/>
    <w:rsid w:val="001F2510"/>
    <w:rsid w:val="001F7B18"/>
    <w:rsid w:val="002323C7"/>
    <w:rsid w:val="00237A06"/>
    <w:rsid w:val="002574E3"/>
    <w:rsid w:val="002728F2"/>
    <w:rsid w:val="002E0C7B"/>
    <w:rsid w:val="00310211"/>
    <w:rsid w:val="003133E4"/>
    <w:rsid w:val="0031447F"/>
    <w:rsid w:val="00331D78"/>
    <w:rsid w:val="0033732C"/>
    <w:rsid w:val="00357093"/>
    <w:rsid w:val="003633AC"/>
    <w:rsid w:val="00393450"/>
    <w:rsid w:val="00393B9A"/>
    <w:rsid w:val="003B641E"/>
    <w:rsid w:val="00401345"/>
    <w:rsid w:val="00410377"/>
    <w:rsid w:val="00410F5D"/>
    <w:rsid w:val="00435D1C"/>
    <w:rsid w:val="00475EA0"/>
    <w:rsid w:val="004A219D"/>
    <w:rsid w:val="004C4343"/>
    <w:rsid w:val="004D558A"/>
    <w:rsid w:val="004E1881"/>
    <w:rsid w:val="00555923"/>
    <w:rsid w:val="005846E2"/>
    <w:rsid w:val="00594777"/>
    <w:rsid w:val="005A3715"/>
    <w:rsid w:val="005E7776"/>
    <w:rsid w:val="006B1A5F"/>
    <w:rsid w:val="006D0514"/>
    <w:rsid w:val="006E0847"/>
    <w:rsid w:val="006F2D0E"/>
    <w:rsid w:val="00706367"/>
    <w:rsid w:val="00710172"/>
    <w:rsid w:val="00712D45"/>
    <w:rsid w:val="00714BC7"/>
    <w:rsid w:val="00736BDE"/>
    <w:rsid w:val="00747A1A"/>
    <w:rsid w:val="0076197D"/>
    <w:rsid w:val="00772350"/>
    <w:rsid w:val="007D73AE"/>
    <w:rsid w:val="00820042"/>
    <w:rsid w:val="00825716"/>
    <w:rsid w:val="00897BDC"/>
    <w:rsid w:val="008A0EE8"/>
    <w:rsid w:val="008A32AE"/>
    <w:rsid w:val="008C59DA"/>
    <w:rsid w:val="009030D2"/>
    <w:rsid w:val="0093276A"/>
    <w:rsid w:val="00941DCE"/>
    <w:rsid w:val="00950409"/>
    <w:rsid w:val="0095082B"/>
    <w:rsid w:val="00956536"/>
    <w:rsid w:val="00967B76"/>
    <w:rsid w:val="009F0CFF"/>
    <w:rsid w:val="00A0292F"/>
    <w:rsid w:val="00A03D63"/>
    <w:rsid w:val="00A31605"/>
    <w:rsid w:val="00AA07AA"/>
    <w:rsid w:val="00AB132C"/>
    <w:rsid w:val="00AD2C5C"/>
    <w:rsid w:val="00B02A6D"/>
    <w:rsid w:val="00B15F54"/>
    <w:rsid w:val="00B25D38"/>
    <w:rsid w:val="00B47C0B"/>
    <w:rsid w:val="00BC2003"/>
    <w:rsid w:val="00BC5D5C"/>
    <w:rsid w:val="00BF774D"/>
    <w:rsid w:val="00C11B86"/>
    <w:rsid w:val="00C37C0E"/>
    <w:rsid w:val="00C4436F"/>
    <w:rsid w:val="00C6014D"/>
    <w:rsid w:val="00C74F53"/>
    <w:rsid w:val="00C83DCD"/>
    <w:rsid w:val="00CE0B93"/>
    <w:rsid w:val="00D201D3"/>
    <w:rsid w:val="00D3006D"/>
    <w:rsid w:val="00D33BAB"/>
    <w:rsid w:val="00D8724F"/>
    <w:rsid w:val="00D902CF"/>
    <w:rsid w:val="00DB76ED"/>
    <w:rsid w:val="00DE1A5D"/>
    <w:rsid w:val="00E43D9F"/>
    <w:rsid w:val="00E50715"/>
    <w:rsid w:val="00E87257"/>
    <w:rsid w:val="00EB6917"/>
    <w:rsid w:val="00EB744B"/>
    <w:rsid w:val="00EC1316"/>
    <w:rsid w:val="00ED402D"/>
    <w:rsid w:val="00F33261"/>
    <w:rsid w:val="00F75869"/>
    <w:rsid w:val="00FD1675"/>
    <w:rsid w:val="00FE7F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F617327"/>
  <w15:docId w15:val="{8C058436-DAF1-4116-9278-855BF2784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0B2A"/>
    <w:pPr>
      <w:spacing w:line="360" w:lineRule="auto"/>
      <w:jc w:val="both"/>
    </w:pPr>
    <w:rPr>
      <w:rFonts w:ascii="Arial" w:eastAsia="Calibri" w:hAnsi="Arial" w:cs="Calibri"/>
      <w:color w:val="000000"/>
    </w:rPr>
  </w:style>
  <w:style w:type="paragraph" w:styleId="Heading1">
    <w:name w:val="heading 1"/>
    <w:next w:val="Normal"/>
    <w:link w:val="Heading1Char"/>
    <w:autoRedefine/>
    <w:uiPriority w:val="9"/>
    <w:qFormat/>
    <w:rsid w:val="00555923"/>
    <w:pPr>
      <w:keepNext/>
      <w:keepLines/>
      <w:spacing w:after="644" w:line="379" w:lineRule="auto"/>
      <w:ind w:left="10" w:right="6511" w:hanging="10"/>
      <w:jc w:val="right"/>
      <w:outlineLvl w:val="0"/>
    </w:pPr>
    <w:rPr>
      <w:rFonts w:ascii="Arial" w:eastAsia="Calibri" w:hAnsi="Arial" w:cs="Calibri"/>
      <w:b/>
      <w:color w:val="00B0F0"/>
      <w:sz w:val="28"/>
    </w:rPr>
  </w:style>
  <w:style w:type="paragraph" w:styleId="Heading2">
    <w:name w:val="heading 2"/>
    <w:next w:val="Normal"/>
    <w:link w:val="Heading2Char"/>
    <w:autoRedefine/>
    <w:uiPriority w:val="9"/>
    <w:unhideWhenUsed/>
    <w:qFormat/>
    <w:rsid w:val="004E1881"/>
    <w:pPr>
      <w:keepNext/>
      <w:keepLines/>
      <w:spacing w:after="40" w:line="360" w:lineRule="auto"/>
      <w:ind w:left="-5" w:hanging="10"/>
      <w:jc w:val="both"/>
      <w:outlineLvl w:val="1"/>
    </w:pPr>
    <w:rPr>
      <w:rFonts w:ascii="Arial" w:eastAsia="Calibri" w:hAnsi="Arial" w:cs="Calibri"/>
      <w:b/>
      <w:color w:val="2E74B5"/>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4E1881"/>
    <w:rPr>
      <w:rFonts w:ascii="Arial" w:eastAsia="Calibri" w:hAnsi="Arial" w:cs="Calibri"/>
      <w:b/>
      <w:color w:val="2E74B5"/>
      <w:sz w:val="26"/>
    </w:rPr>
  </w:style>
  <w:style w:type="character" w:customStyle="1" w:styleId="Heading1Char">
    <w:name w:val="Heading 1 Char"/>
    <w:link w:val="Heading1"/>
    <w:uiPriority w:val="9"/>
    <w:rsid w:val="00555923"/>
    <w:rPr>
      <w:rFonts w:ascii="Arial" w:eastAsia="Calibri" w:hAnsi="Arial" w:cs="Calibri"/>
      <w:b/>
      <w:color w:val="00B0F0"/>
      <w:sz w:val="28"/>
    </w:rPr>
  </w:style>
  <w:style w:type="paragraph" w:styleId="TOC1">
    <w:name w:val="toc 1"/>
    <w:hidden/>
    <w:pPr>
      <w:spacing w:after="94"/>
      <w:ind w:left="25" w:right="23" w:hanging="10"/>
    </w:pPr>
    <w:rPr>
      <w:rFonts w:ascii="Calibri" w:eastAsia="Calibri" w:hAnsi="Calibri" w:cs="Calibri"/>
      <w:color w:val="000000"/>
    </w:rPr>
  </w:style>
  <w:style w:type="paragraph" w:styleId="TOC2">
    <w:name w:val="toc 2"/>
    <w:hidden/>
    <w:pPr>
      <w:spacing w:after="94"/>
      <w:ind w:left="230" w:right="15" w:hanging="10"/>
      <w:jc w:val="right"/>
    </w:pPr>
    <w:rPr>
      <w:rFonts w:ascii="Calibri" w:eastAsia="Calibri" w:hAnsi="Calibri" w:cs="Calibri"/>
      <w:color w:val="000000"/>
    </w:rPr>
  </w:style>
  <w:style w:type="character" w:styleId="LineNumber">
    <w:name w:val="line number"/>
    <w:basedOn w:val="DefaultParagraphFont"/>
    <w:uiPriority w:val="99"/>
    <w:semiHidden/>
    <w:unhideWhenUsed/>
    <w:rsid w:val="003B641E"/>
  </w:style>
  <w:style w:type="paragraph" w:styleId="NormalWeb">
    <w:name w:val="Normal (Web)"/>
    <w:basedOn w:val="Normal"/>
    <w:uiPriority w:val="99"/>
    <w:semiHidden/>
    <w:unhideWhenUsed/>
    <w:rsid w:val="00555923"/>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paragraph" w:styleId="ListParagraph">
    <w:name w:val="List Paragraph"/>
    <w:basedOn w:val="Normal"/>
    <w:uiPriority w:val="34"/>
    <w:qFormat/>
    <w:rsid w:val="005559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footer" Target="footer3.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oter" Target="footer2.xml" /><Relationship Id="rId5" Type="http://schemas.openxmlformats.org/officeDocument/2006/relationships/footnotes" Target="footnotes.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image" Target="media/image2.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2248</Words>
  <Characters>12815</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 Pitson</dc:creator>
  <cp:lastModifiedBy>Adinahrin@outlook.com</cp:lastModifiedBy>
  <cp:revision>2</cp:revision>
  <dcterms:created xsi:type="dcterms:W3CDTF">2022-03-23T09:17:00Z</dcterms:created>
  <dcterms:modified xsi:type="dcterms:W3CDTF">2022-03-23T09:17:00Z</dcterms:modified>
</cp:coreProperties>
</file>