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68BCB2" w14:textId="2129BEF8" w:rsidR="00D3683A" w:rsidRDefault="00805C8C" w:rsidP="009E7020">
      <w:pPr>
        <w:rPr>
          <w:color w:val="000000" w:themeColor="text1"/>
        </w:rPr>
      </w:pPr>
      <w:r>
        <w:rPr>
          <w:color w:val="000000" w:themeColor="text1"/>
        </w:rPr>
        <w:t>Whilst initially used to afford trustees a layer of protection against honest mistakes</w:t>
      </w:r>
      <w:r w:rsidR="00466A6E">
        <w:rPr>
          <w:color w:val="000000" w:themeColor="text1"/>
        </w:rPr>
        <w:t>,</w:t>
      </w:r>
      <w:r>
        <w:rPr>
          <w:color w:val="000000" w:themeColor="text1"/>
        </w:rPr>
        <w:t xml:space="preserve"> the </w:t>
      </w:r>
      <w:r w:rsidR="001718FF">
        <w:rPr>
          <w:color w:val="000000" w:themeColor="text1"/>
        </w:rPr>
        <w:t>use of exemption clauses</w:t>
      </w:r>
      <w:r w:rsidR="00BB7C51">
        <w:rPr>
          <w:color w:val="000000" w:themeColor="text1"/>
        </w:rPr>
        <w:t xml:space="preserve"> by professional </w:t>
      </w:r>
      <w:r w:rsidR="00EB7BEE">
        <w:rPr>
          <w:color w:val="000000" w:themeColor="text1"/>
        </w:rPr>
        <w:t>trustees calls attention to</w:t>
      </w:r>
      <w:r w:rsidR="00B024B1">
        <w:rPr>
          <w:color w:val="000000" w:themeColor="text1"/>
        </w:rPr>
        <w:t xml:space="preserve"> condemning legal and ethical</w:t>
      </w:r>
      <w:r w:rsidR="00EB7BEE">
        <w:rPr>
          <w:color w:val="000000" w:themeColor="text1"/>
        </w:rPr>
        <w:t xml:space="preserve"> concerns</w:t>
      </w:r>
      <w:sdt>
        <w:sdtPr>
          <w:rPr>
            <w:color w:val="000000" w:themeColor="text1"/>
          </w:rPr>
          <w:id w:val="-861672305"/>
          <w:citation/>
        </w:sdtPr>
        <w:sdtContent>
          <w:r w:rsidR="00135D50">
            <w:rPr>
              <w:color w:val="000000" w:themeColor="text1"/>
            </w:rPr>
            <w:fldChar w:fldCharType="begin"/>
          </w:r>
          <w:r w:rsidR="00135D50">
            <w:rPr>
              <w:color w:val="000000" w:themeColor="text1"/>
            </w:rPr>
            <w:instrText xml:space="preserve"> CITATION Coh14 \l 2057 </w:instrText>
          </w:r>
          <w:r w:rsidR="00135D50">
            <w:rPr>
              <w:color w:val="000000" w:themeColor="text1"/>
            </w:rPr>
            <w:fldChar w:fldCharType="separate"/>
          </w:r>
          <w:r w:rsidR="00135D50">
            <w:rPr>
              <w:noProof/>
              <w:color w:val="000000" w:themeColor="text1"/>
            </w:rPr>
            <w:t xml:space="preserve"> </w:t>
          </w:r>
          <w:r w:rsidR="00135D50" w:rsidRPr="00135D50">
            <w:rPr>
              <w:noProof/>
              <w:color w:val="000000" w:themeColor="text1"/>
            </w:rPr>
            <w:t>(Cohen &amp; Seymour, 2014)</w:t>
          </w:r>
          <w:r w:rsidR="00135D50">
            <w:rPr>
              <w:color w:val="000000" w:themeColor="text1"/>
            </w:rPr>
            <w:fldChar w:fldCharType="end"/>
          </w:r>
        </w:sdtContent>
      </w:sdt>
      <w:r w:rsidR="005B6CA3">
        <w:rPr>
          <w:color w:val="000000" w:themeColor="text1"/>
        </w:rPr>
        <w:t>.</w:t>
      </w:r>
      <w:r w:rsidR="002F2DC7">
        <w:rPr>
          <w:color w:val="000000" w:themeColor="text1"/>
        </w:rPr>
        <w:t xml:space="preserve"> </w:t>
      </w:r>
      <w:r w:rsidR="00ED448F">
        <w:rPr>
          <w:color w:val="000000" w:themeColor="text1"/>
        </w:rPr>
        <w:t>Proponents of</w:t>
      </w:r>
      <w:r w:rsidR="00532C93">
        <w:rPr>
          <w:color w:val="000000" w:themeColor="text1"/>
        </w:rPr>
        <w:t xml:space="preserve"> ex</w:t>
      </w:r>
      <w:r w:rsidR="00F752B0">
        <w:rPr>
          <w:color w:val="000000" w:themeColor="text1"/>
        </w:rPr>
        <w:t>emption</w:t>
      </w:r>
      <w:r w:rsidR="00532C93">
        <w:rPr>
          <w:color w:val="000000" w:themeColor="text1"/>
        </w:rPr>
        <w:t xml:space="preserve"> clauses put forward that</w:t>
      </w:r>
      <w:r w:rsidR="00924B37">
        <w:rPr>
          <w:color w:val="000000" w:themeColor="text1"/>
        </w:rPr>
        <w:t xml:space="preserve"> their use works to encourage professionals to undertake the role of a trustee</w:t>
      </w:r>
      <w:r w:rsidR="00442164">
        <w:rPr>
          <w:color w:val="000000" w:themeColor="text1"/>
        </w:rPr>
        <w:t xml:space="preserve"> without concerns of excessive liability</w:t>
      </w:r>
      <w:sdt>
        <w:sdtPr>
          <w:rPr>
            <w:color w:val="000000" w:themeColor="text1"/>
          </w:rPr>
          <w:id w:val="300583738"/>
          <w:citation/>
        </w:sdtPr>
        <w:sdtContent>
          <w:r w:rsidR="00C2426E">
            <w:rPr>
              <w:color w:val="000000" w:themeColor="text1"/>
            </w:rPr>
            <w:fldChar w:fldCharType="begin"/>
          </w:r>
          <w:r w:rsidR="00C2426E">
            <w:rPr>
              <w:color w:val="000000" w:themeColor="text1"/>
            </w:rPr>
            <w:instrText xml:space="preserve"> CITATION Nic09 \l 2057 </w:instrText>
          </w:r>
          <w:r w:rsidR="00C2426E">
            <w:rPr>
              <w:color w:val="000000" w:themeColor="text1"/>
            </w:rPr>
            <w:fldChar w:fldCharType="separate"/>
          </w:r>
          <w:r w:rsidR="00C2426E">
            <w:rPr>
              <w:noProof/>
              <w:color w:val="000000" w:themeColor="text1"/>
            </w:rPr>
            <w:t xml:space="preserve"> </w:t>
          </w:r>
          <w:r w:rsidR="00C2426E" w:rsidRPr="00C2426E">
            <w:rPr>
              <w:noProof/>
              <w:color w:val="000000" w:themeColor="text1"/>
            </w:rPr>
            <w:t>(McBride, 2009)</w:t>
          </w:r>
          <w:r w:rsidR="00C2426E">
            <w:rPr>
              <w:color w:val="000000" w:themeColor="text1"/>
            </w:rPr>
            <w:fldChar w:fldCharType="end"/>
          </w:r>
        </w:sdtContent>
      </w:sdt>
      <w:r w:rsidR="00442164">
        <w:rPr>
          <w:color w:val="000000" w:themeColor="text1"/>
        </w:rPr>
        <w:t xml:space="preserve">. However, the </w:t>
      </w:r>
      <w:r w:rsidR="00466A6E">
        <w:rPr>
          <w:color w:val="000000" w:themeColor="text1"/>
        </w:rPr>
        <w:t>capability</w:t>
      </w:r>
      <w:r w:rsidR="00442164">
        <w:rPr>
          <w:color w:val="000000" w:themeColor="text1"/>
        </w:rPr>
        <w:t xml:space="preserve"> to </w:t>
      </w:r>
      <w:r w:rsidR="00BA31AD">
        <w:rPr>
          <w:color w:val="000000" w:themeColor="text1"/>
        </w:rPr>
        <w:t>limit liability stands in stark contrast</w:t>
      </w:r>
      <w:r w:rsidR="009C01FF">
        <w:rPr>
          <w:color w:val="000000" w:themeColor="text1"/>
        </w:rPr>
        <w:t xml:space="preserve"> to</w:t>
      </w:r>
      <w:r w:rsidR="00D61B76">
        <w:rPr>
          <w:color w:val="000000" w:themeColor="text1"/>
        </w:rPr>
        <w:t xml:space="preserve"> the</w:t>
      </w:r>
      <w:r w:rsidR="009C01FF">
        <w:rPr>
          <w:color w:val="000000" w:themeColor="text1"/>
        </w:rPr>
        <w:t xml:space="preserve"> </w:t>
      </w:r>
      <w:r w:rsidR="00136C6E">
        <w:rPr>
          <w:color w:val="000000" w:themeColor="text1"/>
        </w:rPr>
        <w:t>high standard of expectatio</w:t>
      </w:r>
      <w:r w:rsidR="00D61B76">
        <w:rPr>
          <w:color w:val="000000" w:themeColor="text1"/>
        </w:rPr>
        <w:t>n</w:t>
      </w:r>
      <w:r w:rsidR="009900B3">
        <w:rPr>
          <w:color w:val="000000" w:themeColor="text1"/>
        </w:rPr>
        <w:t xml:space="preserve"> </w:t>
      </w:r>
      <w:r w:rsidR="0048739B">
        <w:rPr>
          <w:color w:val="000000" w:themeColor="text1"/>
        </w:rPr>
        <w:t>placed upon</w:t>
      </w:r>
      <w:r w:rsidR="009900B3">
        <w:rPr>
          <w:color w:val="000000" w:themeColor="text1"/>
        </w:rPr>
        <w:t xml:space="preserve"> professionals</w:t>
      </w:r>
      <w:r w:rsidR="004623F9">
        <w:rPr>
          <w:color w:val="000000" w:themeColor="text1"/>
        </w:rPr>
        <w:t>, who are generally instructed</w:t>
      </w:r>
      <w:r w:rsidR="00E86E8C">
        <w:rPr>
          <w:color w:val="000000" w:themeColor="text1"/>
        </w:rPr>
        <w:t xml:space="preserve"> for their expertise </w:t>
      </w:r>
      <w:r w:rsidR="003D1B11">
        <w:rPr>
          <w:color w:val="000000" w:themeColor="text1"/>
        </w:rPr>
        <w:t>and trust</w:t>
      </w:r>
      <w:sdt>
        <w:sdtPr>
          <w:rPr>
            <w:color w:val="000000" w:themeColor="text1"/>
          </w:rPr>
          <w:id w:val="471178001"/>
          <w:citation/>
        </w:sdtPr>
        <w:sdtContent>
          <w:r w:rsidR="00C2426E">
            <w:rPr>
              <w:color w:val="000000" w:themeColor="text1"/>
            </w:rPr>
            <w:fldChar w:fldCharType="begin"/>
          </w:r>
          <w:r w:rsidR="00C2426E">
            <w:rPr>
              <w:color w:val="000000" w:themeColor="text1"/>
            </w:rPr>
            <w:instrText xml:space="preserve"> CITATION Ale \l 2057 </w:instrText>
          </w:r>
          <w:r w:rsidR="00C2426E">
            <w:rPr>
              <w:color w:val="000000" w:themeColor="text1"/>
            </w:rPr>
            <w:fldChar w:fldCharType="separate"/>
          </w:r>
          <w:r w:rsidR="00C2426E">
            <w:rPr>
              <w:noProof/>
              <w:color w:val="000000" w:themeColor="text1"/>
            </w:rPr>
            <w:t xml:space="preserve"> </w:t>
          </w:r>
          <w:r w:rsidR="00C2426E" w:rsidRPr="00C2426E">
            <w:rPr>
              <w:noProof/>
              <w:color w:val="000000" w:themeColor="text1"/>
            </w:rPr>
            <w:t>(Usilova, 2016)</w:t>
          </w:r>
          <w:r w:rsidR="00C2426E">
            <w:rPr>
              <w:color w:val="000000" w:themeColor="text1"/>
            </w:rPr>
            <w:fldChar w:fldCharType="end"/>
          </w:r>
        </w:sdtContent>
      </w:sdt>
      <w:r w:rsidR="002244E5">
        <w:rPr>
          <w:color w:val="000000" w:themeColor="text1"/>
        </w:rPr>
        <w:t xml:space="preserve">. </w:t>
      </w:r>
      <w:r w:rsidR="00C93F21">
        <w:rPr>
          <w:color w:val="000000" w:themeColor="text1"/>
        </w:rPr>
        <w:t xml:space="preserve">This </w:t>
      </w:r>
      <w:r w:rsidR="000004ED">
        <w:rPr>
          <w:color w:val="000000" w:themeColor="text1"/>
        </w:rPr>
        <w:t xml:space="preserve">report </w:t>
      </w:r>
      <w:r w:rsidR="00023C78">
        <w:rPr>
          <w:color w:val="000000" w:themeColor="text1"/>
        </w:rPr>
        <w:t>will</w:t>
      </w:r>
      <w:r w:rsidR="000004ED">
        <w:rPr>
          <w:color w:val="000000" w:themeColor="text1"/>
        </w:rPr>
        <w:t xml:space="preserve"> </w:t>
      </w:r>
      <w:r w:rsidR="00AE1280">
        <w:rPr>
          <w:color w:val="000000" w:themeColor="text1"/>
        </w:rPr>
        <w:t xml:space="preserve">evaluate the need for reform in this area by proposing </w:t>
      </w:r>
      <w:r w:rsidR="00082252">
        <w:rPr>
          <w:color w:val="000000" w:themeColor="text1"/>
        </w:rPr>
        <w:t>legislation to revoke</w:t>
      </w:r>
      <w:r w:rsidR="009A0AA8">
        <w:rPr>
          <w:color w:val="000000" w:themeColor="text1"/>
        </w:rPr>
        <w:t xml:space="preserve"> the use of ex</w:t>
      </w:r>
      <w:r w:rsidR="00F752B0">
        <w:rPr>
          <w:color w:val="000000" w:themeColor="text1"/>
        </w:rPr>
        <w:t xml:space="preserve">emption </w:t>
      </w:r>
      <w:r w:rsidR="009A0AA8">
        <w:rPr>
          <w:color w:val="000000" w:themeColor="text1"/>
        </w:rPr>
        <w:t xml:space="preserve">clauses for professional </w:t>
      </w:r>
      <w:r w:rsidR="00F752B0">
        <w:rPr>
          <w:color w:val="000000" w:themeColor="text1"/>
        </w:rPr>
        <w:t>trustees and</w:t>
      </w:r>
      <w:r w:rsidR="00C57F73">
        <w:rPr>
          <w:color w:val="000000" w:themeColor="text1"/>
        </w:rPr>
        <w:t xml:space="preserve"> will find that </w:t>
      </w:r>
      <w:r w:rsidR="000006B2">
        <w:rPr>
          <w:color w:val="000000" w:themeColor="text1"/>
        </w:rPr>
        <w:t>reform is required</w:t>
      </w:r>
      <w:r w:rsidR="009A0AA8">
        <w:rPr>
          <w:color w:val="000000" w:themeColor="text1"/>
        </w:rPr>
        <w:t xml:space="preserve">. This will be </w:t>
      </w:r>
      <w:r w:rsidR="008C08AE">
        <w:rPr>
          <w:color w:val="000000" w:themeColor="text1"/>
        </w:rPr>
        <w:t>demonstrated</w:t>
      </w:r>
      <w:r w:rsidR="00CD6AE0">
        <w:rPr>
          <w:color w:val="000000" w:themeColor="text1"/>
        </w:rPr>
        <w:t xml:space="preserve"> by a view of the duties owed </w:t>
      </w:r>
      <w:r w:rsidR="00027491">
        <w:rPr>
          <w:color w:val="000000" w:themeColor="text1"/>
        </w:rPr>
        <w:t>by trustees</w:t>
      </w:r>
      <w:r w:rsidR="00CD6AE0">
        <w:rPr>
          <w:color w:val="000000" w:themeColor="text1"/>
        </w:rPr>
        <w:t xml:space="preserve">, </w:t>
      </w:r>
      <w:r w:rsidR="009A40BD">
        <w:rPr>
          <w:color w:val="000000" w:themeColor="text1"/>
        </w:rPr>
        <w:t>the current</w:t>
      </w:r>
      <w:r w:rsidR="00CD6AE0">
        <w:rPr>
          <w:color w:val="000000" w:themeColor="text1"/>
        </w:rPr>
        <w:t xml:space="preserve"> legal stance</w:t>
      </w:r>
      <w:r w:rsidR="000F22FB">
        <w:rPr>
          <w:color w:val="000000" w:themeColor="text1"/>
        </w:rPr>
        <w:t xml:space="preserve">, </w:t>
      </w:r>
      <w:r w:rsidR="0013258A">
        <w:rPr>
          <w:color w:val="000000" w:themeColor="text1"/>
        </w:rPr>
        <w:t>the main</w:t>
      </w:r>
      <w:r w:rsidR="000006B2">
        <w:rPr>
          <w:color w:val="000000" w:themeColor="text1"/>
        </w:rPr>
        <w:t xml:space="preserve"> </w:t>
      </w:r>
      <w:r w:rsidR="009A40BD">
        <w:rPr>
          <w:color w:val="000000" w:themeColor="text1"/>
        </w:rPr>
        <w:t>issue</w:t>
      </w:r>
      <w:r w:rsidR="00BE6157">
        <w:rPr>
          <w:color w:val="000000" w:themeColor="text1"/>
        </w:rPr>
        <w:t>s</w:t>
      </w:r>
      <w:r w:rsidR="009A40BD">
        <w:rPr>
          <w:color w:val="000000" w:themeColor="text1"/>
        </w:rPr>
        <w:t xml:space="preserve"> arising </w:t>
      </w:r>
      <w:r w:rsidR="000006B2">
        <w:rPr>
          <w:color w:val="000000" w:themeColor="text1"/>
        </w:rPr>
        <w:t>from their use</w:t>
      </w:r>
      <w:r w:rsidR="009A40BD">
        <w:rPr>
          <w:color w:val="000000" w:themeColor="text1"/>
        </w:rPr>
        <w:t xml:space="preserve">, </w:t>
      </w:r>
      <w:r w:rsidR="005D6320">
        <w:rPr>
          <w:color w:val="000000" w:themeColor="text1"/>
        </w:rPr>
        <w:t>the proposed refo</w:t>
      </w:r>
      <w:r w:rsidR="00BD42E6">
        <w:rPr>
          <w:color w:val="000000" w:themeColor="text1"/>
        </w:rPr>
        <w:t>rm and an analysis of its potential impact.</w:t>
      </w:r>
    </w:p>
    <w:p w14:paraId="02226AC6" w14:textId="68CF07B8" w:rsidR="00DC449E" w:rsidRDefault="00024EDE" w:rsidP="009E7020">
      <w:pPr>
        <w:rPr>
          <w:color w:val="FF0000"/>
        </w:rPr>
      </w:pPr>
      <w:r>
        <w:rPr>
          <w:color w:val="000000" w:themeColor="text1"/>
        </w:rPr>
        <w:t xml:space="preserve">The duties owed by trustees </w:t>
      </w:r>
      <w:r w:rsidR="009E00F2">
        <w:rPr>
          <w:color w:val="000000" w:themeColor="text1"/>
        </w:rPr>
        <w:t xml:space="preserve">are sourced from many areas of </w:t>
      </w:r>
      <w:r w:rsidR="00853B3C">
        <w:rPr>
          <w:color w:val="000000" w:themeColor="text1"/>
        </w:rPr>
        <w:t>the law</w:t>
      </w:r>
      <w:r w:rsidR="000F3A56">
        <w:rPr>
          <w:color w:val="000000" w:themeColor="text1"/>
        </w:rPr>
        <w:t>. N</w:t>
      </w:r>
      <w:r>
        <w:rPr>
          <w:color w:val="000000" w:themeColor="text1"/>
        </w:rPr>
        <w:t>amely, strict liability, common law, statut</w:t>
      </w:r>
      <w:r w:rsidR="000B18DA">
        <w:rPr>
          <w:color w:val="000000" w:themeColor="text1"/>
        </w:rPr>
        <w:t>e and fiduciary duties</w:t>
      </w:r>
      <w:sdt>
        <w:sdtPr>
          <w:rPr>
            <w:color w:val="000000" w:themeColor="text1"/>
          </w:rPr>
          <w:id w:val="-686443408"/>
          <w:citation/>
        </w:sdtPr>
        <w:sdtContent>
          <w:r w:rsidR="001226FB">
            <w:rPr>
              <w:color w:val="000000" w:themeColor="text1"/>
            </w:rPr>
            <w:fldChar w:fldCharType="begin"/>
          </w:r>
          <w:r w:rsidR="001226FB">
            <w:rPr>
              <w:color w:val="000000" w:themeColor="text1"/>
            </w:rPr>
            <w:instrText xml:space="preserve"> CITATION Ala21 \l 2057 </w:instrText>
          </w:r>
          <w:r w:rsidR="001226FB">
            <w:rPr>
              <w:color w:val="000000" w:themeColor="text1"/>
            </w:rPr>
            <w:fldChar w:fldCharType="separate"/>
          </w:r>
          <w:r w:rsidR="001226FB">
            <w:rPr>
              <w:noProof/>
              <w:color w:val="000000" w:themeColor="text1"/>
            </w:rPr>
            <w:t xml:space="preserve"> </w:t>
          </w:r>
          <w:r w:rsidR="001226FB" w:rsidRPr="001226FB">
            <w:rPr>
              <w:noProof/>
              <w:color w:val="000000" w:themeColor="text1"/>
            </w:rPr>
            <w:t>(Hudson, 2021)</w:t>
          </w:r>
          <w:r w:rsidR="001226FB">
            <w:rPr>
              <w:color w:val="000000" w:themeColor="text1"/>
            </w:rPr>
            <w:fldChar w:fldCharType="end"/>
          </w:r>
        </w:sdtContent>
      </w:sdt>
      <w:r w:rsidR="000B18DA">
        <w:rPr>
          <w:color w:val="000000" w:themeColor="text1"/>
        </w:rPr>
        <w:t>.</w:t>
      </w:r>
      <w:r w:rsidR="00983ECB">
        <w:rPr>
          <w:color w:val="000000" w:themeColor="text1"/>
        </w:rPr>
        <w:t xml:space="preserve"> The</w:t>
      </w:r>
      <w:r w:rsidR="005F397B">
        <w:rPr>
          <w:color w:val="000000" w:themeColor="text1"/>
        </w:rPr>
        <w:t xml:space="preserve"> </w:t>
      </w:r>
      <w:r w:rsidR="0040718C">
        <w:rPr>
          <w:color w:val="000000" w:themeColor="text1"/>
        </w:rPr>
        <w:t>trustees’</w:t>
      </w:r>
      <w:r w:rsidR="005F397B">
        <w:rPr>
          <w:color w:val="000000" w:themeColor="text1"/>
        </w:rPr>
        <w:t xml:space="preserve"> </w:t>
      </w:r>
      <w:r w:rsidR="00A30FBB">
        <w:rPr>
          <w:color w:val="000000" w:themeColor="text1"/>
        </w:rPr>
        <w:t xml:space="preserve">overriding objective is to </w:t>
      </w:r>
      <w:r w:rsidR="002837EF">
        <w:rPr>
          <w:color w:val="000000" w:themeColor="text1"/>
        </w:rPr>
        <w:t xml:space="preserve">act upon the </w:t>
      </w:r>
      <w:r w:rsidR="00853B3C">
        <w:rPr>
          <w:color w:val="000000" w:themeColor="text1"/>
        </w:rPr>
        <w:t>settlor’s</w:t>
      </w:r>
      <w:r w:rsidR="002837EF">
        <w:rPr>
          <w:color w:val="000000" w:themeColor="text1"/>
        </w:rPr>
        <w:t xml:space="preserve"> intentions as specified in </w:t>
      </w:r>
      <w:r w:rsidR="002837EF" w:rsidRPr="00CC3586">
        <w:rPr>
          <w:color w:val="000000" w:themeColor="text1"/>
        </w:rPr>
        <w:t>Hallows v Lloyd (1888)</w:t>
      </w:r>
      <w:r w:rsidR="002837EF" w:rsidRPr="00853B3C">
        <w:rPr>
          <w:color w:val="FF0000"/>
        </w:rPr>
        <w:t>.</w:t>
      </w:r>
      <w:r w:rsidR="00D80118" w:rsidRPr="00853B3C">
        <w:rPr>
          <w:color w:val="FF0000"/>
        </w:rPr>
        <w:t xml:space="preserve"> </w:t>
      </w:r>
      <w:r w:rsidR="00652042" w:rsidRPr="00853B3C">
        <w:rPr>
          <w:color w:val="FF0000"/>
        </w:rPr>
        <w:t xml:space="preserve"> </w:t>
      </w:r>
      <w:r w:rsidR="00983ECB">
        <w:rPr>
          <w:color w:val="000000" w:themeColor="text1"/>
        </w:rPr>
        <w:t>In instances of strict liability,</w:t>
      </w:r>
      <w:r w:rsidR="00B00BD5">
        <w:rPr>
          <w:color w:val="000000" w:themeColor="text1"/>
        </w:rPr>
        <w:t xml:space="preserve"> </w:t>
      </w:r>
      <w:r w:rsidR="00B00BD5" w:rsidRPr="00493CF1">
        <w:rPr>
          <w:color w:val="000000" w:themeColor="text1"/>
        </w:rPr>
        <w:t>Futter and Another v HMRC, Pitt and another v HMRC (2013</w:t>
      </w:r>
      <w:r w:rsidR="00E955B6">
        <w:rPr>
          <w:color w:val="000000" w:themeColor="text1"/>
        </w:rPr>
        <w:t xml:space="preserve">) provide that when trustees take </w:t>
      </w:r>
      <w:r w:rsidR="00A402F6">
        <w:rPr>
          <w:color w:val="000000" w:themeColor="text1"/>
        </w:rPr>
        <w:t>unauthorised action,</w:t>
      </w:r>
      <w:r w:rsidR="00090188">
        <w:rPr>
          <w:color w:val="000000" w:themeColor="text1"/>
        </w:rPr>
        <w:t xml:space="preserve"> th</w:t>
      </w:r>
      <w:r w:rsidR="006E2CC6">
        <w:rPr>
          <w:color w:val="000000" w:themeColor="text1"/>
        </w:rPr>
        <w:t xml:space="preserve">ey face liability for a breach of trust </w:t>
      </w:r>
      <w:r w:rsidR="00B01763">
        <w:rPr>
          <w:color w:val="000000" w:themeColor="text1"/>
        </w:rPr>
        <w:t>irrespective of fault.</w:t>
      </w:r>
      <w:r w:rsidR="002415ED">
        <w:rPr>
          <w:color w:val="000000" w:themeColor="text1"/>
        </w:rPr>
        <w:t xml:space="preserve"> </w:t>
      </w:r>
      <w:r w:rsidR="00E63115">
        <w:rPr>
          <w:color w:val="000000" w:themeColor="text1"/>
        </w:rPr>
        <w:t xml:space="preserve">A common law breach of trust arises when </w:t>
      </w:r>
      <w:r w:rsidR="0093482D">
        <w:rPr>
          <w:color w:val="000000" w:themeColor="text1"/>
        </w:rPr>
        <w:t xml:space="preserve">a </w:t>
      </w:r>
      <w:r w:rsidR="00446878">
        <w:rPr>
          <w:color w:val="000000" w:themeColor="text1"/>
        </w:rPr>
        <w:t>trustee’s</w:t>
      </w:r>
      <w:r w:rsidR="0093482D">
        <w:rPr>
          <w:color w:val="000000" w:themeColor="text1"/>
        </w:rPr>
        <w:t xml:space="preserve"> expected duties are carried out, but in a manner </w:t>
      </w:r>
      <w:r w:rsidR="0088152F">
        <w:rPr>
          <w:color w:val="000000" w:themeColor="text1"/>
        </w:rPr>
        <w:t xml:space="preserve">that does not </w:t>
      </w:r>
      <w:r w:rsidR="00446878">
        <w:rPr>
          <w:color w:val="000000" w:themeColor="text1"/>
        </w:rPr>
        <w:t xml:space="preserve">satisfy </w:t>
      </w:r>
      <w:r w:rsidR="0088152F">
        <w:rPr>
          <w:color w:val="000000" w:themeColor="text1"/>
        </w:rPr>
        <w:t>the</w:t>
      </w:r>
      <w:r w:rsidR="00AA6DE5">
        <w:rPr>
          <w:color w:val="000000" w:themeColor="text1"/>
        </w:rPr>
        <w:t xml:space="preserve"> standard</w:t>
      </w:r>
      <w:r w:rsidR="00446878">
        <w:rPr>
          <w:color w:val="000000" w:themeColor="text1"/>
        </w:rPr>
        <w:t>s expected</w:t>
      </w:r>
      <w:sdt>
        <w:sdtPr>
          <w:rPr>
            <w:color w:val="000000" w:themeColor="text1"/>
          </w:rPr>
          <w:id w:val="-376236040"/>
          <w:citation/>
        </w:sdtPr>
        <w:sdtContent>
          <w:r w:rsidR="001226FB">
            <w:rPr>
              <w:color w:val="000000" w:themeColor="text1"/>
            </w:rPr>
            <w:fldChar w:fldCharType="begin"/>
          </w:r>
          <w:r w:rsidR="001226FB">
            <w:rPr>
              <w:color w:val="000000" w:themeColor="text1"/>
            </w:rPr>
            <w:instrText xml:space="preserve"> CITATION Ala21 \l 2057 </w:instrText>
          </w:r>
          <w:r w:rsidR="001226FB">
            <w:rPr>
              <w:color w:val="000000" w:themeColor="text1"/>
            </w:rPr>
            <w:fldChar w:fldCharType="separate"/>
          </w:r>
          <w:r w:rsidR="001226FB">
            <w:rPr>
              <w:noProof/>
              <w:color w:val="000000" w:themeColor="text1"/>
            </w:rPr>
            <w:t xml:space="preserve"> </w:t>
          </w:r>
          <w:r w:rsidR="001226FB" w:rsidRPr="001226FB">
            <w:rPr>
              <w:noProof/>
              <w:color w:val="000000" w:themeColor="text1"/>
            </w:rPr>
            <w:t>(Hudson, 2021)</w:t>
          </w:r>
          <w:r w:rsidR="001226FB">
            <w:rPr>
              <w:color w:val="000000" w:themeColor="text1"/>
            </w:rPr>
            <w:fldChar w:fldCharType="end"/>
          </w:r>
        </w:sdtContent>
      </w:sdt>
      <w:r w:rsidR="00AA6DE5">
        <w:rPr>
          <w:color w:val="000000" w:themeColor="text1"/>
        </w:rPr>
        <w:t>.</w:t>
      </w:r>
      <w:r w:rsidR="009C772A">
        <w:rPr>
          <w:color w:val="000000" w:themeColor="text1"/>
        </w:rPr>
        <w:t xml:space="preserve"> Case law has </w:t>
      </w:r>
      <w:r w:rsidR="00611DF7">
        <w:rPr>
          <w:color w:val="000000" w:themeColor="text1"/>
        </w:rPr>
        <w:t>established many principles</w:t>
      </w:r>
      <w:r w:rsidR="004B7286">
        <w:rPr>
          <w:color w:val="000000" w:themeColor="text1"/>
        </w:rPr>
        <w:t xml:space="preserve">, but the general standpoint </w:t>
      </w:r>
      <w:r w:rsidR="00604616">
        <w:rPr>
          <w:color w:val="000000" w:themeColor="text1"/>
        </w:rPr>
        <w:t xml:space="preserve">established in </w:t>
      </w:r>
      <w:proofErr w:type="spellStart"/>
      <w:r w:rsidR="00604616" w:rsidRPr="00B849E3">
        <w:rPr>
          <w:color w:val="000000" w:themeColor="text1"/>
        </w:rPr>
        <w:t>Learoyd</w:t>
      </w:r>
      <w:proofErr w:type="spellEnd"/>
      <w:r w:rsidR="00604616" w:rsidRPr="00B849E3">
        <w:rPr>
          <w:color w:val="000000" w:themeColor="text1"/>
        </w:rPr>
        <w:t xml:space="preserve"> v Whitely (1887</w:t>
      </w:r>
      <w:r w:rsidR="004A13D1" w:rsidRPr="00B849E3">
        <w:rPr>
          <w:color w:val="000000" w:themeColor="text1"/>
        </w:rPr>
        <w:t xml:space="preserve">) </w:t>
      </w:r>
      <w:r w:rsidR="002F23D7" w:rsidRPr="00B849E3">
        <w:rPr>
          <w:color w:val="000000" w:themeColor="text1"/>
        </w:rPr>
        <w:t xml:space="preserve">requires </w:t>
      </w:r>
      <w:r w:rsidR="002F23D7" w:rsidRPr="007463E8">
        <w:rPr>
          <w:color w:val="000000" w:themeColor="text1"/>
        </w:rPr>
        <w:t>trustees</w:t>
      </w:r>
      <w:r w:rsidR="007463E8" w:rsidRPr="007463E8">
        <w:rPr>
          <w:color w:val="000000" w:themeColor="text1"/>
        </w:rPr>
        <w:t xml:space="preserve"> to </w:t>
      </w:r>
      <w:r w:rsidR="007450B4">
        <w:t>handle trust property with the same care and integrity as they would for their own affairs</w:t>
      </w:r>
      <w:r w:rsidR="00CA664F">
        <w:t xml:space="preserve">. Ultimately, they must act </w:t>
      </w:r>
      <w:r w:rsidR="002F23D7">
        <w:t>with</w:t>
      </w:r>
      <w:r w:rsidR="00CA664F">
        <w:t>in the best interests of beneficiaries (</w:t>
      </w:r>
      <w:r w:rsidR="00CA664F" w:rsidRPr="00747C47">
        <w:rPr>
          <w:color w:val="000000" w:themeColor="text1"/>
        </w:rPr>
        <w:t>Cowan v Scargill 1985</w:t>
      </w:r>
      <w:r w:rsidR="004A13D1" w:rsidRPr="00747C47">
        <w:rPr>
          <w:color w:val="000000" w:themeColor="text1"/>
        </w:rPr>
        <w:t>)</w:t>
      </w:r>
      <w:r w:rsidR="004A13D1">
        <w:t xml:space="preserve"> and</w:t>
      </w:r>
      <w:r w:rsidR="00FC15FF">
        <w:t xml:space="preserve"> take steps to protect and maintain</w:t>
      </w:r>
      <w:r w:rsidR="00315B01">
        <w:t xml:space="preserve"> the assets of the trust (</w:t>
      </w:r>
      <w:r w:rsidR="00315B01" w:rsidRPr="00530360">
        <w:rPr>
          <w:color w:val="000000" w:themeColor="text1"/>
        </w:rPr>
        <w:t>RE Wragg 1919</w:t>
      </w:r>
      <w:r w:rsidR="00315B01">
        <w:t>).</w:t>
      </w:r>
      <w:r w:rsidR="001175F5" w:rsidRPr="001175F5">
        <w:t xml:space="preserve"> </w:t>
      </w:r>
      <w:r w:rsidR="001175F5">
        <w:t xml:space="preserve">Furthermore, those acting in a professional capacity </w:t>
      </w:r>
      <w:r w:rsidR="0024332E">
        <w:t>should be</w:t>
      </w:r>
      <w:r w:rsidR="001175F5">
        <w:t xml:space="preserve"> held to their professional standards as established by </w:t>
      </w:r>
      <w:r w:rsidR="001175F5" w:rsidRPr="00CA345C">
        <w:rPr>
          <w:color w:val="000000" w:themeColor="text1"/>
        </w:rPr>
        <w:t xml:space="preserve">Nestle v </w:t>
      </w:r>
      <w:r w:rsidR="002C6FB4" w:rsidRPr="00CA345C">
        <w:rPr>
          <w:color w:val="000000" w:themeColor="text1"/>
        </w:rPr>
        <w:t>Westminster</w:t>
      </w:r>
      <w:r w:rsidR="001175F5" w:rsidRPr="00CA345C">
        <w:rPr>
          <w:color w:val="000000" w:themeColor="text1"/>
        </w:rPr>
        <w:t xml:space="preserve"> Bank</w:t>
      </w:r>
      <w:r w:rsidR="004F4C85" w:rsidRPr="00CA345C">
        <w:rPr>
          <w:color w:val="000000" w:themeColor="text1"/>
        </w:rPr>
        <w:t xml:space="preserve"> (1993</w:t>
      </w:r>
      <w:r w:rsidR="00CA345C" w:rsidRPr="00CA345C">
        <w:rPr>
          <w:color w:val="000000" w:themeColor="text1"/>
        </w:rPr>
        <w:t>)</w:t>
      </w:r>
      <w:r w:rsidR="002C6FB4" w:rsidRPr="004A13D1">
        <w:rPr>
          <w:color w:val="FF0000"/>
        </w:rPr>
        <w:t>.</w:t>
      </w:r>
    </w:p>
    <w:p w14:paraId="7B3B554B" w14:textId="48FA84CD" w:rsidR="00D3683A" w:rsidRDefault="002C6FB4" w:rsidP="009E7020">
      <w:r>
        <w:t xml:space="preserve"> </w:t>
      </w:r>
      <w:r w:rsidR="0083430B">
        <w:t xml:space="preserve">Statutory duty is found within the </w:t>
      </w:r>
      <w:r w:rsidR="0083430B" w:rsidRPr="009F10C9">
        <w:rPr>
          <w:color w:val="000000" w:themeColor="text1"/>
        </w:rPr>
        <w:t>Trustee Act 2000</w:t>
      </w:r>
      <w:r w:rsidR="00E2578B" w:rsidRPr="009F10C9">
        <w:rPr>
          <w:color w:val="000000" w:themeColor="text1"/>
        </w:rPr>
        <w:t xml:space="preserve"> </w:t>
      </w:r>
      <w:r w:rsidR="00E2578B">
        <w:t xml:space="preserve">in which section 1(1) </w:t>
      </w:r>
      <w:r w:rsidR="00527257">
        <w:t>emphasise</w:t>
      </w:r>
      <w:r w:rsidR="0040718C">
        <w:t>s</w:t>
      </w:r>
      <w:r w:rsidR="00527257">
        <w:t xml:space="preserve"> that those acting as trustee in a professional capacity are expected to act as would be reasonable for their profession and expected skill set</w:t>
      </w:r>
      <w:r w:rsidR="00101742">
        <w:t>.</w:t>
      </w:r>
      <w:r w:rsidR="00661DC9">
        <w:t xml:space="preserve"> Duties imposed by the act can be excluded under schedule 1 (7)</w:t>
      </w:r>
      <w:r w:rsidR="00627E51">
        <w:t xml:space="preserve"> and in accordance with schedule 1, </w:t>
      </w:r>
      <w:r w:rsidR="00B41757">
        <w:t>the act</w:t>
      </w:r>
      <w:r w:rsidR="00627E51">
        <w:t xml:space="preserve"> only applies in </w:t>
      </w:r>
      <w:r w:rsidR="00C05F22">
        <w:t xml:space="preserve">instances of investment, </w:t>
      </w:r>
      <w:r w:rsidR="002016B1">
        <w:t>acquisition and</w:t>
      </w:r>
      <w:r w:rsidR="00C05F22">
        <w:t xml:space="preserve"> management of land,</w:t>
      </w:r>
      <w:r w:rsidR="000C1BA5">
        <w:t xml:space="preserve"> insuring property, entering arrangements with third </w:t>
      </w:r>
      <w:r w:rsidR="00B7038B">
        <w:t>parties, revisionary interests and the exercise of powers of compromise.</w:t>
      </w:r>
      <w:r w:rsidR="009122A9">
        <w:t xml:space="preserve"> </w:t>
      </w:r>
      <w:r w:rsidR="007308F5">
        <w:t>The</w:t>
      </w:r>
      <w:r w:rsidR="00522CED">
        <w:t xml:space="preserve"> relationship between trustee and beneficiary places trustees in a position of trust</w:t>
      </w:r>
      <w:r w:rsidR="007913B9">
        <w:t xml:space="preserve"> </w:t>
      </w:r>
      <w:r w:rsidR="00CF5FAF">
        <w:t>denoting that</w:t>
      </w:r>
      <w:r w:rsidR="007913B9">
        <w:t xml:space="preserve"> it is fiduciary in nature</w:t>
      </w:r>
      <w:sdt>
        <w:sdtPr>
          <w:id w:val="214234961"/>
          <w:citation/>
        </w:sdtPr>
        <w:sdtContent>
          <w:r w:rsidR="001226FB">
            <w:fldChar w:fldCharType="begin"/>
          </w:r>
          <w:r w:rsidR="001226FB">
            <w:instrText xml:space="preserve"> CITATION Pao17 \l 2057 </w:instrText>
          </w:r>
          <w:r w:rsidR="001226FB">
            <w:fldChar w:fldCharType="separate"/>
          </w:r>
          <w:r w:rsidR="001226FB">
            <w:rPr>
              <w:noProof/>
            </w:rPr>
            <w:t xml:space="preserve"> </w:t>
          </w:r>
          <w:r w:rsidR="001226FB" w:rsidRPr="001226FB">
            <w:rPr>
              <w:noProof/>
            </w:rPr>
            <w:t>(Panico, 2017)</w:t>
          </w:r>
          <w:r w:rsidR="001226FB">
            <w:fldChar w:fldCharType="end"/>
          </w:r>
        </w:sdtContent>
      </w:sdt>
      <w:r w:rsidR="00522CED">
        <w:t xml:space="preserve">. </w:t>
      </w:r>
      <w:r w:rsidR="007913B9" w:rsidRPr="003F6ADE">
        <w:rPr>
          <w:color w:val="000000" w:themeColor="text1"/>
        </w:rPr>
        <w:t>Re Merchant Navy Ratings Pension Fund (2015) explains</w:t>
      </w:r>
      <w:r w:rsidR="006D33D7" w:rsidRPr="003F6ADE">
        <w:rPr>
          <w:color w:val="000000" w:themeColor="text1"/>
        </w:rPr>
        <w:t xml:space="preserve"> that</w:t>
      </w:r>
      <w:r w:rsidR="002C465E" w:rsidRPr="003F6ADE">
        <w:rPr>
          <w:color w:val="000000" w:themeColor="text1"/>
        </w:rPr>
        <w:t xml:space="preserve"> trustees have a duty of fidelity to beneficiaries</w:t>
      </w:r>
      <w:r w:rsidR="00014F86" w:rsidRPr="003F6ADE">
        <w:rPr>
          <w:color w:val="000000" w:themeColor="text1"/>
        </w:rPr>
        <w:t xml:space="preserve">, by promoting the </w:t>
      </w:r>
      <w:r w:rsidR="002016B1" w:rsidRPr="003F6ADE">
        <w:rPr>
          <w:color w:val="000000" w:themeColor="text1"/>
        </w:rPr>
        <w:t>best interests of the trust.</w:t>
      </w:r>
      <w:r w:rsidR="009B77F0" w:rsidRPr="003F6ADE">
        <w:rPr>
          <w:color w:val="000000" w:themeColor="text1"/>
        </w:rPr>
        <w:t xml:space="preserve"> </w:t>
      </w:r>
      <w:r w:rsidR="001F1A79" w:rsidRPr="003F6ADE">
        <w:rPr>
          <w:color w:val="000000" w:themeColor="text1"/>
        </w:rPr>
        <w:t>All sources relating to the</w:t>
      </w:r>
      <w:r w:rsidR="001F1A79">
        <w:t xml:space="preserve"> duties imposed upon trustees are similar in </w:t>
      </w:r>
      <w:r w:rsidR="00E14CB9">
        <w:t>principle</w:t>
      </w:r>
      <w:r w:rsidR="00BC6023">
        <w:t>,</w:t>
      </w:r>
      <w:r w:rsidR="00E14CB9">
        <w:t xml:space="preserve"> and ultimately seek to </w:t>
      </w:r>
      <w:r w:rsidR="00BC6023">
        <w:t xml:space="preserve">safeguard the trust. However, </w:t>
      </w:r>
      <w:r w:rsidR="00D06E1A">
        <w:t xml:space="preserve">trustees </w:t>
      </w:r>
      <w:r w:rsidR="00221713">
        <w:t>are afforded the ability to</w:t>
      </w:r>
      <w:r w:rsidR="00D06E1A">
        <w:t xml:space="preserve"> </w:t>
      </w:r>
      <w:r w:rsidR="0078400B">
        <w:t xml:space="preserve">limit and </w:t>
      </w:r>
      <w:r w:rsidR="009F20E1">
        <w:t xml:space="preserve">exempt their </w:t>
      </w:r>
      <w:r w:rsidR="001A4C10">
        <w:t>liability</w:t>
      </w:r>
      <w:r w:rsidR="009F20E1">
        <w:t xml:space="preserve"> for breach of trust </w:t>
      </w:r>
      <w:r w:rsidR="00254546">
        <w:t xml:space="preserve">by use of </w:t>
      </w:r>
      <w:r w:rsidR="001A4C10">
        <w:t>ex</w:t>
      </w:r>
      <w:r w:rsidR="00F752B0">
        <w:t>emption</w:t>
      </w:r>
      <w:r w:rsidR="001A4C10">
        <w:t xml:space="preserve"> clauses.</w:t>
      </w:r>
    </w:p>
    <w:p w14:paraId="61B9165E" w14:textId="77777777" w:rsidR="002B1F57" w:rsidRDefault="002B1F57" w:rsidP="009E7020"/>
    <w:p w14:paraId="43FF9213" w14:textId="659CDE1E" w:rsidR="00F20B7B" w:rsidRDefault="00767004" w:rsidP="009E7020">
      <w:pPr>
        <w:rPr>
          <w:color w:val="000000" w:themeColor="text1"/>
        </w:rPr>
      </w:pPr>
      <w:r>
        <w:t>Currently, e</w:t>
      </w:r>
      <w:r w:rsidR="002B1F57">
        <w:t>x</w:t>
      </w:r>
      <w:r w:rsidR="00F752B0">
        <w:t xml:space="preserve">emption </w:t>
      </w:r>
      <w:r w:rsidR="002B1F57">
        <w:t xml:space="preserve">clauses can </w:t>
      </w:r>
      <w:r w:rsidR="00E5175E">
        <w:t xml:space="preserve">be used </w:t>
      </w:r>
      <w:r w:rsidR="00D95D7A">
        <w:t xml:space="preserve">to negate liability when acts of </w:t>
      </w:r>
      <w:r w:rsidR="00F55C8C">
        <w:t xml:space="preserve">negligence and even gross negligence occur </w:t>
      </w:r>
      <w:r w:rsidR="00602D7D">
        <w:t>(</w:t>
      </w:r>
      <w:r w:rsidR="00602D7D" w:rsidRPr="003F6ADE">
        <w:rPr>
          <w:color w:val="000000" w:themeColor="text1"/>
        </w:rPr>
        <w:t>Spread</w:t>
      </w:r>
      <w:r w:rsidR="00F55C8C" w:rsidRPr="003F6ADE">
        <w:rPr>
          <w:color w:val="000000" w:themeColor="text1"/>
        </w:rPr>
        <w:t xml:space="preserve"> Trustee Ltd v Hutchinson (2011</w:t>
      </w:r>
      <w:r w:rsidR="00F55C8C">
        <w:t>).</w:t>
      </w:r>
      <w:r w:rsidR="00602D7D">
        <w:t xml:space="preserve"> However, they cannot </w:t>
      </w:r>
      <w:r w:rsidR="00894542">
        <w:t>be used</w:t>
      </w:r>
      <w:r w:rsidR="002240A4">
        <w:t xml:space="preserve"> </w:t>
      </w:r>
      <w:r w:rsidR="00610B93">
        <w:t>to negate dishonest actions or instances of actual fraud (</w:t>
      </w:r>
      <w:r w:rsidR="00610B93" w:rsidRPr="00BE0E76">
        <w:rPr>
          <w:color w:val="000000" w:themeColor="text1"/>
        </w:rPr>
        <w:t>Armitage v Nurse 1998)</w:t>
      </w:r>
      <w:r w:rsidR="002B2357" w:rsidRPr="00BE0E76">
        <w:rPr>
          <w:color w:val="000000" w:themeColor="text1"/>
        </w:rPr>
        <w:t xml:space="preserve"> (Armitage)</w:t>
      </w:r>
      <w:r w:rsidR="00610B93" w:rsidRPr="001D7FEA">
        <w:rPr>
          <w:color w:val="FF0000"/>
        </w:rPr>
        <w:t>.</w:t>
      </w:r>
      <w:r w:rsidR="007D4C69" w:rsidRPr="001D7FEA">
        <w:rPr>
          <w:color w:val="FF0000"/>
        </w:rPr>
        <w:t xml:space="preserve"> </w:t>
      </w:r>
      <w:r w:rsidR="000975C8">
        <w:rPr>
          <w:color w:val="FF0000"/>
        </w:rPr>
        <w:t xml:space="preserve"> </w:t>
      </w:r>
      <w:r w:rsidR="005E17CE">
        <w:rPr>
          <w:color w:val="000000" w:themeColor="text1"/>
        </w:rPr>
        <w:t>The court focuses upon the use of dishonest actions</w:t>
      </w:r>
      <w:r w:rsidR="00837786">
        <w:rPr>
          <w:color w:val="000000" w:themeColor="text1"/>
        </w:rPr>
        <w:t xml:space="preserve"> and so dishonesty is </w:t>
      </w:r>
      <w:r w:rsidR="00F92E02">
        <w:rPr>
          <w:color w:val="000000" w:themeColor="text1"/>
        </w:rPr>
        <w:t>the main point of consideration</w:t>
      </w:r>
      <w:r w:rsidR="00837786">
        <w:rPr>
          <w:color w:val="000000" w:themeColor="text1"/>
        </w:rPr>
        <w:t xml:space="preserve"> when deciphering the validity of an ex</w:t>
      </w:r>
      <w:r w:rsidR="00F752B0">
        <w:rPr>
          <w:color w:val="000000" w:themeColor="text1"/>
        </w:rPr>
        <w:t>emption</w:t>
      </w:r>
      <w:r w:rsidR="00837786">
        <w:rPr>
          <w:color w:val="000000" w:themeColor="text1"/>
        </w:rPr>
        <w:t xml:space="preserve"> clause</w:t>
      </w:r>
      <w:sdt>
        <w:sdtPr>
          <w:rPr>
            <w:color w:val="000000" w:themeColor="text1"/>
          </w:rPr>
          <w:id w:val="-458485987"/>
          <w:citation/>
        </w:sdtPr>
        <w:sdtContent>
          <w:r w:rsidR="001226FB">
            <w:rPr>
              <w:color w:val="000000" w:themeColor="text1"/>
            </w:rPr>
            <w:fldChar w:fldCharType="begin"/>
          </w:r>
          <w:r w:rsidR="001226FB">
            <w:rPr>
              <w:color w:val="000000" w:themeColor="text1"/>
            </w:rPr>
            <w:instrText xml:space="preserve"> CITATION Agn18 \l 2057 </w:instrText>
          </w:r>
          <w:r w:rsidR="001226FB">
            <w:rPr>
              <w:color w:val="000000" w:themeColor="text1"/>
            </w:rPr>
            <w:fldChar w:fldCharType="separate"/>
          </w:r>
          <w:r w:rsidR="001226FB">
            <w:rPr>
              <w:noProof/>
              <w:color w:val="000000" w:themeColor="text1"/>
            </w:rPr>
            <w:t xml:space="preserve"> </w:t>
          </w:r>
          <w:r w:rsidR="001226FB" w:rsidRPr="001226FB">
            <w:rPr>
              <w:noProof/>
              <w:color w:val="000000" w:themeColor="text1"/>
            </w:rPr>
            <w:t>(Agnew &amp; Purkis, 2018)</w:t>
          </w:r>
          <w:r w:rsidR="001226FB">
            <w:rPr>
              <w:color w:val="000000" w:themeColor="text1"/>
            </w:rPr>
            <w:fldChar w:fldCharType="end"/>
          </w:r>
        </w:sdtContent>
      </w:sdt>
      <w:r w:rsidR="00837786">
        <w:rPr>
          <w:color w:val="000000" w:themeColor="text1"/>
        </w:rPr>
        <w:t xml:space="preserve">. </w:t>
      </w:r>
      <w:r w:rsidR="000975C8">
        <w:rPr>
          <w:color w:val="000000" w:themeColor="text1"/>
        </w:rPr>
        <w:t>The c</w:t>
      </w:r>
      <w:r w:rsidR="00A732F4">
        <w:rPr>
          <w:color w:val="000000" w:themeColor="text1"/>
        </w:rPr>
        <w:t>urrent stance to determine dishonesty</w:t>
      </w:r>
      <w:r w:rsidR="00C77B02">
        <w:rPr>
          <w:color w:val="000000" w:themeColor="text1"/>
        </w:rPr>
        <w:t xml:space="preserve"> among solicitor trustees</w:t>
      </w:r>
      <w:r w:rsidR="00D14F50">
        <w:rPr>
          <w:color w:val="000000" w:themeColor="text1"/>
        </w:rPr>
        <w:t xml:space="preserve"> has </w:t>
      </w:r>
      <w:r w:rsidR="000078E7">
        <w:rPr>
          <w:color w:val="000000" w:themeColor="text1"/>
        </w:rPr>
        <w:t>evolved following</w:t>
      </w:r>
      <w:r w:rsidR="001E1C7B">
        <w:rPr>
          <w:color w:val="000000" w:themeColor="text1"/>
        </w:rPr>
        <w:t xml:space="preserve"> </w:t>
      </w:r>
      <w:r w:rsidR="001E1C7B" w:rsidRPr="0010527B">
        <w:rPr>
          <w:color w:val="000000" w:themeColor="text1"/>
        </w:rPr>
        <w:t>Walker v Stones (2001</w:t>
      </w:r>
      <w:r w:rsidR="0024332E" w:rsidRPr="0010527B">
        <w:rPr>
          <w:color w:val="000000" w:themeColor="text1"/>
        </w:rPr>
        <w:t xml:space="preserve">) </w:t>
      </w:r>
      <w:r w:rsidR="0024332E">
        <w:rPr>
          <w:color w:val="000000" w:themeColor="text1"/>
        </w:rPr>
        <w:t>and</w:t>
      </w:r>
      <w:r w:rsidR="001E1C7B">
        <w:rPr>
          <w:color w:val="000000" w:themeColor="text1"/>
        </w:rPr>
        <w:t xml:space="preserve"> </w:t>
      </w:r>
      <w:r w:rsidR="007E13E9">
        <w:rPr>
          <w:color w:val="000000" w:themeColor="text1"/>
        </w:rPr>
        <w:t xml:space="preserve">this standard was later found to be applicable to all professional trustees in </w:t>
      </w:r>
      <w:proofErr w:type="spellStart"/>
      <w:r w:rsidR="00B90326" w:rsidRPr="00B10280">
        <w:rPr>
          <w:color w:val="000000" w:themeColor="text1"/>
        </w:rPr>
        <w:t>Fattal</w:t>
      </w:r>
      <w:proofErr w:type="spellEnd"/>
      <w:r w:rsidR="00B90326" w:rsidRPr="00B10280">
        <w:rPr>
          <w:color w:val="000000" w:themeColor="text1"/>
        </w:rPr>
        <w:t xml:space="preserve"> &amp; </w:t>
      </w:r>
      <w:proofErr w:type="spellStart"/>
      <w:r w:rsidR="00B90326" w:rsidRPr="00B10280">
        <w:rPr>
          <w:color w:val="000000" w:themeColor="text1"/>
        </w:rPr>
        <w:t>Ors</w:t>
      </w:r>
      <w:proofErr w:type="spellEnd"/>
      <w:r w:rsidR="00C23D63" w:rsidRPr="00B10280">
        <w:rPr>
          <w:color w:val="000000" w:themeColor="text1"/>
        </w:rPr>
        <w:t xml:space="preserve"> v </w:t>
      </w:r>
      <w:proofErr w:type="spellStart"/>
      <w:r w:rsidR="00C23D63" w:rsidRPr="00B10280">
        <w:rPr>
          <w:color w:val="000000" w:themeColor="text1"/>
        </w:rPr>
        <w:t>Walbrook</w:t>
      </w:r>
      <w:proofErr w:type="spellEnd"/>
      <w:r w:rsidR="00C23D63" w:rsidRPr="00B10280">
        <w:rPr>
          <w:color w:val="000000" w:themeColor="text1"/>
        </w:rPr>
        <w:t xml:space="preserve"> Trustees Ltd</w:t>
      </w:r>
      <w:r w:rsidR="00551CD3" w:rsidRPr="00B10280">
        <w:rPr>
          <w:color w:val="000000" w:themeColor="text1"/>
        </w:rPr>
        <w:t xml:space="preserve"> 2010</w:t>
      </w:r>
      <w:r w:rsidR="00B05EA6" w:rsidRPr="00B10280">
        <w:rPr>
          <w:color w:val="000000" w:themeColor="text1"/>
        </w:rPr>
        <w:t xml:space="preserve"> (</w:t>
      </w:r>
      <w:proofErr w:type="spellStart"/>
      <w:r w:rsidR="00B05EA6" w:rsidRPr="00B10280">
        <w:rPr>
          <w:color w:val="000000" w:themeColor="text1"/>
        </w:rPr>
        <w:t>Fattal</w:t>
      </w:r>
      <w:proofErr w:type="spellEnd"/>
      <w:r w:rsidR="00B05EA6" w:rsidRPr="00B10280">
        <w:rPr>
          <w:color w:val="000000" w:themeColor="text1"/>
        </w:rPr>
        <w:t>)</w:t>
      </w:r>
      <w:r w:rsidR="00B25707" w:rsidRPr="00B10280">
        <w:rPr>
          <w:color w:val="000000" w:themeColor="text1"/>
        </w:rPr>
        <w:t>.</w:t>
      </w:r>
      <w:r w:rsidR="00B25707">
        <w:rPr>
          <w:color w:val="000000" w:themeColor="text1"/>
        </w:rPr>
        <w:t xml:space="preserve"> </w:t>
      </w:r>
      <w:r w:rsidR="00BC17F3">
        <w:rPr>
          <w:color w:val="000000" w:themeColor="text1"/>
        </w:rPr>
        <w:t xml:space="preserve"> </w:t>
      </w:r>
    </w:p>
    <w:p w14:paraId="7BC2E4D1" w14:textId="6B5D056C" w:rsidR="00802D6A" w:rsidRDefault="00BF5CC5" w:rsidP="009E7020">
      <w:pPr>
        <w:rPr>
          <w:color w:val="000000" w:themeColor="text1"/>
        </w:rPr>
      </w:pPr>
      <w:r>
        <w:rPr>
          <w:color w:val="000000" w:themeColor="text1"/>
        </w:rPr>
        <w:t>Th</w:t>
      </w:r>
      <w:r w:rsidR="00C77E81">
        <w:rPr>
          <w:color w:val="000000" w:themeColor="text1"/>
        </w:rPr>
        <w:t xml:space="preserve">e </w:t>
      </w:r>
      <w:r w:rsidR="00065808">
        <w:rPr>
          <w:color w:val="000000" w:themeColor="text1"/>
        </w:rPr>
        <w:t>test is objective</w:t>
      </w:r>
      <w:r w:rsidR="00EB58C2">
        <w:rPr>
          <w:color w:val="000000" w:themeColor="text1"/>
        </w:rPr>
        <w:t xml:space="preserve">. Despite this, </w:t>
      </w:r>
      <w:r w:rsidR="00BC17F3">
        <w:rPr>
          <w:color w:val="000000" w:themeColor="text1"/>
        </w:rPr>
        <w:t xml:space="preserve">the </w:t>
      </w:r>
      <w:r w:rsidR="00BC17F3" w:rsidRPr="0068742B">
        <w:rPr>
          <w:color w:val="000000" w:themeColor="text1"/>
        </w:rPr>
        <w:t>court</w:t>
      </w:r>
      <w:r w:rsidR="00BC17F3">
        <w:rPr>
          <w:color w:val="000000" w:themeColor="text1"/>
        </w:rPr>
        <w:t xml:space="preserve"> will </w:t>
      </w:r>
      <w:r w:rsidR="0012000E">
        <w:rPr>
          <w:color w:val="000000" w:themeColor="text1"/>
        </w:rPr>
        <w:t>still consider an individual’s subjective circumstances to determine the facts surrounding their conduct</w:t>
      </w:r>
      <w:r w:rsidR="00CD5135">
        <w:rPr>
          <w:color w:val="000000" w:themeColor="text1"/>
        </w:rPr>
        <w:t xml:space="preserve"> before concluding dishonesty</w:t>
      </w:r>
      <w:sdt>
        <w:sdtPr>
          <w:rPr>
            <w:color w:val="000000" w:themeColor="text1"/>
          </w:rPr>
          <w:id w:val="-1102955052"/>
          <w:citation/>
        </w:sdtPr>
        <w:sdtContent>
          <w:r w:rsidR="005C4081">
            <w:rPr>
              <w:color w:val="000000" w:themeColor="text1"/>
            </w:rPr>
            <w:fldChar w:fldCharType="begin"/>
          </w:r>
          <w:r w:rsidR="005C4081">
            <w:rPr>
              <w:color w:val="000000" w:themeColor="text1"/>
            </w:rPr>
            <w:instrText xml:space="preserve"> CITATION Coh14 \l 2057 </w:instrText>
          </w:r>
          <w:r w:rsidR="005C4081">
            <w:rPr>
              <w:color w:val="000000" w:themeColor="text1"/>
            </w:rPr>
            <w:fldChar w:fldCharType="separate"/>
          </w:r>
          <w:r w:rsidR="005C4081">
            <w:rPr>
              <w:noProof/>
              <w:color w:val="000000" w:themeColor="text1"/>
            </w:rPr>
            <w:t xml:space="preserve"> </w:t>
          </w:r>
          <w:r w:rsidR="005C4081" w:rsidRPr="005C4081">
            <w:rPr>
              <w:noProof/>
              <w:color w:val="000000" w:themeColor="text1"/>
            </w:rPr>
            <w:t>(Cohen &amp; Seymour, 2014)</w:t>
          </w:r>
          <w:r w:rsidR="005C4081">
            <w:rPr>
              <w:color w:val="000000" w:themeColor="text1"/>
            </w:rPr>
            <w:fldChar w:fldCharType="end"/>
          </w:r>
        </w:sdtContent>
      </w:sdt>
      <w:r w:rsidR="0012000E">
        <w:rPr>
          <w:color w:val="000000" w:themeColor="text1"/>
        </w:rPr>
        <w:t>.</w:t>
      </w:r>
      <w:r w:rsidR="00AB152B">
        <w:rPr>
          <w:color w:val="000000" w:themeColor="text1"/>
        </w:rPr>
        <w:t xml:space="preserve"> </w:t>
      </w:r>
      <w:r w:rsidR="00E27541">
        <w:rPr>
          <w:color w:val="000000" w:themeColor="text1"/>
        </w:rPr>
        <w:t>In cases</w:t>
      </w:r>
      <w:r w:rsidR="00C67E3B">
        <w:rPr>
          <w:color w:val="000000" w:themeColor="text1"/>
        </w:rPr>
        <w:t xml:space="preserve"> </w:t>
      </w:r>
      <w:r w:rsidR="00EF5CF7">
        <w:rPr>
          <w:color w:val="000000" w:themeColor="text1"/>
        </w:rPr>
        <w:t>with a professional trustee</w:t>
      </w:r>
      <w:r w:rsidR="00E27541">
        <w:rPr>
          <w:color w:val="000000" w:themeColor="text1"/>
        </w:rPr>
        <w:t xml:space="preserve"> whereby an ex</w:t>
      </w:r>
      <w:r w:rsidR="0065600D">
        <w:rPr>
          <w:color w:val="000000" w:themeColor="text1"/>
        </w:rPr>
        <w:t xml:space="preserve">emption </w:t>
      </w:r>
      <w:r w:rsidR="00E27541">
        <w:rPr>
          <w:color w:val="000000" w:themeColor="text1"/>
        </w:rPr>
        <w:t>clause is used</w:t>
      </w:r>
      <w:r w:rsidR="000078E7">
        <w:rPr>
          <w:color w:val="000000" w:themeColor="text1"/>
        </w:rPr>
        <w:t xml:space="preserve">, </w:t>
      </w:r>
      <w:r w:rsidR="00363391">
        <w:rPr>
          <w:color w:val="000000" w:themeColor="text1"/>
        </w:rPr>
        <w:t xml:space="preserve">the </w:t>
      </w:r>
      <w:r w:rsidR="00065808">
        <w:rPr>
          <w:color w:val="000000" w:themeColor="text1"/>
        </w:rPr>
        <w:t xml:space="preserve">court </w:t>
      </w:r>
      <w:r w:rsidR="000B5569">
        <w:rPr>
          <w:color w:val="000000" w:themeColor="text1"/>
        </w:rPr>
        <w:t xml:space="preserve">first </w:t>
      </w:r>
      <w:r w:rsidR="00F50F4A">
        <w:rPr>
          <w:color w:val="000000" w:themeColor="text1"/>
        </w:rPr>
        <w:t xml:space="preserve">deciphers </w:t>
      </w:r>
      <w:r w:rsidR="0090571D">
        <w:rPr>
          <w:color w:val="000000" w:themeColor="text1"/>
        </w:rPr>
        <w:t xml:space="preserve">the </w:t>
      </w:r>
      <w:r w:rsidR="004F4EF4">
        <w:rPr>
          <w:color w:val="000000" w:themeColor="text1"/>
        </w:rPr>
        <w:t>trustee’s</w:t>
      </w:r>
      <w:r w:rsidR="0090571D">
        <w:rPr>
          <w:color w:val="000000" w:themeColor="text1"/>
        </w:rPr>
        <w:t xml:space="preserve"> actual knowledge of the wrongdoing</w:t>
      </w:r>
      <w:sdt>
        <w:sdtPr>
          <w:rPr>
            <w:color w:val="000000" w:themeColor="text1"/>
          </w:rPr>
          <w:id w:val="-1663384143"/>
          <w:citation/>
        </w:sdtPr>
        <w:sdtContent>
          <w:r w:rsidR="00B9599E">
            <w:rPr>
              <w:color w:val="000000" w:themeColor="text1"/>
            </w:rPr>
            <w:fldChar w:fldCharType="begin"/>
          </w:r>
          <w:r w:rsidR="00B9599E">
            <w:rPr>
              <w:color w:val="000000" w:themeColor="text1"/>
            </w:rPr>
            <w:instrText xml:space="preserve"> CITATION Dav231 \l 2057 </w:instrText>
          </w:r>
          <w:r w:rsidR="00B9599E">
            <w:rPr>
              <w:color w:val="000000" w:themeColor="text1"/>
            </w:rPr>
            <w:fldChar w:fldCharType="separate"/>
          </w:r>
          <w:r w:rsidR="00B9599E">
            <w:rPr>
              <w:noProof/>
              <w:color w:val="000000" w:themeColor="text1"/>
            </w:rPr>
            <w:t xml:space="preserve"> </w:t>
          </w:r>
          <w:r w:rsidR="00B9599E" w:rsidRPr="00B9599E">
            <w:rPr>
              <w:noProof/>
              <w:color w:val="000000" w:themeColor="text1"/>
            </w:rPr>
            <w:t>(Hayton, 2023)</w:t>
          </w:r>
          <w:r w:rsidR="00B9599E">
            <w:rPr>
              <w:color w:val="000000" w:themeColor="text1"/>
            </w:rPr>
            <w:fldChar w:fldCharType="end"/>
          </w:r>
        </w:sdtContent>
      </w:sdt>
      <w:r w:rsidR="00363391">
        <w:rPr>
          <w:color w:val="000000" w:themeColor="text1"/>
        </w:rPr>
        <w:t xml:space="preserve">. This is </w:t>
      </w:r>
      <w:r w:rsidR="007F68BA">
        <w:rPr>
          <w:color w:val="000000" w:themeColor="text1"/>
        </w:rPr>
        <w:t xml:space="preserve">to determine whether the </w:t>
      </w:r>
      <w:r w:rsidR="009925FA">
        <w:rPr>
          <w:color w:val="000000" w:themeColor="text1"/>
        </w:rPr>
        <w:t>issue arose due to being overlooked or</w:t>
      </w:r>
      <w:r w:rsidR="00C946E1">
        <w:rPr>
          <w:color w:val="000000" w:themeColor="text1"/>
        </w:rPr>
        <w:t xml:space="preserve"> by genuine mistake. The Court </w:t>
      </w:r>
      <w:r w:rsidR="0090571D">
        <w:rPr>
          <w:color w:val="000000" w:themeColor="text1"/>
        </w:rPr>
        <w:t>then</w:t>
      </w:r>
      <w:r w:rsidR="008E7A2D">
        <w:rPr>
          <w:color w:val="000000" w:themeColor="text1"/>
        </w:rPr>
        <w:t xml:space="preserve"> decides whether their conduct would be considered </w:t>
      </w:r>
      <w:r w:rsidR="00EF5CF7">
        <w:rPr>
          <w:color w:val="000000" w:themeColor="text1"/>
        </w:rPr>
        <w:t>unreasonable and</w:t>
      </w:r>
      <w:r w:rsidR="008B5293">
        <w:rPr>
          <w:color w:val="000000" w:themeColor="text1"/>
        </w:rPr>
        <w:t xml:space="preserve"> therefore</w:t>
      </w:r>
      <w:r w:rsidR="00EF5CF7">
        <w:rPr>
          <w:color w:val="000000" w:themeColor="text1"/>
        </w:rPr>
        <w:t xml:space="preserve"> </w:t>
      </w:r>
      <w:r w:rsidR="008B5293">
        <w:rPr>
          <w:color w:val="000000" w:themeColor="text1"/>
        </w:rPr>
        <w:t>dishonest</w:t>
      </w:r>
      <w:r w:rsidR="00185781">
        <w:rPr>
          <w:color w:val="000000" w:themeColor="text1"/>
        </w:rPr>
        <w:t xml:space="preserve"> </w:t>
      </w:r>
      <w:r w:rsidR="00FF4F0F">
        <w:rPr>
          <w:color w:val="000000" w:themeColor="text1"/>
        </w:rPr>
        <w:t>by</w:t>
      </w:r>
      <w:r w:rsidR="003576D1">
        <w:rPr>
          <w:color w:val="000000" w:themeColor="text1"/>
        </w:rPr>
        <w:t xml:space="preserve"> </w:t>
      </w:r>
      <w:r w:rsidR="007E0493">
        <w:rPr>
          <w:color w:val="000000" w:themeColor="text1"/>
        </w:rPr>
        <w:t>the standards of a reasonable person within the same circumstances</w:t>
      </w:r>
      <w:r w:rsidR="005043C2">
        <w:rPr>
          <w:color w:val="000000" w:themeColor="text1"/>
        </w:rPr>
        <w:t xml:space="preserve"> </w:t>
      </w:r>
      <w:r w:rsidR="00DB12B0">
        <w:rPr>
          <w:color w:val="000000" w:themeColor="text1"/>
        </w:rPr>
        <w:t>i.e.</w:t>
      </w:r>
      <w:r w:rsidR="005043C2">
        <w:rPr>
          <w:color w:val="000000" w:themeColor="text1"/>
        </w:rPr>
        <w:t xml:space="preserve"> w</w:t>
      </w:r>
      <w:r w:rsidR="00DB12B0">
        <w:rPr>
          <w:color w:val="000000" w:themeColor="text1"/>
        </w:rPr>
        <w:t>hether</w:t>
      </w:r>
      <w:r w:rsidR="005043C2">
        <w:rPr>
          <w:color w:val="000000" w:themeColor="text1"/>
        </w:rPr>
        <w:t xml:space="preserve"> another</w:t>
      </w:r>
      <w:r w:rsidR="000B1093">
        <w:rPr>
          <w:color w:val="000000" w:themeColor="text1"/>
        </w:rPr>
        <w:t xml:space="preserve"> reasonable professional trustee </w:t>
      </w:r>
      <w:r w:rsidR="00DB12B0">
        <w:rPr>
          <w:color w:val="000000" w:themeColor="text1"/>
        </w:rPr>
        <w:t xml:space="preserve">would </w:t>
      </w:r>
      <w:r w:rsidR="000B1093">
        <w:rPr>
          <w:color w:val="000000" w:themeColor="text1"/>
        </w:rPr>
        <w:t xml:space="preserve">agree that the conduct was for the benefit of the </w:t>
      </w:r>
      <w:r w:rsidR="00C31CFA">
        <w:rPr>
          <w:color w:val="000000" w:themeColor="text1"/>
        </w:rPr>
        <w:t>beneficiaries</w:t>
      </w:r>
      <w:sdt>
        <w:sdtPr>
          <w:rPr>
            <w:color w:val="000000" w:themeColor="text1"/>
          </w:rPr>
          <w:id w:val="140712388"/>
          <w:citation/>
        </w:sdtPr>
        <w:sdtContent>
          <w:r w:rsidR="00C46F07">
            <w:rPr>
              <w:color w:val="000000" w:themeColor="text1"/>
            </w:rPr>
            <w:fldChar w:fldCharType="begin"/>
          </w:r>
          <w:r w:rsidR="00C46F07">
            <w:rPr>
              <w:color w:val="000000" w:themeColor="text1"/>
            </w:rPr>
            <w:instrText xml:space="preserve"> CITATION Ale \l 2057 </w:instrText>
          </w:r>
          <w:r w:rsidR="00C46F07">
            <w:rPr>
              <w:color w:val="000000" w:themeColor="text1"/>
            </w:rPr>
            <w:fldChar w:fldCharType="separate"/>
          </w:r>
          <w:r w:rsidR="00C46F07">
            <w:rPr>
              <w:noProof/>
              <w:color w:val="000000" w:themeColor="text1"/>
            </w:rPr>
            <w:t xml:space="preserve"> </w:t>
          </w:r>
          <w:r w:rsidR="00C46F07" w:rsidRPr="00C46F07">
            <w:rPr>
              <w:noProof/>
              <w:color w:val="000000" w:themeColor="text1"/>
            </w:rPr>
            <w:t>(Usilova, 2016)</w:t>
          </w:r>
          <w:r w:rsidR="00C46F07">
            <w:rPr>
              <w:color w:val="000000" w:themeColor="text1"/>
            </w:rPr>
            <w:fldChar w:fldCharType="end"/>
          </w:r>
        </w:sdtContent>
      </w:sdt>
      <w:r w:rsidR="003576D1">
        <w:rPr>
          <w:color w:val="000000" w:themeColor="text1"/>
        </w:rPr>
        <w:t>.</w:t>
      </w:r>
      <w:r w:rsidR="00364347">
        <w:rPr>
          <w:color w:val="000000" w:themeColor="text1"/>
        </w:rPr>
        <w:t xml:space="preserve"> Despite </w:t>
      </w:r>
      <w:r w:rsidR="00DF7857">
        <w:rPr>
          <w:color w:val="000000" w:themeColor="text1"/>
        </w:rPr>
        <w:t xml:space="preserve">a seemingly </w:t>
      </w:r>
      <w:r w:rsidR="003D6F54">
        <w:rPr>
          <w:color w:val="000000" w:themeColor="text1"/>
        </w:rPr>
        <w:t>stricter</w:t>
      </w:r>
      <w:r w:rsidR="00DF7857">
        <w:rPr>
          <w:color w:val="000000" w:themeColor="text1"/>
        </w:rPr>
        <w:t xml:space="preserve"> approach by the courts in cases involving professionals</w:t>
      </w:r>
      <w:r w:rsidR="00D00036">
        <w:rPr>
          <w:color w:val="000000" w:themeColor="text1"/>
        </w:rPr>
        <w:t>,</w:t>
      </w:r>
      <w:r w:rsidR="00AC11E4">
        <w:rPr>
          <w:color w:val="000000" w:themeColor="text1"/>
        </w:rPr>
        <w:t xml:space="preserve"> the case of Armitage </w:t>
      </w:r>
      <w:r w:rsidR="00D00036">
        <w:rPr>
          <w:color w:val="000000" w:themeColor="text1"/>
        </w:rPr>
        <w:t xml:space="preserve">still affords </w:t>
      </w:r>
      <w:r w:rsidR="00341CC5">
        <w:rPr>
          <w:color w:val="000000" w:themeColor="text1"/>
        </w:rPr>
        <w:t xml:space="preserve">professional trustees a </w:t>
      </w:r>
      <w:r w:rsidR="00341CC5" w:rsidRPr="00296EAC">
        <w:rPr>
          <w:color w:val="000000" w:themeColor="text1"/>
        </w:rPr>
        <w:t>means</w:t>
      </w:r>
      <w:r w:rsidR="00341CC5">
        <w:rPr>
          <w:color w:val="000000" w:themeColor="text1"/>
        </w:rPr>
        <w:t xml:space="preserve"> of</w:t>
      </w:r>
      <w:r w:rsidR="00367DA9">
        <w:rPr>
          <w:color w:val="000000" w:themeColor="text1"/>
        </w:rPr>
        <w:t xml:space="preserve"> relinquishing liability</w:t>
      </w:r>
      <w:r w:rsidR="00296EAC">
        <w:rPr>
          <w:color w:val="000000" w:themeColor="text1"/>
        </w:rPr>
        <w:t xml:space="preserve"> as seen in the case of </w:t>
      </w:r>
      <w:r w:rsidR="00296EAC" w:rsidRPr="0021585A">
        <w:rPr>
          <w:color w:val="000000" w:themeColor="text1"/>
        </w:rPr>
        <w:t>Barnsley v Noble (2017)</w:t>
      </w:r>
      <w:r w:rsidR="00466F10" w:rsidRPr="0021585A">
        <w:rPr>
          <w:color w:val="000000" w:themeColor="text1"/>
        </w:rPr>
        <w:t>.</w:t>
      </w:r>
      <w:r w:rsidR="00A14524" w:rsidRPr="0021585A">
        <w:rPr>
          <w:color w:val="000000" w:themeColor="text1"/>
        </w:rPr>
        <w:t xml:space="preserve"> </w:t>
      </w:r>
      <w:r w:rsidR="00466F10">
        <w:rPr>
          <w:color w:val="000000" w:themeColor="text1"/>
        </w:rPr>
        <w:t>T</w:t>
      </w:r>
      <w:r w:rsidR="00A14524">
        <w:rPr>
          <w:color w:val="000000" w:themeColor="text1"/>
        </w:rPr>
        <w:t>h</w:t>
      </w:r>
      <w:r w:rsidR="003D6F54">
        <w:rPr>
          <w:color w:val="000000" w:themeColor="text1"/>
        </w:rPr>
        <w:t xml:space="preserve">is is due to </w:t>
      </w:r>
      <w:r w:rsidR="006A658C">
        <w:rPr>
          <w:color w:val="000000" w:themeColor="text1"/>
        </w:rPr>
        <w:t>the entrenched</w:t>
      </w:r>
      <w:r w:rsidR="00A14524">
        <w:rPr>
          <w:color w:val="000000" w:themeColor="text1"/>
        </w:rPr>
        <w:t xml:space="preserve"> </w:t>
      </w:r>
      <w:r w:rsidR="006A0112">
        <w:rPr>
          <w:color w:val="000000" w:themeColor="text1"/>
        </w:rPr>
        <w:t>principle that</w:t>
      </w:r>
      <w:r w:rsidR="00AC11E4">
        <w:rPr>
          <w:color w:val="000000" w:themeColor="text1"/>
        </w:rPr>
        <w:t xml:space="preserve"> ex</w:t>
      </w:r>
      <w:r w:rsidR="00E50D2A">
        <w:rPr>
          <w:color w:val="000000" w:themeColor="text1"/>
        </w:rPr>
        <w:t>emption</w:t>
      </w:r>
      <w:r w:rsidR="00AC11E4">
        <w:rPr>
          <w:color w:val="000000" w:themeColor="text1"/>
        </w:rPr>
        <w:t xml:space="preserve"> clauses can be </w:t>
      </w:r>
      <w:r w:rsidR="00B24918">
        <w:rPr>
          <w:color w:val="000000" w:themeColor="text1"/>
        </w:rPr>
        <w:t xml:space="preserve">relied upon </w:t>
      </w:r>
      <w:r w:rsidR="00AC11E4">
        <w:rPr>
          <w:color w:val="000000" w:themeColor="text1"/>
        </w:rPr>
        <w:t>no matter how grievous the breach providing that the breach was conducted</w:t>
      </w:r>
      <w:r w:rsidR="006A658C">
        <w:rPr>
          <w:color w:val="000000" w:themeColor="text1"/>
        </w:rPr>
        <w:t xml:space="preserve"> honestly</w:t>
      </w:r>
      <w:r w:rsidR="006932DD">
        <w:rPr>
          <w:color w:val="000000" w:themeColor="text1"/>
        </w:rPr>
        <w:t xml:space="preserve"> and its ongoing use by the courts </w:t>
      </w:r>
      <w:r w:rsidR="003B27CF">
        <w:rPr>
          <w:color w:val="000000" w:themeColor="text1"/>
        </w:rPr>
        <w:t>to determine case outcomes</w:t>
      </w:r>
      <w:sdt>
        <w:sdtPr>
          <w:rPr>
            <w:color w:val="000000" w:themeColor="text1"/>
          </w:rPr>
          <w:id w:val="-1660299806"/>
          <w:citation/>
        </w:sdtPr>
        <w:sdtContent>
          <w:r w:rsidR="00C86672">
            <w:rPr>
              <w:color w:val="000000" w:themeColor="text1"/>
            </w:rPr>
            <w:fldChar w:fldCharType="begin"/>
          </w:r>
          <w:r w:rsidR="00C86672">
            <w:rPr>
              <w:color w:val="000000" w:themeColor="text1"/>
            </w:rPr>
            <w:instrText xml:space="preserve"> CITATION Moh19 \l 2057 </w:instrText>
          </w:r>
          <w:r w:rsidR="00C86672">
            <w:rPr>
              <w:color w:val="000000" w:themeColor="text1"/>
            </w:rPr>
            <w:fldChar w:fldCharType="separate"/>
          </w:r>
          <w:r w:rsidR="00C86672">
            <w:rPr>
              <w:noProof/>
              <w:color w:val="000000" w:themeColor="text1"/>
            </w:rPr>
            <w:t xml:space="preserve"> </w:t>
          </w:r>
          <w:r w:rsidR="00C86672" w:rsidRPr="00C86672">
            <w:rPr>
              <w:noProof/>
              <w:color w:val="000000" w:themeColor="text1"/>
            </w:rPr>
            <w:t>(Ramjohn, 2019)</w:t>
          </w:r>
          <w:r w:rsidR="00C86672">
            <w:rPr>
              <w:color w:val="000000" w:themeColor="text1"/>
            </w:rPr>
            <w:fldChar w:fldCharType="end"/>
          </w:r>
        </w:sdtContent>
      </w:sdt>
      <w:r w:rsidR="006A658C">
        <w:rPr>
          <w:color w:val="000000" w:themeColor="text1"/>
        </w:rPr>
        <w:t>.</w:t>
      </w:r>
    </w:p>
    <w:p w14:paraId="52C46ED9" w14:textId="77777777" w:rsidR="00DE316D" w:rsidRDefault="00DE316D" w:rsidP="009E7020">
      <w:pPr>
        <w:rPr>
          <w:color w:val="000000" w:themeColor="text1"/>
        </w:rPr>
      </w:pPr>
    </w:p>
    <w:p w14:paraId="45B87DC8" w14:textId="4CC8AE6B" w:rsidR="00012889" w:rsidRDefault="00A93823" w:rsidP="009E7020">
      <w:pPr>
        <w:rPr>
          <w:color w:val="000000" w:themeColor="text1"/>
        </w:rPr>
      </w:pPr>
      <w:r>
        <w:rPr>
          <w:color w:val="000000" w:themeColor="text1"/>
        </w:rPr>
        <w:t xml:space="preserve">The main issue with the use of </w:t>
      </w:r>
      <w:r w:rsidR="00FC660C">
        <w:rPr>
          <w:color w:val="000000" w:themeColor="text1"/>
        </w:rPr>
        <w:t>ex</w:t>
      </w:r>
      <w:r w:rsidR="00E50D2A">
        <w:rPr>
          <w:color w:val="000000" w:themeColor="text1"/>
        </w:rPr>
        <w:t>emption</w:t>
      </w:r>
      <w:r w:rsidR="00FC660C">
        <w:rPr>
          <w:color w:val="000000" w:themeColor="text1"/>
        </w:rPr>
        <w:t xml:space="preserve"> clauses by professional trustees</w:t>
      </w:r>
      <w:r w:rsidR="00D27303">
        <w:rPr>
          <w:color w:val="000000" w:themeColor="text1"/>
        </w:rPr>
        <w:t xml:space="preserve"> is their ability to reduce accountability. </w:t>
      </w:r>
      <w:sdt>
        <w:sdtPr>
          <w:rPr>
            <w:color w:val="000000" w:themeColor="text1"/>
          </w:rPr>
          <w:id w:val="-2006275382"/>
          <w:citation/>
        </w:sdtPr>
        <w:sdtContent>
          <w:r w:rsidR="00ED6EE0">
            <w:rPr>
              <w:color w:val="000000" w:themeColor="text1"/>
            </w:rPr>
            <w:fldChar w:fldCharType="begin"/>
          </w:r>
          <w:r w:rsidR="00ED6EE0">
            <w:rPr>
              <w:color w:val="000000" w:themeColor="text1"/>
            </w:rPr>
            <w:instrText xml:space="preserve"> CITATION Agn18 \l 2057 </w:instrText>
          </w:r>
          <w:r w:rsidR="00ED6EE0">
            <w:rPr>
              <w:color w:val="000000" w:themeColor="text1"/>
            </w:rPr>
            <w:fldChar w:fldCharType="separate"/>
          </w:r>
          <w:r w:rsidR="00ED6EE0" w:rsidRPr="00ED6EE0">
            <w:rPr>
              <w:noProof/>
              <w:color w:val="000000" w:themeColor="text1"/>
            </w:rPr>
            <w:t>(Agnew &amp; Purkis, 2018)</w:t>
          </w:r>
          <w:r w:rsidR="00ED6EE0">
            <w:rPr>
              <w:color w:val="000000" w:themeColor="text1"/>
            </w:rPr>
            <w:fldChar w:fldCharType="end"/>
          </w:r>
        </w:sdtContent>
      </w:sdt>
      <w:r w:rsidR="00ED6EE0">
        <w:rPr>
          <w:color w:val="000000" w:themeColor="text1"/>
        </w:rPr>
        <w:t xml:space="preserve"> </w:t>
      </w:r>
      <w:r w:rsidR="00513BFD">
        <w:rPr>
          <w:color w:val="000000" w:themeColor="text1"/>
        </w:rPr>
        <w:t>argue that</w:t>
      </w:r>
      <w:r w:rsidR="00E9413F">
        <w:rPr>
          <w:color w:val="000000" w:themeColor="text1"/>
        </w:rPr>
        <w:t xml:space="preserve"> the</w:t>
      </w:r>
      <w:r w:rsidR="00D27303">
        <w:rPr>
          <w:color w:val="000000" w:themeColor="text1"/>
        </w:rPr>
        <w:t xml:space="preserve"> use </w:t>
      </w:r>
      <w:r w:rsidR="00E9413F">
        <w:rPr>
          <w:color w:val="000000" w:themeColor="text1"/>
        </w:rPr>
        <w:t xml:space="preserve">of such clauses </w:t>
      </w:r>
      <w:r w:rsidR="00FB0EA5">
        <w:rPr>
          <w:color w:val="000000" w:themeColor="text1"/>
        </w:rPr>
        <w:t>lessens motivation to act with the</w:t>
      </w:r>
      <w:r w:rsidR="00385D37">
        <w:rPr>
          <w:color w:val="000000" w:themeColor="text1"/>
        </w:rPr>
        <w:t xml:space="preserve"> </w:t>
      </w:r>
      <w:r w:rsidR="00FB0EA5">
        <w:rPr>
          <w:color w:val="000000" w:themeColor="text1"/>
        </w:rPr>
        <w:t>level</w:t>
      </w:r>
      <w:r w:rsidR="00FE6969">
        <w:rPr>
          <w:color w:val="000000" w:themeColor="text1"/>
        </w:rPr>
        <w:t xml:space="preserve"> of diligence</w:t>
      </w:r>
      <w:r w:rsidR="0057690A">
        <w:rPr>
          <w:color w:val="000000" w:themeColor="text1"/>
        </w:rPr>
        <w:t xml:space="preserve"> expected</w:t>
      </w:r>
      <w:r w:rsidR="00385D37">
        <w:rPr>
          <w:color w:val="000000" w:themeColor="text1"/>
        </w:rPr>
        <w:t xml:space="preserve"> of professional trustees.</w:t>
      </w:r>
      <w:r w:rsidR="001B70E2">
        <w:rPr>
          <w:color w:val="000000" w:themeColor="text1"/>
        </w:rPr>
        <w:t xml:space="preserve"> </w:t>
      </w:r>
      <w:r w:rsidR="001B70E2" w:rsidRPr="001B70E2">
        <w:rPr>
          <w:noProof/>
          <w:color w:val="000000" w:themeColor="text1"/>
        </w:rPr>
        <w:t>Hudson</w:t>
      </w:r>
      <w:r w:rsidR="001B70E2">
        <w:rPr>
          <w:noProof/>
          <w:color w:val="000000" w:themeColor="text1"/>
        </w:rPr>
        <w:t>’s (</w:t>
      </w:r>
      <w:r w:rsidR="001B70E2" w:rsidRPr="001B70E2">
        <w:rPr>
          <w:noProof/>
          <w:color w:val="000000" w:themeColor="text1"/>
        </w:rPr>
        <w:t>2021)</w:t>
      </w:r>
      <w:r w:rsidR="0057690A">
        <w:rPr>
          <w:color w:val="000000" w:themeColor="text1"/>
        </w:rPr>
        <w:t xml:space="preserve"> view pushes this </w:t>
      </w:r>
      <w:r w:rsidR="008D4D27">
        <w:rPr>
          <w:color w:val="000000" w:themeColor="text1"/>
        </w:rPr>
        <w:t>concern further, by highlighting the misalignment between the claus</w:t>
      </w:r>
      <w:r w:rsidR="00FB72D3">
        <w:rPr>
          <w:color w:val="000000" w:themeColor="text1"/>
        </w:rPr>
        <w:t>es and</w:t>
      </w:r>
      <w:r w:rsidR="005009AC">
        <w:rPr>
          <w:color w:val="000000" w:themeColor="text1"/>
        </w:rPr>
        <w:t xml:space="preserve"> expertise</w:t>
      </w:r>
      <w:r w:rsidR="00FB72D3">
        <w:rPr>
          <w:color w:val="000000" w:themeColor="text1"/>
        </w:rPr>
        <w:t xml:space="preserve">. </w:t>
      </w:r>
      <w:r w:rsidR="007B01EE">
        <w:rPr>
          <w:color w:val="000000" w:themeColor="text1"/>
        </w:rPr>
        <w:t>This is because u</w:t>
      </w:r>
      <w:r w:rsidR="00CE6F92">
        <w:rPr>
          <w:color w:val="000000" w:themeColor="text1"/>
        </w:rPr>
        <w:t xml:space="preserve">ltimately, professional trustees are instructed for </w:t>
      </w:r>
      <w:r w:rsidR="00BD55F5">
        <w:rPr>
          <w:color w:val="000000" w:themeColor="text1"/>
        </w:rPr>
        <w:t>their higher level of skill</w:t>
      </w:r>
      <w:sdt>
        <w:sdtPr>
          <w:rPr>
            <w:color w:val="000000" w:themeColor="text1"/>
          </w:rPr>
          <w:id w:val="16119170"/>
          <w:citation/>
        </w:sdtPr>
        <w:sdtContent>
          <w:r w:rsidR="00454A93">
            <w:rPr>
              <w:color w:val="000000" w:themeColor="text1"/>
            </w:rPr>
            <w:fldChar w:fldCharType="begin"/>
          </w:r>
          <w:r w:rsidR="00454A93">
            <w:rPr>
              <w:color w:val="000000" w:themeColor="text1"/>
            </w:rPr>
            <w:instrText xml:space="preserve"> CITATION Gra221 \l 2057 </w:instrText>
          </w:r>
          <w:r w:rsidR="00454A93">
            <w:rPr>
              <w:color w:val="000000" w:themeColor="text1"/>
            </w:rPr>
            <w:fldChar w:fldCharType="separate"/>
          </w:r>
          <w:r w:rsidR="00454A93">
            <w:rPr>
              <w:noProof/>
              <w:color w:val="000000" w:themeColor="text1"/>
            </w:rPr>
            <w:t xml:space="preserve"> </w:t>
          </w:r>
          <w:r w:rsidR="00454A93" w:rsidRPr="00454A93">
            <w:rPr>
              <w:noProof/>
              <w:color w:val="000000" w:themeColor="text1"/>
            </w:rPr>
            <w:t>(Graham &amp; Russell, 2022)</w:t>
          </w:r>
          <w:r w:rsidR="00454A93">
            <w:rPr>
              <w:color w:val="000000" w:themeColor="text1"/>
            </w:rPr>
            <w:fldChar w:fldCharType="end"/>
          </w:r>
        </w:sdtContent>
      </w:sdt>
      <w:r w:rsidR="00BD55F5">
        <w:rPr>
          <w:color w:val="000000" w:themeColor="text1"/>
        </w:rPr>
        <w:t xml:space="preserve">. Arguably, </w:t>
      </w:r>
      <w:r w:rsidR="00B76DCF">
        <w:rPr>
          <w:color w:val="000000" w:themeColor="text1"/>
        </w:rPr>
        <w:t xml:space="preserve">exemption clauses undermine this, by offering them a means of escape from breach of trust. Furthermore, </w:t>
      </w:r>
      <w:sdt>
        <w:sdtPr>
          <w:rPr>
            <w:color w:val="000000" w:themeColor="text1"/>
          </w:rPr>
          <w:id w:val="-1968880953"/>
          <w:citation/>
        </w:sdtPr>
        <w:sdtContent>
          <w:r w:rsidR="00454A93">
            <w:rPr>
              <w:color w:val="000000" w:themeColor="text1"/>
            </w:rPr>
            <w:fldChar w:fldCharType="begin"/>
          </w:r>
          <w:r w:rsidR="00454A93">
            <w:rPr>
              <w:color w:val="000000" w:themeColor="text1"/>
            </w:rPr>
            <w:instrText xml:space="preserve"> CITATION Agn18 \l 2057 </w:instrText>
          </w:r>
          <w:r w:rsidR="00454A93">
            <w:rPr>
              <w:color w:val="000000" w:themeColor="text1"/>
            </w:rPr>
            <w:fldChar w:fldCharType="separate"/>
          </w:r>
          <w:r w:rsidR="00454A93" w:rsidRPr="00454A93">
            <w:rPr>
              <w:noProof/>
              <w:color w:val="000000" w:themeColor="text1"/>
            </w:rPr>
            <w:t>(Agnew &amp; Purkis, 2018)</w:t>
          </w:r>
          <w:r w:rsidR="00454A93">
            <w:rPr>
              <w:color w:val="000000" w:themeColor="text1"/>
            </w:rPr>
            <w:fldChar w:fldCharType="end"/>
          </w:r>
        </w:sdtContent>
      </w:sdt>
      <w:r w:rsidR="00454A93">
        <w:rPr>
          <w:color w:val="000000" w:themeColor="text1"/>
        </w:rPr>
        <w:t xml:space="preserve"> </w:t>
      </w:r>
      <w:r w:rsidR="00B76DCF">
        <w:rPr>
          <w:color w:val="000000" w:themeColor="text1"/>
        </w:rPr>
        <w:t xml:space="preserve">highlight </w:t>
      </w:r>
      <w:r w:rsidR="00D72A0A">
        <w:rPr>
          <w:color w:val="000000" w:themeColor="text1"/>
        </w:rPr>
        <w:t>the impact of exemption clauses upon</w:t>
      </w:r>
      <w:r w:rsidR="008B28D0">
        <w:rPr>
          <w:color w:val="000000" w:themeColor="text1"/>
        </w:rPr>
        <w:t xml:space="preserve"> beneficiaries</w:t>
      </w:r>
      <w:r w:rsidR="009A15D8">
        <w:rPr>
          <w:color w:val="000000" w:themeColor="text1"/>
        </w:rPr>
        <w:t xml:space="preserve">, by potentially leaving them financially vulnerable. This is due to </w:t>
      </w:r>
      <w:r w:rsidR="002C719F">
        <w:rPr>
          <w:color w:val="000000" w:themeColor="text1"/>
        </w:rPr>
        <w:t xml:space="preserve">the </w:t>
      </w:r>
      <w:r w:rsidR="006C0CC0">
        <w:rPr>
          <w:color w:val="000000" w:themeColor="text1"/>
        </w:rPr>
        <w:t xml:space="preserve">potential risk </w:t>
      </w:r>
      <w:r w:rsidR="002C719F">
        <w:rPr>
          <w:color w:val="000000" w:themeColor="text1"/>
        </w:rPr>
        <w:t>of</w:t>
      </w:r>
      <w:r w:rsidR="006C0CC0">
        <w:rPr>
          <w:color w:val="000000" w:themeColor="text1"/>
        </w:rPr>
        <w:t xml:space="preserve"> beneficiaries suffering loss </w:t>
      </w:r>
      <w:r w:rsidR="00255567">
        <w:rPr>
          <w:color w:val="000000" w:themeColor="text1"/>
        </w:rPr>
        <w:t>without</w:t>
      </w:r>
      <w:r w:rsidR="00E82484">
        <w:rPr>
          <w:color w:val="000000" w:themeColor="text1"/>
        </w:rPr>
        <w:t xml:space="preserve"> any means of remedy </w:t>
      </w:r>
      <w:r w:rsidR="00191441">
        <w:rPr>
          <w:color w:val="000000" w:themeColor="text1"/>
        </w:rPr>
        <w:t xml:space="preserve">when exemption clauses are held as valid. </w:t>
      </w:r>
    </w:p>
    <w:p w14:paraId="5F29464D" w14:textId="353FD28E" w:rsidR="00672EC5" w:rsidRDefault="00191441" w:rsidP="009E7020">
      <w:pPr>
        <w:rPr>
          <w:color w:val="000000" w:themeColor="text1"/>
        </w:rPr>
      </w:pPr>
      <w:r>
        <w:rPr>
          <w:color w:val="000000" w:themeColor="text1"/>
        </w:rPr>
        <w:lastRenderedPageBreak/>
        <w:t xml:space="preserve">This </w:t>
      </w:r>
      <w:r w:rsidR="00521317">
        <w:rPr>
          <w:color w:val="000000" w:themeColor="text1"/>
        </w:rPr>
        <w:t xml:space="preserve">feasibly </w:t>
      </w:r>
      <w:r>
        <w:rPr>
          <w:color w:val="000000" w:themeColor="text1"/>
        </w:rPr>
        <w:t xml:space="preserve">undermines </w:t>
      </w:r>
      <w:r w:rsidR="00475759">
        <w:rPr>
          <w:color w:val="000000" w:themeColor="text1"/>
        </w:rPr>
        <w:t xml:space="preserve">one of the core values </w:t>
      </w:r>
      <w:r w:rsidR="0009425A">
        <w:rPr>
          <w:color w:val="000000" w:themeColor="text1"/>
        </w:rPr>
        <w:t xml:space="preserve">of </w:t>
      </w:r>
      <w:r w:rsidR="00E746CB">
        <w:rPr>
          <w:color w:val="000000" w:themeColor="text1"/>
        </w:rPr>
        <w:t>trust law</w:t>
      </w:r>
      <w:r w:rsidR="00DA798A">
        <w:rPr>
          <w:color w:val="000000" w:themeColor="text1"/>
        </w:rPr>
        <w:t>;</w:t>
      </w:r>
      <w:r w:rsidR="00475759">
        <w:rPr>
          <w:color w:val="000000" w:themeColor="text1"/>
        </w:rPr>
        <w:t xml:space="preserve"> </w:t>
      </w:r>
      <w:r w:rsidR="00521317">
        <w:rPr>
          <w:color w:val="000000" w:themeColor="text1"/>
        </w:rPr>
        <w:t>the understanding that</w:t>
      </w:r>
      <w:r w:rsidR="00147CBB">
        <w:rPr>
          <w:color w:val="000000" w:themeColor="text1"/>
        </w:rPr>
        <w:t xml:space="preserve"> trustees should always seek</w:t>
      </w:r>
      <w:r w:rsidR="00AB13A9">
        <w:rPr>
          <w:color w:val="000000" w:themeColor="text1"/>
        </w:rPr>
        <w:t xml:space="preserve"> to safeguard the interests of the beneficiaries</w:t>
      </w:r>
      <w:sdt>
        <w:sdtPr>
          <w:rPr>
            <w:color w:val="000000" w:themeColor="text1"/>
          </w:rPr>
          <w:id w:val="1229350561"/>
          <w:citation/>
        </w:sdtPr>
        <w:sdtContent>
          <w:r w:rsidR="00E746CB">
            <w:rPr>
              <w:color w:val="000000" w:themeColor="text1"/>
            </w:rPr>
            <w:fldChar w:fldCharType="begin"/>
          </w:r>
          <w:r w:rsidR="00E746CB">
            <w:rPr>
              <w:color w:val="000000" w:themeColor="text1"/>
            </w:rPr>
            <w:instrText xml:space="preserve"> CITATION Cha231 \l 2057 </w:instrText>
          </w:r>
          <w:r w:rsidR="00E746CB">
            <w:rPr>
              <w:color w:val="000000" w:themeColor="text1"/>
            </w:rPr>
            <w:fldChar w:fldCharType="separate"/>
          </w:r>
          <w:r w:rsidR="00E746CB">
            <w:rPr>
              <w:noProof/>
              <w:color w:val="000000" w:themeColor="text1"/>
            </w:rPr>
            <w:t xml:space="preserve"> </w:t>
          </w:r>
          <w:r w:rsidR="00E746CB" w:rsidRPr="00E746CB">
            <w:rPr>
              <w:noProof/>
              <w:color w:val="000000" w:themeColor="text1"/>
            </w:rPr>
            <w:t>(Mak, 2023)</w:t>
          </w:r>
          <w:r w:rsidR="00E746CB">
            <w:rPr>
              <w:color w:val="000000" w:themeColor="text1"/>
            </w:rPr>
            <w:fldChar w:fldCharType="end"/>
          </w:r>
        </w:sdtContent>
      </w:sdt>
      <w:r w:rsidR="00AB13A9">
        <w:rPr>
          <w:color w:val="000000" w:themeColor="text1"/>
        </w:rPr>
        <w:t>.</w:t>
      </w:r>
      <w:r w:rsidR="00B62798">
        <w:rPr>
          <w:color w:val="000000" w:themeColor="text1"/>
        </w:rPr>
        <w:t xml:space="preserve"> </w:t>
      </w:r>
      <w:r w:rsidR="000450F3">
        <w:rPr>
          <w:color w:val="000000" w:themeColor="text1"/>
        </w:rPr>
        <w:t>Proponents for reform explain the damning consequences of this</w:t>
      </w:r>
      <w:r w:rsidR="00C1242C">
        <w:rPr>
          <w:color w:val="000000" w:themeColor="text1"/>
        </w:rPr>
        <w:t xml:space="preserve"> when considering that settlors </w:t>
      </w:r>
      <w:r w:rsidR="00E62ADE">
        <w:rPr>
          <w:color w:val="000000" w:themeColor="text1"/>
        </w:rPr>
        <w:t>can sometimes be un</w:t>
      </w:r>
      <w:r w:rsidR="000A3FF9">
        <w:rPr>
          <w:color w:val="000000" w:themeColor="text1"/>
        </w:rPr>
        <w:t>informed</w:t>
      </w:r>
      <w:r w:rsidR="00E62ADE">
        <w:rPr>
          <w:color w:val="000000" w:themeColor="text1"/>
        </w:rPr>
        <w:t xml:space="preserve"> of the </w:t>
      </w:r>
      <w:r w:rsidR="00D7347D">
        <w:rPr>
          <w:color w:val="000000" w:themeColor="text1"/>
        </w:rPr>
        <w:t>impact</w:t>
      </w:r>
      <w:r w:rsidR="00E74A34">
        <w:rPr>
          <w:color w:val="000000" w:themeColor="text1"/>
        </w:rPr>
        <w:t xml:space="preserve"> </w:t>
      </w:r>
      <w:r w:rsidR="000A3FF9">
        <w:rPr>
          <w:color w:val="000000" w:themeColor="text1"/>
        </w:rPr>
        <w:t>that ex</w:t>
      </w:r>
      <w:r w:rsidR="007D0E11">
        <w:rPr>
          <w:color w:val="000000" w:themeColor="text1"/>
        </w:rPr>
        <w:t>emption</w:t>
      </w:r>
      <w:r w:rsidR="000A3FF9">
        <w:rPr>
          <w:color w:val="000000" w:themeColor="text1"/>
        </w:rPr>
        <w:t xml:space="preserve"> clauses can have upon</w:t>
      </w:r>
      <w:r w:rsidR="00C76DA0">
        <w:rPr>
          <w:color w:val="000000" w:themeColor="text1"/>
        </w:rPr>
        <w:t xml:space="preserve"> </w:t>
      </w:r>
      <w:r w:rsidR="004530E8">
        <w:rPr>
          <w:color w:val="000000" w:themeColor="text1"/>
        </w:rPr>
        <w:t>trustees’</w:t>
      </w:r>
      <w:r w:rsidR="00C76DA0">
        <w:rPr>
          <w:color w:val="000000" w:themeColor="text1"/>
        </w:rPr>
        <w:t xml:space="preserve"> capability to </w:t>
      </w:r>
      <w:r w:rsidR="00D361E6">
        <w:rPr>
          <w:color w:val="000000" w:themeColor="text1"/>
        </w:rPr>
        <w:t>exclude liability</w:t>
      </w:r>
      <w:sdt>
        <w:sdtPr>
          <w:rPr>
            <w:color w:val="000000" w:themeColor="text1"/>
          </w:rPr>
          <w:id w:val="-335381935"/>
          <w:citation/>
        </w:sdtPr>
        <w:sdtContent>
          <w:r w:rsidR="004530E8">
            <w:rPr>
              <w:color w:val="000000" w:themeColor="text1"/>
            </w:rPr>
            <w:fldChar w:fldCharType="begin"/>
          </w:r>
          <w:r w:rsidR="004530E8">
            <w:rPr>
              <w:color w:val="000000" w:themeColor="text1"/>
            </w:rPr>
            <w:instrText xml:space="preserve"> CITATION Ale \l 2057 </w:instrText>
          </w:r>
          <w:r w:rsidR="004530E8">
            <w:rPr>
              <w:color w:val="000000" w:themeColor="text1"/>
            </w:rPr>
            <w:fldChar w:fldCharType="separate"/>
          </w:r>
          <w:r w:rsidR="004530E8">
            <w:rPr>
              <w:noProof/>
              <w:color w:val="000000" w:themeColor="text1"/>
            </w:rPr>
            <w:t xml:space="preserve"> </w:t>
          </w:r>
          <w:r w:rsidR="004530E8" w:rsidRPr="004530E8">
            <w:rPr>
              <w:noProof/>
              <w:color w:val="000000" w:themeColor="text1"/>
            </w:rPr>
            <w:t>(Usilova, 2016)</w:t>
          </w:r>
          <w:r w:rsidR="004530E8">
            <w:rPr>
              <w:color w:val="000000" w:themeColor="text1"/>
            </w:rPr>
            <w:fldChar w:fldCharType="end"/>
          </w:r>
        </w:sdtContent>
      </w:sdt>
      <w:r w:rsidR="00D361E6">
        <w:rPr>
          <w:color w:val="000000" w:themeColor="text1"/>
        </w:rPr>
        <w:t>.</w:t>
      </w:r>
      <w:r w:rsidR="00AC553A">
        <w:rPr>
          <w:color w:val="000000" w:themeColor="text1"/>
        </w:rPr>
        <w:t xml:space="preserve"> It must be noted</w:t>
      </w:r>
      <w:r w:rsidR="00F63004">
        <w:rPr>
          <w:color w:val="000000" w:themeColor="text1"/>
        </w:rPr>
        <w:t xml:space="preserve"> while</w:t>
      </w:r>
      <w:r w:rsidR="00AC553A">
        <w:rPr>
          <w:color w:val="000000" w:themeColor="text1"/>
        </w:rPr>
        <w:t xml:space="preserve"> that it is recognised as best practice</w:t>
      </w:r>
      <w:r w:rsidR="002F4C99">
        <w:rPr>
          <w:color w:val="000000" w:themeColor="text1"/>
        </w:rPr>
        <w:t xml:space="preserve"> by many </w:t>
      </w:r>
      <w:r w:rsidR="00F63004">
        <w:rPr>
          <w:color w:val="000000" w:themeColor="text1"/>
        </w:rPr>
        <w:t>professional regulatory bodies to notify settlors of the impact</w:t>
      </w:r>
      <w:r w:rsidR="00F37D1D">
        <w:rPr>
          <w:color w:val="000000" w:themeColor="text1"/>
        </w:rPr>
        <w:t xml:space="preserve"> of ex</w:t>
      </w:r>
      <w:r w:rsidR="00FE461E">
        <w:rPr>
          <w:color w:val="000000" w:themeColor="text1"/>
        </w:rPr>
        <w:t>emption</w:t>
      </w:r>
      <w:r w:rsidR="00F37D1D">
        <w:rPr>
          <w:color w:val="000000" w:themeColor="text1"/>
        </w:rPr>
        <w:t xml:space="preserve"> clauses</w:t>
      </w:r>
      <w:r w:rsidR="00C16D8C">
        <w:rPr>
          <w:color w:val="000000" w:themeColor="text1"/>
        </w:rPr>
        <w:t>, it is not a legal requirement</w:t>
      </w:r>
      <w:sdt>
        <w:sdtPr>
          <w:rPr>
            <w:color w:val="000000" w:themeColor="text1"/>
          </w:rPr>
          <w:id w:val="-202098128"/>
          <w:citation/>
        </w:sdtPr>
        <w:sdtContent>
          <w:r w:rsidR="006B5930">
            <w:rPr>
              <w:color w:val="000000" w:themeColor="text1"/>
            </w:rPr>
            <w:fldChar w:fldCharType="begin"/>
          </w:r>
          <w:r w:rsidR="006B5930">
            <w:rPr>
              <w:color w:val="000000" w:themeColor="text1"/>
            </w:rPr>
            <w:instrText xml:space="preserve"> CITATION Ric18 \l 2057 </w:instrText>
          </w:r>
          <w:r w:rsidR="006B5930">
            <w:rPr>
              <w:color w:val="000000" w:themeColor="text1"/>
            </w:rPr>
            <w:fldChar w:fldCharType="separate"/>
          </w:r>
          <w:r w:rsidR="006B5930">
            <w:rPr>
              <w:noProof/>
              <w:color w:val="000000" w:themeColor="text1"/>
            </w:rPr>
            <w:t xml:space="preserve"> </w:t>
          </w:r>
          <w:r w:rsidR="006B5930" w:rsidRPr="006B5930">
            <w:rPr>
              <w:noProof/>
              <w:color w:val="000000" w:themeColor="text1"/>
            </w:rPr>
            <w:t>(Rice &amp; Sherwin, 2018)</w:t>
          </w:r>
          <w:r w:rsidR="006B5930">
            <w:rPr>
              <w:color w:val="000000" w:themeColor="text1"/>
            </w:rPr>
            <w:fldChar w:fldCharType="end"/>
          </w:r>
        </w:sdtContent>
      </w:sdt>
      <w:r w:rsidR="00C16D8C">
        <w:rPr>
          <w:color w:val="000000" w:themeColor="text1"/>
        </w:rPr>
        <w:t xml:space="preserve">. This </w:t>
      </w:r>
      <w:r w:rsidR="00481033">
        <w:rPr>
          <w:color w:val="000000" w:themeColor="text1"/>
        </w:rPr>
        <w:t>means that there is scope</w:t>
      </w:r>
      <w:r w:rsidR="00B33C09">
        <w:rPr>
          <w:color w:val="000000" w:themeColor="text1"/>
        </w:rPr>
        <w:t xml:space="preserve"> for</w:t>
      </w:r>
      <w:r w:rsidR="00BC7D13">
        <w:rPr>
          <w:color w:val="000000" w:themeColor="text1"/>
        </w:rPr>
        <w:t xml:space="preserve"> uninformed consent </w:t>
      </w:r>
      <w:r w:rsidR="00383F2B">
        <w:rPr>
          <w:color w:val="000000" w:themeColor="text1"/>
        </w:rPr>
        <w:t>when</w:t>
      </w:r>
      <w:r w:rsidR="00BC7D13">
        <w:rPr>
          <w:color w:val="000000" w:themeColor="text1"/>
        </w:rPr>
        <w:t xml:space="preserve"> </w:t>
      </w:r>
      <w:r w:rsidR="00F62803">
        <w:rPr>
          <w:color w:val="000000" w:themeColor="text1"/>
        </w:rPr>
        <w:t>includ</w:t>
      </w:r>
      <w:r w:rsidR="00383F2B">
        <w:rPr>
          <w:color w:val="000000" w:themeColor="text1"/>
        </w:rPr>
        <w:t>ing</w:t>
      </w:r>
      <w:r w:rsidR="00F62803">
        <w:rPr>
          <w:color w:val="000000" w:themeColor="text1"/>
        </w:rPr>
        <w:t xml:space="preserve"> ex</w:t>
      </w:r>
      <w:r w:rsidR="00FE461E">
        <w:rPr>
          <w:color w:val="000000" w:themeColor="text1"/>
        </w:rPr>
        <w:t xml:space="preserve">emption </w:t>
      </w:r>
      <w:r w:rsidR="00F62803">
        <w:rPr>
          <w:color w:val="000000" w:themeColor="text1"/>
        </w:rPr>
        <w:t xml:space="preserve">clauses </w:t>
      </w:r>
      <w:r w:rsidR="00383F2B">
        <w:rPr>
          <w:color w:val="000000" w:themeColor="text1"/>
        </w:rPr>
        <w:t>upon the execution of trust deeds</w:t>
      </w:r>
      <w:r w:rsidR="00250295">
        <w:rPr>
          <w:color w:val="000000" w:themeColor="text1"/>
        </w:rPr>
        <w:t xml:space="preserve">. </w:t>
      </w:r>
      <w:r w:rsidR="00383F2B">
        <w:rPr>
          <w:color w:val="000000" w:themeColor="text1"/>
        </w:rPr>
        <w:t>Th</w:t>
      </w:r>
      <w:r w:rsidR="00B8621C">
        <w:rPr>
          <w:color w:val="000000" w:themeColor="text1"/>
        </w:rPr>
        <w:t xml:space="preserve">is </w:t>
      </w:r>
      <w:r w:rsidR="005034D2">
        <w:rPr>
          <w:color w:val="000000" w:themeColor="text1"/>
        </w:rPr>
        <w:t>a</w:t>
      </w:r>
      <w:r w:rsidR="00DB7A28">
        <w:rPr>
          <w:color w:val="000000" w:themeColor="text1"/>
        </w:rPr>
        <w:t xml:space="preserve">bove contention highlights the need for reform </w:t>
      </w:r>
      <w:r w:rsidR="00965F28">
        <w:rPr>
          <w:color w:val="000000" w:themeColor="text1"/>
        </w:rPr>
        <w:t xml:space="preserve">to ensure the duties of professional trustees are </w:t>
      </w:r>
      <w:r w:rsidR="00F055F0">
        <w:rPr>
          <w:color w:val="000000" w:themeColor="text1"/>
        </w:rPr>
        <w:t>fulfilled</w:t>
      </w:r>
      <w:r w:rsidR="00255797">
        <w:rPr>
          <w:color w:val="000000" w:themeColor="text1"/>
        </w:rPr>
        <w:t xml:space="preserve"> </w:t>
      </w:r>
      <w:r w:rsidR="007463C8">
        <w:rPr>
          <w:color w:val="000000" w:themeColor="text1"/>
        </w:rPr>
        <w:t xml:space="preserve">in </w:t>
      </w:r>
      <w:r w:rsidR="000F5565">
        <w:rPr>
          <w:color w:val="000000" w:themeColor="text1"/>
        </w:rPr>
        <w:t>line with the premise of a trust</w:t>
      </w:r>
      <w:r w:rsidR="00F055F0">
        <w:rPr>
          <w:color w:val="000000" w:themeColor="text1"/>
        </w:rPr>
        <w:t xml:space="preserve"> </w:t>
      </w:r>
      <w:r w:rsidR="00647DC2">
        <w:rPr>
          <w:color w:val="000000" w:themeColor="text1"/>
        </w:rPr>
        <w:t xml:space="preserve">and so the following section will </w:t>
      </w:r>
      <w:r w:rsidR="000C0202">
        <w:rPr>
          <w:color w:val="000000" w:themeColor="text1"/>
        </w:rPr>
        <w:t>analyse a proposition</w:t>
      </w:r>
      <w:r w:rsidR="00A408E2">
        <w:rPr>
          <w:color w:val="000000" w:themeColor="text1"/>
        </w:rPr>
        <w:t xml:space="preserve"> of a new act to</w:t>
      </w:r>
      <w:r w:rsidR="000C0202">
        <w:rPr>
          <w:color w:val="000000" w:themeColor="text1"/>
        </w:rPr>
        <w:t xml:space="preserve"> reform</w:t>
      </w:r>
      <w:r w:rsidR="00A408E2">
        <w:rPr>
          <w:color w:val="000000" w:themeColor="text1"/>
        </w:rPr>
        <w:t xml:space="preserve"> the current stance</w:t>
      </w:r>
      <w:r w:rsidR="000C0202">
        <w:rPr>
          <w:color w:val="000000" w:themeColor="text1"/>
        </w:rPr>
        <w:t>.</w:t>
      </w:r>
    </w:p>
    <w:p w14:paraId="4D4A9686" w14:textId="686A49C4" w:rsidR="00DE316D" w:rsidRDefault="00DE316D" w:rsidP="009E7020">
      <w:pPr>
        <w:rPr>
          <w:color w:val="000000" w:themeColor="text1"/>
        </w:rPr>
      </w:pPr>
    </w:p>
    <w:p w14:paraId="3740A24A" w14:textId="5E9FBA70" w:rsidR="00802D6A" w:rsidRDefault="00835FCE" w:rsidP="009E7020">
      <w:pPr>
        <w:rPr>
          <w:color w:val="000000" w:themeColor="text1"/>
        </w:rPr>
      </w:pPr>
      <w:r>
        <w:rPr>
          <w:color w:val="000000" w:themeColor="text1"/>
        </w:rPr>
        <w:t>Th</w:t>
      </w:r>
      <w:r w:rsidR="00A408E2">
        <w:rPr>
          <w:color w:val="000000" w:themeColor="text1"/>
        </w:rPr>
        <w:t>e bill considered</w:t>
      </w:r>
      <w:r>
        <w:rPr>
          <w:color w:val="000000" w:themeColor="text1"/>
        </w:rPr>
        <w:t>:</w:t>
      </w:r>
    </w:p>
    <w:p w14:paraId="03D91830" w14:textId="30C049CF" w:rsidR="0069247C" w:rsidRPr="00F94A54" w:rsidRDefault="00A14489" w:rsidP="0069247C">
      <w:pPr>
        <w:rPr>
          <w:b/>
          <w:bCs/>
        </w:rPr>
      </w:pPr>
      <w:r>
        <w:rPr>
          <w:color w:val="000000" w:themeColor="text1"/>
        </w:rPr>
        <w:t xml:space="preserve"> </w:t>
      </w:r>
      <w:r w:rsidR="0069247C" w:rsidRPr="162D03B1">
        <w:rPr>
          <w:b/>
          <w:bCs/>
        </w:rPr>
        <w:t xml:space="preserve">The Trustee (Liability) Bill 2024 </w:t>
      </w:r>
    </w:p>
    <w:p w14:paraId="3A81ABC0" w14:textId="77777777" w:rsidR="0069247C" w:rsidRDefault="0069247C" w:rsidP="0069247C">
      <w:r>
        <w:t>This Bill will seek to revoke the valid use of clauses to exempt or limit the liability of professional trustees in instances where there has been a breach of trust. This Bill will be applicable to all trustees who receive remuneration for their duties as a trustee, irrespective of their exact professional status.</w:t>
      </w:r>
    </w:p>
    <w:p w14:paraId="1BA6B513" w14:textId="77777777" w:rsidR="0069247C" w:rsidRDefault="0069247C" w:rsidP="0069247C"/>
    <w:p w14:paraId="657D68F3" w14:textId="77777777" w:rsidR="0069247C" w:rsidRDefault="0069247C" w:rsidP="0069247C">
      <w:pPr>
        <w:pStyle w:val="ListParagraph"/>
        <w:numPr>
          <w:ilvl w:val="0"/>
          <w:numId w:val="6"/>
        </w:numPr>
      </w:pPr>
      <w:r>
        <w:t xml:space="preserve"> A)  This Bill will be applicable immediately upon its enactment on October 29</w:t>
      </w:r>
      <w:r w:rsidRPr="162D03B1">
        <w:rPr>
          <w:vertAlign w:val="superscript"/>
        </w:rPr>
        <w:t>th</w:t>
      </w:r>
      <w:proofErr w:type="gramStart"/>
      <w:r w:rsidRPr="162D03B1">
        <w:rPr>
          <w:vertAlign w:val="superscript"/>
        </w:rPr>
        <w:t xml:space="preserve"> 2024</w:t>
      </w:r>
      <w:proofErr w:type="gramEnd"/>
      <w:r>
        <w:t>, and will be applicable to trusts enacted prior to this date.</w:t>
      </w:r>
    </w:p>
    <w:p w14:paraId="17302452" w14:textId="77777777" w:rsidR="0069247C" w:rsidRDefault="0069247C" w:rsidP="0069247C">
      <w:pPr>
        <w:pStyle w:val="ListParagraph"/>
        <w:ind w:left="1080"/>
      </w:pPr>
    </w:p>
    <w:p w14:paraId="2CEE22CD" w14:textId="77777777" w:rsidR="0069247C" w:rsidRDefault="0069247C" w:rsidP="0069247C">
      <w:pPr>
        <w:pStyle w:val="ListParagraph"/>
        <w:ind w:left="1080"/>
      </w:pPr>
      <w:r>
        <w:t>B) Trusts created prior to this bill with the inclusion of exemption clauses will not be deemed as invalid in their entirety, but the exemption clause itself will no longer be applicable.</w:t>
      </w:r>
    </w:p>
    <w:p w14:paraId="46B9D11D" w14:textId="77777777" w:rsidR="0069247C" w:rsidRDefault="0069247C" w:rsidP="0069247C">
      <w:pPr>
        <w:pStyle w:val="ListParagraph"/>
        <w:ind w:left="1080"/>
      </w:pPr>
    </w:p>
    <w:p w14:paraId="619819AE" w14:textId="77777777" w:rsidR="0069247C" w:rsidRDefault="0069247C" w:rsidP="0069247C">
      <w:pPr>
        <w:ind w:left="720"/>
      </w:pPr>
      <w:r>
        <w:t>2     A) For the purpose of this Bill, a professional trustee can be defined as any    trustee who charges a fee for their services that equals to a sum greater than that of their expenses.</w:t>
      </w:r>
    </w:p>
    <w:p w14:paraId="231E0161" w14:textId="77777777" w:rsidR="0069247C" w:rsidRDefault="0069247C" w:rsidP="0069247C">
      <w:pPr>
        <w:ind w:left="720"/>
      </w:pPr>
      <w:r>
        <w:t>B)  Specific examples of professional trustees will be made available in supplementary statutory instrument. The list is not exhaustive, and the Court reserves the right of discretion where professional status is disputed.</w:t>
      </w:r>
    </w:p>
    <w:p w14:paraId="51279F8F" w14:textId="77777777" w:rsidR="0069247C" w:rsidRDefault="0069247C" w:rsidP="0069247C">
      <w:pPr>
        <w:ind w:left="720"/>
      </w:pPr>
      <w:r>
        <w:t>C) Trustees not acting in a professional capacity will retain the right to use exemption clauses.</w:t>
      </w:r>
    </w:p>
    <w:p w14:paraId="78210910" w14:textId="77777777" w:rsidR="0069247C" w:rsidRDefault="0069247C" w:rsidP="0069247C">
      <w:pPr>
        <w:pStyle w:val="ListParagraph"/>
        <w:pBdr>
          <w:bottom w:val="single" w:sz="6" w:space="1" w:color="auto"/>
        </w:pBdr>
        <w:ind w:left="1080"/>
      </w:pPr>
    </w:p>
    <w:p w14:paraId="3CEBF5BF" w14:textId="26659C08" w:rsidR="002B1F57" w:rsidRPr="000975C8" w:rsidRDefault="002B1F57" w:rsidP="009E7020">
      <w:pPr>
        <w:rPr>
          <w:color w:val="000000" w:themeColor="text1"/>
        </w:rPr>
      </w:pPr>
    </w:p>
    <w:p w14:paraId="42B766F2" w14:textId="01FE6EE7" w:rsidR="00E32A3F" w:rsidRDefault="00F80745" w:rsidP="009E7020">
      <w:r>
        <w:t xml:space="preserve">To evaluate the prospective changes, </w:t>
      </w:r>
      <w:r w:rsidR="00A8021D">
        <w:t>the reasoning behind the current legal stance must be considered.</w:t>
      </w:r>
      <w:r w:rsidR="00503602">
        <w:t xml:space="preserve"> The use of ex</w:t>
      </w:r>
      <w:r w:rsidR="002541B7">
        <w:t>emption</w:t>
      </w:r>
      <w:r w:rsidR="00503602">
        <w:t xml:space="preserve"> clauses</w:t>
      </w:r>
      <w:r w:rsidR="00881822">
        <w:t xml:space="preserve"> by professionals</w:t>
      </w:r>
      <w:r w:rsidR="00503602">
        <w:t xml:space="preserve"> is</w:t>
      </w:r>
      <w:r w:rsidR="002413C4">
        <w:t xml:space="preserve"> to afford trustees a layer of protection against </w:t>
      </w:r>
      <w:r w:rsidR="00DB71B8">
        <w:t>excessive</w:t>
      </w:r>
      <w:r w:rsidR="004348C7">
        <w:t xml:space="preserve"> personal</w:t>
      </w:r>
      <w:r w:rsidR="00DB71B8">
        <w:t xml:space="preserve"> liability</w:t>
      </w:r>
      <w:sdt>
        <w:sdtPr>
          <w:id w:val="-1510977557"/>
          <w:citation/>
        </w:sdtPr>
        <w:sdtContent>
          <w:r w:rsidR="00105244">
            <w:fldChar w:fldCharType="begin"/>
          </w:r>
          <w:r w:rsidR="00105244">
            <w:instrText xml:space="preserve"> CITATION Cat15 \l 2057 </w:instrText>
          </w:r>
          <w:r w:rsidR="00105244">
            <w:fldChar w:fldCharType="separate"/>
          </w:r>
          <w:r w:rsidR="00105244">
            <w:rPr>
              <w:noProof/>
            </w:rPr>
            <w:t xml:space="preserve"> </w:t>
          </w:r>
          <w:r w:rsidR="00105244" w:rsidRPr="00105244">
            <w:rPr>
              <w:noProof/>
            </w:rPr>
            <w:t>(Huws, 2015)</w:t>
          </w:r>
          <w:r w:rsidR="00105244">
            <w:fldChar w:fldCharType="end"/>
          </w:r>
        </w:sdtContent>
      </w:sdt>
      <w:r w:rsidR="00DB71B8">
        <w:t xml:space="preserve">. </w:t>
      </w:r>
      <w:r w:rsidR="008962FB">
        <w:t>This means that trustees can afford</w:t>
      </w:r>
      <w:r w:rsidR="00362B45">
        <w:t xml:space="preserve"> to make use of calculated risk when </w:t>
      </w:r>
      <w:r w:rsidR="002354F0">
        <w:t>considering</w:t>
      </w:r>
      <w:r w:rsidR="00FA3BC9">
        <w:t xml:space="preserve"> ways to increase trust assets which is arguably in the interest of beneficiaries</w:t>
      </w:r>
      <w:sdt>
        <w:sdtPr>
          <w:id w:val="348078180"/>
          <w:citation/>
        </w:sdtPr>
        <w:sdtContent>
          <w:r w:rsidR="009116BE">
            <w:fldChar w:fldCharType="begin"/>
          </w:r>
          <w:r w:rsidR="009116BE">
            <w:instrText xml:space="preserve"> CITATION Moh19 \l 2057 </w:instrText>
          </w:r>
          <w:r w:rsidR="009116BE">
            <w:fldChar w:fldCharType="separate"/>
          </w:r>
          <w:r w:rsidR="009116BE">
            <w:rPr>
              <w:noProof/>
            </w:rPr>
            <w:t xml:space="preserve"> </w:t>
          </w:r>
          <w:r w:rsidR="009116BE" w:rsidRPr="009116BE">
            <w:rPr>
              <w:noProof/>
            </w:rPr>
            <w:t>(Ramjohn, 2019)</w:t>
          </w:r>
          <w:r w:rsidR="009116BE">
            <w:fldChar w:fldCharType="end"/>
          </w:r>
        </w:sdtContent>
      </w:sdt>
      <w:r w:rsidR="00DA0903">
        <w:t>.</w:t>
      </w:r>
      <w:r w:rsidR="00550D95">
        <w:t xml:space="preserve"> </w:t>
      </w:r>
      <w:r w:rsidR="00DA0903">
        <w:t>O</w:t>
      </w:r>
      <w:r w:rsidR="001D2CAC">
        <w:t>n the balance</w:t>
      </w:r>
      <w:r w:rsidR="00F509D7">
        <w:t xml:space="preserve"> it is understandable for trustees to expect </w:t>
      </w:r>
      <w:r w:rsidR="00B335AD">
        <w:t xml:space="preserve">a degree of </w:t>
      </w:r>
      <w:r w:rsidR="00F509D7">
        <w:t>protection.</w:t>
      </w:r>
      <w:r w:rsidR="00CE0AC3">
        <w:t xml:space="preserve"> </w:t>
      </w:r>
      <w:r w:rsidR="00920E1E">
        <w:t>T</w:t>
      </w:r>
      <w:r w:rsidR="00CE0AC3">
        <w:t>he p</w:t>
      </w:r>
      <w:r w:rsidR="00C04BF8">
        <w:t>otential</w:t>
      </w:r>
      <w:r w:rsidR="00CE0AC3">
        <w:t xml:space="preserve"> </w:t>
      </w:r>
      <w:r w:rsidR="00C04BF8">
        <w:t xml:space="preserve">bill </w:t>
      </w:r>
      <w:r w:rsidR="00BB278B">
        <w:t>w</w:t>
      </w:r>
      <w:r w:rsidR="00C04BF8">
        <w:t xml:space="preserve">ould </w:t>
      </w:r>
      <w:r w:rsidR="00CE0AC3">
        <w:t>impose</w:t>
      </w:r>
      <w:r w:rsidR="00BB278B">
        <w:t xml:space="preserve"> </w:t>
      </w:r>
      <w:r w:rsidR="00920E1E">
        <w:t xml:space="preserve">legislative framework to increase a professional </w:t>
      </w:r>
      <w:r w:rsidR="00B02BAC">
        <w:t>trustee’s</w:t>
      </w:r>
      <w:r w:rsidR="00920E1E">
        <w:t xml:space="preserve"> </w:t>
      </w:r>
      <w:r w:rsidR="00F509D7">
        <w:t>liability,</w:t>
      </w:r>
      <w:r w:rsidR="007C5430">
        <w:t xml:space="preserve"> and this could cause</w:t>
      </w:r>
      <w:r w:rsidR="00474496">
        <w:t xml:space="preserve"> a general reluctance to complete the role</w:t>
      </w:r>
      <w:r w:rsidR="00BA43C7">
        <w:t xml:space="preserve"> (Law Commission, 2006)</w:t>
      </w:r>
      <w:r w:rsidR="00474496">
        <w:t>.</w:t>
      </w:r>
      <w:r w:rsidR="00240483">
        <w:t xml:space="preserve"> </w:t>
      </w:r>
      <w:r w:rsidR="00A4083C">
        <w:t>However, i</w:t>
      </w:r>
      <w:r w:rsidR="00B02BAC">
        <w:t>t is reasonable to rebut that</w:t>
      </w:r>
      <w:r w:rsidR="00B16C45">
        <w:t xml:space="preserve"> if they are not willing to commit </w:t>
      </w:r>
      <w:r w:rsidR="00941C79">
        <w:t xml:space="preserve">to the upmost diligence, </w:t>
      </w:r>
      <w:r w:rsidR="00AB366C">
        <w:t xml:space="preserve">they should not be appointed </w:t>
      </w:r>
      <w:r w:rsidR="00250F05">
        <w:t>to manage the financial well-being of beneficiaries</w:t>
      </w:r>
      <w:sdt>
        <w:sdtPr>
          <w:id w:val="-953243770"/>
          <w:citation/>
        </w:sdtPr>
        <w:sdtContent>
          <w:r w:rsidR="00BA43C7">
            <w:fldChar w:fldCharType="begin"/>
          </w:r>
          <w:r w:rsidR="00BA43C7">
            <w:instrText xml:space="preserve"> CITATION Agn18 \l 2057 </w:instrText>
          </w:r>
          <w:r w:rsidR="00BA43C7">
            <w:fldChar w:fldCharType="separate"/>
          </w:r>
          <w:r w:rsidR="00BA43C7">
            <w:rPr>
              <w:noProof/>
            </w:rPr>
            <w:t xml:space="preserve"> </w:t>
          </w:r>
          <w:r w:rsidR="00BA43C7" w:rsidRPr="00BA43C7">
            <w:rPr>
              <w:noProof/>
            </w:rPr>
            <w:t>(Agnew &amp; Purkis, 2018)</w:t>
          </w:r>
          <w:r w:rsidR="00BA43C7">
            <w:fldChar w:fldCharType="end"/>
          </w:r>
        </w:sdtContent>
      </w:sdt>
      <w:r w:rsidR="00250F05">
        <w:t>.</w:t>
      </w:r>
      <w:r w:rsidR="00C24532">
        <w:t xml:space="preserve"> </w:t>
      </w:r>
      <w:r w:rsidR="00EF5E05">
        <w:t>Irrespective of this</w:t>
      </w:r>
      <w:r w:rsidR="00C24532">
        <w:t xml:space="preserve">, </w:t>
      </w:r>
      <w:r w:rsidR="00E67272">
        <w:t xml:space="preserve">it must be recognised that </w:t>
      </w:r>
      <w:r w:rsidR="007C3D02">
        <w:t xml:space="preserve">the </w:t>
      </w:r>
      <w:r w:rsidR="00470882">
        <w:t xml:space="preserve">revocation of the use of </w:t>
      </w:r>
      <w:r w:rsidR="00E67272">
        <w:t>ex</w:t>
      </w:r>
      <w:r w:rsidR="000C0912">
        <w:t xml:space="preserve">emption </w:t>
      </w:r>
      <w:r w:rsidR="00470882">
        <w:t xml:space="preserve">clauses </w:t>
      </w:r>
      <w:r w:rsidR="00AC2D0F">
        <w:t>would certainly have the potential to push professional trustees away</w:t>
      </w:r>
      <w:r w:rsidR="001632EC">
        <w:t xml:space="preserve"> from the </w:t>
      </w:r>
      <w:r w:rsidR="00275189">
        <w:t>English and Welsh</w:t>
      </w:r>
      <w:r w:rsidR="00D21D9E">
        <w:t xml:space="preserve"> jurisdiction</w:t>
      </w:r>
      <w:r w:rsidR="00006302">
        <w:t xml:space="preserve"> and the profession as a whole</w:t>
      </w:r>
      <w:sdt>
        <w:sdtPr>
          <w:id w:val="-1302998824"/>
          <w:citation/>
        </w:sdtPr>
        <w:sdtContent>
          <w:r w:rsidR="00506589">
            <w:fldChar w:fldCharType="begin"/>
          </w:r>
          <w:r w:rsidR="00506589">
            <w:instrText xml:space="preserve"> CITATION Ale \l 2057 </w:instrText>
          </w:r>
          <w:r w:rsidR="00506589">
            <w:fldChar w:fldCharType="separate"/>
          </w:r>
          <w:r w:rsidR="00506589">
            <w:rPr>
              <w:noProof/>
            </w:rPr>
            <w:t xml:space="preserve"> </w:t>
          </w:r>
          <w:r w:rsidR="00506589" w:rsidRPr="00506589">
            <w:rPr>
              <w:noProof/>
            </w:rPr>
            <w:t>(Usilova, 2016)</w:t>
          </w:r>
          <w:r w:rsidR="00506589">
            <w:fldChar w:fldCharType="end"/>
          </w:r>
        </w:sdtContent>
      </w:sdt>
      <w:r w:rsidR="001632EC">
        <w:t>.</w:t>
      </w:r>
      <w:r w:rsidR="00441FEE">
        <w:t xml:space="preserve"> </w:t>
      </w:r>
    </w:p>
    <w:p w14:paraId="02948C71" w14:textId="533AF0E8" w:rsidR="00C51D78" w:rsidRDefault="00233B93" w:rsidP="009E7020">
      <w:r>
        <w:t>This highlights a</w:t>
      </w:r>
      <w:r w:rsidR="00275189">
        <w:t xml:space="preserve"> potential</w:t>
      </w:r>
      <w:r>
        <w:t xml:space="preserve"> </w:t>
      </w:r>
      <w:r w:rsidR="00275189">
        <w:t>economic impact</w:t>
      </w:r>
      <w:r>
        <w:t xml:space="preserve"> should the bill </w:t>
      </w:r>
      <w:r w:rsidR="00B43566">
        <w:t xml:space="preserve">be enacted. This is due to the risk </w:t>
      </w:r>
      <w:r w:rsidR="00DA1D12">
        <w:t>that professional trustees may feel</w:t>
      </w:r>
      <w:r w:rsidR="000E1210">
        <w:t xml:space="preserve"> pushed to </w:t>
      </w:r>
      <w:r w:rsidR="00C05C78">
        <w:t xml:space="preserve">transfer </w:t>
      </w:r>
      <w:r w:rsidR="000655C8">
        <w:t xml:space="preserve">to </w:t>
      </w:r>
      <w:r w:rsidR="000E1210">
        <w:t>other jurisdictions, thus</w:t>
      </w:r>
      <w:r w:rsidR="00275189">
        <w:t xml:space="preserve"> </w:t>
      </w:r>
      <w:r w:rsidR="00C10D3E">
        <w:t>running the risk of</w:t>
      </w:r>
      <w:r w:rsidR="002976A7">
        <w:t xml:space="preserve"> </w:t>
      </w:r>
      <w:r w:rsidR="00757C50">
        <w:t xml:space="preserve">losing trust </w:t>
      </w:r>
      <w:r w:rsidR="005A39CA">
        <w:t>business</w:t>
      </w:r>
      <w:sdt>
        <w:sdtPr>
          <w:id w:val="-862816555"/>
          <w:citation/>
        </w:sdtPr>
        <w:sdtContent>
          <w:r w:rsidR="00165B12">
            <w:fldChar w:fldCharType="begin"/>
          </w:r>
          <w:r w:rsidR="00165B12">
            <w:instrText xml:space="preserve"> CITATION Ale \l 2057 </w:instrText>
          </w:r>
          <w:r w:rsidR="00165B12">
            <w:fldChar w:fldCharType="separate"/>
          </w:r>
          <w:r w:rsidR="00165B12">
            <w:rPr>
              <w:noProof/>
            </w:rPr>
            <w:t xml:space="preserve"> </w:t>
          </w:r>
          <w:r w:rsidR="00165B12" w:rsidRPr="00165B12">
            <w:rPr>
              <w:noProof/>
            </w:rPr>
            <w:t>(Usilova, 2016)</w:t>
          </w:r>
          <w:r w:rsidR="00165B12">
            <w:fldChar w:fldCharType="end"/>
          </w:r>
        </w:sdtContent>
      </w:sdt>
      <w:r w:rsidR="005A39CA">
        <w:t>.</w:t>
      </w:r>
      <w:r w:rsidR="00423924">
        <w:t xml:space="preserve"> H</w:t>
      </w:r>
      <w:r w:rsidR="00C6106F">
        <w:t xml:space="preserve">owever, it must be noted that </w:t>
      </w:r>
      <w:r w:rsidR="00907DC3">
        <w:t>trusts are required in an array of circumstances</w:t>
      </w:r>
      <w:r w:rsidR="005F4D6F">
        <w:t xml:space="preserve"> and will always be required in this jurisdiction</w:t>
      </w:r>
      <w:sdt>
        <w:sdtPr>
          <w:id w:val="200668388"/>
          <w:citation/>
        </w:sdtPr>
        <w:sdtContent>
          <w:r w:rsidR="000B5062">
            <w:fldChar w:fldCharType="begin"/>
          </w:r>
          <w:r w:rsidR="000B5062">
            <w:instrText xml:space="preserve"> CITATION Dav231 \l 2057 </w:instrText>
          </w:r>
          <w:r w:rsidR="000B5062">
            <w:fldChar w:fldCharType="separate"/>
          </w:r>
          <w:r w:rsidR="000B5062">
            <w:rPr>
              <w:noProof/>
            </w:rPr>
            <w:t xml:space="preserve"> </w:t>
          </w:r>
          <w:r w:rsidR="000B5062" w:rsidRPr="000B5062">
            <w:rPr>
              <w:noProof/>
            </w:rPr>
            <w:t>(Hayton, 2023)</w:t>
          </w:r>
          <w:r w:rsidR="000B5062">
            <w:fldChar w:fldCharType="end"/>
          </w:r>
        </w:sdtContent>
      </w:sdt>
      <w:r w:rsidR="005F4D6F">
        <w:t xml:space="preserve">. Furthermore, </w:t>
      </w:r>
      <w:r w:rsidR="00C6106F">
        <w:t>settlors</w:t>
      </w:r>
      <w:r w:rsidR="007C2EF9">
        <w:t xml:space="preserve"> will generally be inclined to protect the interests of beneficiaries first</w:t>
      </w:r>
      <w:r w:rsidR="00810FC2">
        <w:t>,</w:t>
      </w:r>
      <w:r w:rsidR="007C2EF9">
        <w:t xml:space="preserve"> </w:t>
      </w:r>
      <w:r w:rsidR="00907DC3">
        <w:t>and so</w:t>
      </w:r>
      <w:r w:rsidR="00C156C0">
        <w:t xml:space="preserve"> it is reasonable to infer that they would </w:t>
      </w:r>
      <w:r w:rsidR="00BE6157">
        <w:t>not be</w:t>
      </w:r>
      <w:r w:rsidR="00C156C0">
        <w:t xml:space="preserve"> attracted to other jurisdictions whereby</w:t>
      </w:r>
      <w:r w:rsidR="00CC043B">
        <w:t xml:space="preserve"> </w:t>
      </w:r>
      <w:r w:rsidR="00242206">
        <w:t>beneficiaries</w:t>
      </w:r>
      <w:r w:rsidR="00CC043B">
        <w:t xml:space="preserve"> c</w:t>
      </w:r>
      <w:r w:rsidR="00421ACB">
        <w:t>ould</w:t>
      </w:r>
      <w:r w:rsidR="00CC043B">
        <w:t xml:space="preserve"> take a fair course of action should they lose </w:t>
      </w:r>
      <w:r w:rsidR="00D6692C">
        <w:t>assets to</w:t>
      </w:r>
      <w:r w:rsidR="00647079">
        <w:t xml:space="preserve"> a</w:t>
      </w:r>
      <w:r w:rsidR="00810FC2">
        <w:t xml:space="preserve"> </w:t>
      </w:r>
      <w:r w:rsidR="00D6692C">
        <w:t>breach of trust</w:t>
      </w:r>
      <w:sdt>
        <w:sdtPr>
          <w:id w:val="1157882446"/>
          <w:citation/>
        </w:sdtPr>
        <w:sdtContent>
          <w:r w:rsidR="00AD11D8">
            <w:fldChar w:fldCharType="begin"/>
          </w:r>
          <w:r w:rsidR="00AD11D8">
            <w:instrText xml:space="preserve"> CITATION Nic09 \l 2057 </w:instrText>
          </w:r>
          <w:r w:rsidR="00AD11D8">
            <w:fldChar w:fldCharType="separate"/>
          </w:r>
          <w:r w:rsidR="00AD11D8">
            <w:rPr>
              <w:noProof/>
            </w:rPr>
            <w:t xml:space="preserve"> </w:t>
          </w:r>
          <w:r w:rsidR="00AD11D8" w:rsidRPr="00AD11D8">
            <w:rPr>
              <w:noProof/>
            </w:rPr>
            <w:t>(McBride, 2009)</w:t>
          </w:r>
          <w:r w:rsidR="00AD11D8">
            <w:fldChar w:fldCharType="end"/>
          </w:r>
        </w:sdtContent>
      </w:sdt>
      <w:r w:rsidR="00D6692C">
        <w:t>.</w:t>
      </w:r>
      <w:r w:rsidR="00E32A3F">
        <w:t xml:space="preserve"> </w:t>
      </w:r>
      <w:r w:rsidR="000323F7">
        <w:t xml:space="preserve">If it were to be </w:t>
      </w:r>
      <w:r w:rsidR="00B77A27">
        <w:t xml:space="preserve">accepted </w:t>
      </w:r>
      <w:r w:rsidR="000323F7">
        <w:t>that a trustee be afforded a degree of protection</w:t>
      </w:r>
      <w:r w:rsidR="00AB18B1">
        <w:t xml:space="preserve"> and the bill proposes</w:t>
      </w:r>
      <w:r w:rsidR="00CE061E">
        <w:t xml:space="preserve"> </w:t>
      </w:r>
      <w:r w:rsidR="00027997">
        <w:t xml:space="preserve">a decline in this protection, </w:t>
      </w:r>
      <w:r w:rsidR="00846FC6">
        <w:t xml:space="preserve">it is reasonable to expect professional trustees to seek </w:t>
      </w:r>
      <w:r w:rsidR="005E75A8">
        <w:t>protection from other avenues.</w:t>
      </w:r>
      <w:r w:rsidR="00A57BD5">
        <w:t xml:space="preserve"> Therefore, the bill could potentially </w:t>
      </w:r>
      <w:r w:rsidR="00C039DF">
        <w:t>impact the costs and availability o</w:t>
      </w:r>
      <w:r w:rsidR="00B77A27">
        <w:t>f indemnity insurance</w:t>
      </w:r>
      <w:sdt>
        <w:sdtPr>
          <w:id w:val="-1905214369"/>
          <w:citation/>
        </w:sdtPr>
        <w:sdtContent>
          <w:r w:rsidR="00AD11D8">
            <w:fldChar w:fldCharType="begin"/>
          </w:r>
          <w:r w:rsidR="00AD11D8">
            <w:instrText xml:space="preserve"> CITATION Agn18 \l 2057 </w:instrText>
          </w:r>
          <w:r w:rsidR="00AD11D8">
            <w:fldChar w:fldCharType="separate"/>
          </w:r>
          <w:r w:rsidR="00AD11D8">
            <w:rPr>
              <w:noProof/>
            </w:rPr>
            <w:t xml:space="preserve"> </w:t>
          </w:r>
          <w:r w:rsidR="00AD11D8" w:rsidRPr="00AD11D8">
            <w:rPr>
              <w:noProof/>
            </w:rPr>
            <w:t>(Agnew &amp; Purkis, 2018)</w:t>
          </w:r>
          <w:r w:rsidR="00AD11D8">
            <w:fldChar w:fldCharType="end"/>
          </w:r>
        </w:sdtContent>
      </w:sdt>
      <w:r w:rsidR="00AD11D8">
        <w:t>.</w:t>
      </w:r>
    </w:p>
    <w:p w14:paraId="500C14F9" w14:textId="2EF0DBA6" w:rsidR="00DA6EC9" w:rsidRDefault="00956D8B" w:rsidP="009E7020">
      <w:r>
        <w:t>This is an issue considered by the Law Commission (2006)</w:t>
      </w:r>
      <w:r w:rsidR="00155571">
        <w:t>. During similar proposals, concerns were raised that</w:t>
      </w:r>
      <w:r w:rsidR="00A80F4C">
        <w:t xml:space="preserve"> without use of exemption clauses, trustees </w:t>
      </w:r>
      <w:proofErr w:type="gramStart"/>
      <w:r w:rsidR="00A80F4C">
        <w:t xml:space="preserve">may </w:t>
      </w:r>
      <w:r w:rsidR="00647079">
        <w:t xml:space="preserve"> increasingly</w:t>
      </w:r>
      <w:proofErr w:type="gramEnd"/>
      <w:r w:rsidR="00647079">
        <w:t xml:space="preserve"> </w:t>
      </w:r>
      <w:r w:rsidR="00A80F4C">
        <w:t>seek protection from</w:t>
      </w:r>
      <w:r w:rsidR="00912327">
        <w:t xml:space="preserve"> indemnity</w:t>
      </w:r>
      <w:r w:rsidR="00A80F4C">
        <w:t xml:space="preserve"> insurance</w:t>
      </w:r>
      <w:r w:rsidR="00A206E1">
        <w:t>. This</w:t>
      </w:r>
      <w:r w:rsidR="002A5A33">
        <w:t xml:space="preserve"> </w:t>
      </w:r>
      <w:r w:rsidR="00B259B1">
        <w:t>c</w:t>
      </w:r>
      <w:r w:rsidR="002A5A33">
        <w:t>ould then feasibly raise</w:t>
      </w:r>
      <w:r w:rsidR="00B259B1">
        <w:t xml:space="preserve"> indemnity</w:t>
      </w:r>
      <w:r w:rsidR="002A5A33">
        <w:t xml:space="preserve"> premiums</w:t>
      </w:r>
      <w:r w:rsidR="00452BF9">
        <w:t xml:space="preserve"> </w:t>
      </w:r>
      <w:r w:rsidR="00F52215">
        <w:t xml:space="preserve">due to the increased risk of implication </w:t>
      </w:r>
      <w:r w:rsidR="00A002E0">
        <w:t>from</w:t>
      </w:r>
      <w:r w:rsidR="00F52215">
        <w:t xml:space="preserve"> the removal of ex</w:t>
      </w:r>
      <w:r w:rsidR="000C0912">
        <w:t>emption</w:t>
      </w:r>
      <w:r w:rsidR="00F52215">
        <w:t xml:space="preserve"> clauses</w:t>
      </w:r>
      <w:r w:rsidR="00B259B1">
        <w:t xml:space="preserve"> (Law commission, 2006).</w:t>
      </w:r>
      <w:r w:rsidR="00DD1335">
        <w:t xml:space="preserve"> </w:t>
      </w:r>
      <w:r w:rsidR="00353637">
        <w:t xml:space="preserve"> </w:t>
      </w:r>
      <w:r w:rsidR="00C767B0">
        <w:t>The raise in premium is likely to result in a raise in</w:t>
      </w:r>
      <w:r w:rsidR="005F6435">
        <w:t xml:space="preserve"> expected</w:t>
      </w:r>
      <w:r w:rsidR="00C767B0">
        <w:t xml:space="preserve"> fee</w:t>
      </w:r>
      <w:r w:rsidR="005A7F27">
        <w:t>s by professional trustees which adversely impacts beneficiaries</w:t>
      </w:r>
      <w:r w:rsidR="00606BC0">
        <w:t xml:space="preserve"> as the trust they are benefiting from will face the burden of</w:t>
      </w:r>
      <w:r w:rsidR="006F17D9">
        <w:t xml:space="preserve"> the</w:t>
      </w:r>
      <w:r w:rsidR="002F1860">
        <w:t xml:space="preserve"> increase</w:t>
      </w:r>
      <w:sdt>
        <w:sdtPr>
          <w:id w:val="1388686355"/>
          <w:citation/>
        </w:sdtPr>
        <w:sdtContent>
          <w:r w:rsidR="000048C9">
            <w:fldChar w:fldCharType="begin"/>
          </w:r>
          <w:r w:rsidR="000048C9">
            <w:instrText xml:space="preserve"> CITATION Ale \l 2057 </w:instrText>
          </w:r>
          <w:r w:rsidR="000048C9">
            <w:fldChar w:fldCharType="separate"/>
          </w:r>
          <w:r w:rsidR="000048C9">
            <w:rPr>
              <w:noProof/>
            </w:rPr>
            <w:t xml:space="preserve"> </w:t>
          </w:r>
          <w:r w:rsidR="000048C9" w:rsidRPr="000048C9">
            <w:rPr>
              <w:noProof/>
            </w:rPr>
            <w:t>(Usilova, 2016)</w:t>
          </w:r>
          <w:r w:rsidR="000048C9">
            <w:fldChar w:fldCharType="end"/>
          </w:r>
        </w:sdtContent>
      </w:sdt>
      <w:r w:rsidR="005A7F27">
        <w:t xml:space="preserve">. </w:t>
      </w:r>
      <w:r w:rsidR="00E001AD">
        <w:t>Groves and Ing</w:t>
      </w:r>
      <w:r w:rsidR="003405AD">
        <w:t xml:space="preserve">ham (2003) contend that </w:t>
      </w:r>
      <w:r w:rsidR="002447A9">
        <w:t>i</w:t>
      </w:r>
      <w:r w:rsidR="009F2EB8">
        <w:t xml:space="preserve">nsurance is a universally accepted </w:t>
      </w:r>
      <w:r w:rsidR="00FB3A83">
        <w:t xml:space="preserve">answer in how to </w:t>
      </w:r>
      <w:r w:rsidR="00A15485">
        <w:t>manage</w:t>
      </w:r>
      <w:r w:rsidR="00FB3A83">
        <w:t xml:space="preserve"> the potential for loss</w:t>
      </w:r>
      <w:r w:rsidR="00227208">
        <w:t xml:space="preserve"> in professional settings</w:t>
      </w:r>
      <w:r w:rsidR="00E72CEE">
        <w:t>, and so trustees should be encouraged to make use of it.</w:t>
      </w:r>
      <w:r w:rsidR="00227208">
        <w:t xml:space="preserve"> In </w:t>
      </w:r>
      <w:r w:rsidR="00647079">
        <w:t>essence, this</w:t>
      </w:r>
      <w:r w:rsidR="000048C9">
        <w:t xml:space="preserve"> means that </w:t>
      </w:r>
      <w:r w:rsidR="00227208">
        <w:t>if trustees have access to indemnity insurance, they do not need</w:t>
      </w:r>
      <w:r w:rsidR="00673713">
        <w:t xml:space="preserve"> exemption clauses and this element of fee free protection should be reserved for lay trustees in line with the proposed reform.</w:t>
      </w:r>
    </w:p>
    <w:p w14:paraId="6434DC17" w14:textId="5A8C087F" w:rsidR="00CC202F" w:rsidRDefault="00CC202F" w:rsidP="009E7020"/>
    <w:p w14:paraId="39270D28" w14:textId="5ABDDF81" w:rsidR="00EB1F06" w:rsidRDefault="00CC202F" w:rsidP="009E7020">
      <w:r>
        <w:t xml:space="preserve">Another issue to address with </w:t>
      </w:r>
      <w:r w:rsidR="00A93465">
        <w:t>in the proposed bill is its use of retrospective effect.</w:t>
      </w:r>
      <w:r w:rsidR="007F6D88">
        <w:t xml:space="preserve"> This is an element that</w:t>
      </w:r>
      <w:r w:rsidR="00E076B0">
        <w:t xml:space="preserve"> poses many issues.</w:t>
      </w:r>
      <w:r w:rsidR="00CA53B1">
        <w:t xml:space="preserve"> Retrospective laws</w:t>
      </w:r>
      <w:r w:rsidR="00547292">
        <w:t xml:space="preserve"> are said to undermine the legal principle of certainty. </w:t>
      </w:r>
      <w:r w:rsidR="00705D0B">
        <w:t xml:space="preserve">This principle explains that </w:t>
      </w:r>
      <w:r w:rsidR="001F7D5F">
        <w:t>individuals should be aware of the impact of the law</w:t>
      </w:r>
      <w:r w:rsidR="004F35AC">
        <w:t xml:space="preserve"> at the time of their actions</w:t>
      </w:r>
      <w:sdt>
        <w:sdtPr>
          <w:id w:val="-2096705266"/>
          <w:citation/>
        </w:sdtPr>
        <w:sdtContent>
          <w:r w:rsidR="0008229B">
            <w:fldChar w:fldCharType="begin"/>
          </w:r>
          <w:r w:rsidR="0008229B">
            <w:instrText xml:space="preserve"> CITATION Joh17 \l 2057 </w:instrText>
          </w:r>
          <w:r w:rsidR="0008229B">
            <w:fldChar w:fldCharType="separate"/>
          </w:r>
          <w:r w:rsidR="0008229B">
            <w:rPr>
              <w:noProof/>
            </w:rPr>
            <w:t xml:space="preserve"> </w:t>
          </w:r>
          <w:r w:rsidR="0008229B" w:rsidRPr="0008229B">
            <w:rPr>
              <w:noProof/>
            </w:rPr>
            <w:t>(Fingleton, 2017)</w:t>
          </w:r>
          <w:r w:rsidR="0008229B">
            <w:fldChar w:fldCharType="end"/>
          </w:r>
        </w:sdtContent>
      </w:sdt>
      <w:r w:rsidR="004F35AC">
        <w:t>.</w:t>
      </w:r>
      <w:r w:rsidR="00E50E98">
        <w:t xml:space="preserve"> In </w:t>
      </w:r>
      <w:r w:rsidR="005310EE">
        <w:t xml:space="preserve">direct </w:t>
      </w:r>
      <w:r w:rsidR="00E50E98">
        <w:t xml:space="preserve">reference to the proposed reform, this could lead to disputes arising </w:t>
      </w:r>
      <w:r w:rsidR="001E0DBB">
        <w:t xml:space="preserve">in trusts which are otherwise </w:t>
      </w:r>
      <w:r w:rsidR="00D6110C">
        <w:t xml:space="preserve">amicable. This also </w:t>
      </w:r>
      <w:r w:rsidR="00D62F4B">
        <w:t xml:space="preserve">causes a detrimental impact on </w:t>
      </w:r>
      <w:r w:rsidR="00D6110C">
        <w:t xml:space="preserve">professional trustees who acted in good faith </w:t>
      </w:r>
      <w:r w:rsidR="00CC222A">
        <w:t xml:space="preserve">in line with the </w:t>
      </w:r>
      <w:r w:rsidR="00003366">
        <w:t>current legal stance</w:t>
      </w:r>
      <w:r w:rsidR="00CC222A">
        <w:t>.</w:t>
      </w:r>
      <w:r w:rsidR="00D00E8A">
        <w:t xml:space="preserve"> Furthermore, </w:t>
      </w:r>
      <w:r w:rsidR="00CA7AB6">
        <w:t xml:space="preserve">retroactive effect also </w:t>
      </w:r>
      <w:r w:rsidR="00A80BF4">
        <w:t xml:space="preserve">poses </w:t>
      </w:r>
      <w:r w:rsidR="00E426FA">
        <w:t xml:space="preserve">risk </w:t>
      </w:r>
      <w:r w:rsidR="00A80BF4">
        <w:t>to the enforcement of the reform</w:t>
      </w:r>
      <w:sdt>
        <w:sdtPr>
          <w:id w:val="1783697019"/>
          <w:citation/>
        </w:sdtPr>
        <w:sdtContent>
          <w:r w:rsidR="0045053B">
            <w:fldChar w:fldCharType="begin"/>
          </w:r>
          <w:r w:rsidR="0045053B">
            <w:instrText xml:space="preserve"> CITATION Cli12 \l 2057 </w:instrText>
          </w:r>
          <w:r w:rsidR="0045053B">
            <w:fldChar w:fldCharType="separate"/>
          </w:r>
          <w:r w:rsidR="0045053B">
            <w:rPr>
              <w:noProof/>
            </w:rPr>
            <w:t xml:space="preserve"> </w:t>
          </w:r>
          <w:r w:rsidR="0045053B" w:rsidRPr="0045053B">
            <w:rPr>
              <w:noProof/>
            </w:rPr>
            <w:t>(Sheldon, 2012)</w:t>
          </w:r>
          <w:r w:rsidR="0045053B">
            <w:fldChar w:fldCharType="end"/>
          </w:r>
        </w:sdtContent>
      </w:sdt>
      <w:r w:rsidR="00E426FA">
        <w:t xml:space="preserve">. This due to the likely requirement for </w:t>
      </w:r>
      <w:r w:rsidR="006F39A1">
        <w:t xml:space="preserve">trustees and the courts in turn to </w:t>
      </w:r>
      <w:r w:rsidR="00A75189">
        <w:t>revisit and revaluate past decisions</w:t>
      </w:r>
      <w:r w:rsidR="00464F45">
        <w:t xml:space="preserve">. This would be extremely complex and could lead to further inconsistencies </w:t>
      </w:r>
      <w:r w:rsidR="00B765A5">
        <w:t xml:space="preserve">in enforcement. </w:t>
      </w:r>
      <w:r w:rsidR="00E65C41">
        <w:t>Further still</w:t>
      </w:r>
      <w:r w:rsidR="00B765A5">
        <w:t>,</w:t>
      </w:r>
      <w:r w:rsidR="00807FD6">
        <w:t xml:space="preserve"> reasonable inference would provide that this </w:t>
      </w:r>
      <w:r w:rsidR="00115783">
        <w:t>c</w:t>
      </w:r>
      <w:r w:rsidR="00807FD6">
        <w:t xml:space="preserve">ould lead to </w:t>
      </w:r>
      <w:r w:rsidR="00E65C41">
        <w:t xml:space="preserve">a back log </w:t>
      </w:r>
      <w:r w:rsidR="00997F36">
        <w:t xml:space="preserve">in administration </w:t>
      </w:r>
      <w:r w:rsidR="006943FA">
        <w:t xml:space="preserve">for </w:t>
      </w:r>
      <w:r w:rsidR="00997F36">
        <w:t xml:space="preserve">both the courts and </w:t>
      </w:r>
      <w:r w:rsidR="00627728">
        <w:t>trustees</w:t>
      </w:r>
      <w:sdt>
        <w:sdtPr>
          <w:id w:val="-248202400"/>
          <w:citation/>
        </w:sdtPr>
        <w:sdtContent>
          <w:r w:rsidR="00CA32BA">
            <w:fldChar w:fldCharType="begin"/>
          </w:r>
          <w:r w:rsidR="00CA32BA">
            <w:instrText xml:space="preserve"> CITATION Ric18 \l 2057 </w:instrText>
          </w:r>
          <w:r w:rsidR="00CA32BA">
            <w:fldChar w:fldCharType="separate"/>
          </w:r>
          <w:r w:rsidR="00CA32BA">
            <w:rPr>
              <w:noProof/>
            </w:rPr>
            <w:t xml:space="preserve"> </w:t>
          </w:r>
          <w:r w:rsidR="00CA32BA" w:rsidRPr="00CA32BA">
            <w:rPr>
              <w:noProof/>
            </w:rPr>
            <w:t>(Rice &amp; Sherwin, 2018)</w:t>
          </w:r>
          <w:r w:rsidR="00CA32BA">
            <w:fldChar w:fldCharType="end"/>
          </w:r>
        </w:sdtContent>
      </w:sdt>
      <w:r w:rsidR="00997F36">
        <w:t xml:space="preserve">. </w:t>
      </w:r>
      <w:r w:rsidR="00627728">
        <w:t>I</w:t>
      </w:r>
      <w:r w:rsidR="00997F36">
        <w:t>t could be argued that</w:t>
      </w:r>
      <w:r w:rsidR="0015502A">
        <w:t xml:space="preserve"> retrospective action could provide beneficiaries with the </w:t>
      </w:r>
      <w:r w:rsidR="00EB1F06">
        <w:t xml:space="preserve">option to reclaim losses </w:t>
      </w:r>
      <w:r w:rsidR="006943FA">
        <w:t>from</w:t>
      </w:r>
      <w:r w:rsidR="00EB1F06">
        <w:t xml:space="preserve"> trust assets due to breach of contract</w:t>
      </w:r>
      <w:sdt>
        <w:sdtPr>
          <w:id w:val="-1818091925"/>
          <w:citation/>
        </w:sdtPr>
        <w:sdtContent>
          <w:r w:rsidR="008777B0">
            <w:fldChar w:fldCharType="begin"/>
          </w:r>
          <w:r w:rsidR="008777B0">
            <w:instrText xml:space="preserve"> CITATION Nic09 \l 2057 </w:instrText>
          </w:r>
          <w:r w:rsidR="008777B0">
            <w:fldChar w:fldCharType="separate"/>
          </w:r>
          <w:r w:rsidR="008777B0">
            <w:rPr>
              <w:noProof/>
            </w:rPr>
            <w:t xml:space="preserve"> </w:t>
          </w:r>
          <w:r w:rsidR="008777B0" w:rsidRPr="008777B0">
            <w:rPr>
              <w:noProof/>
            </w:rPr>
            <w:t>(McBride, 2009)</w:t>
          </w:r>
          <w:r w:rsidR="008777B0">
            <w:fldChar w:fldCharType="end"/>
          </w:r>
        </w:sdtContent>
      </w:sdt>
      <w:r w:rsidR="00280DA9">
        <w:t xml:space="preserve">. </w:t>
      </w:r>
      <w:r w:rsidR="00DE48F6">
        <w:t>However,</w:t>
      </w:r>
      <w:r w:rsidR="00280DA9">
        <w:t xml:space="preserve"> on</w:t>
      </w:r>
      <w:r w:rsidR="00627728">
        <w:t xml:space="preserve"> balance, the </w:t>
      </w:r>
      <w:r w:rsidR="00280DA9">
        <w:t xml:space="preserve">practical </w:t>
      </w:r>
      <w:r w:rsidR="00627728">
        <w:t xml:space="preserve">burden it places </w:t>
      </w:r>
      <w:r w:rsidR="00E32EE3">
        <w:t xml:space="preserve">upon </w:t>
      </w:r>
      <w:r w:rsidR="00280DA9">
        <w:t xml:space="preserve">the court and trustees alike outweighs </w:t>
      </w:r>
      <w:r w:rsidR="00556E2C">
        <w:t xml:space="preserve">this, and so this area of the bill </w:t>
      </w:r>
      <w:r w:rsidR="006A50A5">
        <w:t>would likely need reconsideration.</w:t>
      </w:r>
    </w:p>
    <w:p w14:paraId="1770B7DB" w14:textId="77777777" w:rsidR="006A50A5" w:rsidRDefault="006A50A5" w:rsidP="009E7020"/>
    <w:p w14:paraId="661AF1FB" w14:textId="767210FD" w:rsidR="006A50A5" w:rsidRDefault="006A50A5" w:rsidP="009E7020">
      <w:r>
        <w:t>In summary, this analysis has shown</w:t>
      </w:r>
      <w:r w:rsidR="0065327B">
        <w:t xml:space="preserve"> that reform in this area is most definitely required. The duties owed to beneficiaries by the current legal stance</w:t>
      </w:r>
      <w:r w:rsidR="007C1CBF">
        <w:t xml:space="preserve"> are in part contradicted by the protection afforded by ex</w:t>
      </w:r>
      <w:r w:rsidR="007F5590">
        <w:t>emption</w:t>
      </w:r>
      <w:r w:rsidR="007C1CBF">
        <w:t xml:space="preserve"> clauses</w:t>
      </w:r>
      <w:sdt>
        <w:sdtPr>
          <w:id w:val="1202900720"/>
          <w:citation/>
        </w:sdtPr>
        <w:sdtContent>
          <w:r w:rsidR="008777B0">
            <w:fldChar w:fldCharType="begin"/>
          </w:r>
          <w:r w:rsidR="008777B0">
            <w:instrText xml:space="preserve"> CITATION Agn18 \l 2057 </w:instrText>
          </w:r>
          <w:r w:rsidR="008777B0">
            <w:fldChar w:fldCharType="separate"/>
          </w:r>
          <w:r w:rsidR="008777B0">
            <w:rPr>
              <w:noProof/>
            </w:rPr>
            <w:t xml:space="preserve"> </w:t>
          </w:r>
          <w:r w:rsidR="008777B0" w:rsidRPr="008777B0">
            <w:rPr>
              <w:noProof/>
            </w:rPr>
            <w:t>(Agnew &amp; Purkis, 2018)</w:t>
          </w:r>
          <w:r w:rsidR="008777B0">
            <w:fldChar w:fldCharType="end"/>
          </w:r>
        </w:sdtContent>
      </w:sdt>
      <w:r w:rsidR="007C1CBF">
        <w:t xml:space="preserve">. </w:t>
      </w:r>
      <w:r w:rsidR="00C515DF">
        <w:t>A clear</w:t>
      </w:r>
      <w:r w:rsidR="004A7CAE">
        <w:t xml:space="preserve"> </w:t>
      </w:r>
      <w:r w:rsidR="00E35844">
        <w:t>disconnect</w:t>
      </w:r>
      <w:r w:rsidR="00954374">
        <w:t xml:space="preserve"> has been demonstrated</w:t>
      </w:r>
      <w:r w:rsidR="00E35844">
        <w:t xml:space="preserve"> between the expectation</w:t>
      </w:r>
      <w:r w:rsidR="00954374">
        <w:t xml:space="preserve">s </w:t>
      </w:r>
      <w:r w:rsidR="00E35844">
        <w:t xml:space="preserve">of </w:t>
      </w:r>
      <w:r w:rsidR="00D826E7">
        <w:t xml:space="preserve">diligence in </w:t>
      </w:r>
      <w:r w:rsidR="00E35844">
        <w:t xml:space="preserve">professional trustees </w:t>
      </w:r>
      <w:r w:rsidR="00D826E7">
        <w:t xml:space="preserve">and </w:t>
      </w:r>
      <w:r w:rsidR="00DE3C61">
        <w:t>the</w:t>
      </w:r>
      <w:r w:rsidR="00064B86">
        <w:t>ir ability to exempt their liability for wrongdoings</w:t>
      </w:r>
      <w:sdt>
        <w:sdtPr>
          <w:id w:val="-1949305622"/>
          <w:citation/>
        </w:sdtPr>
        <w:sdtContent>
          <w:r w:rsidR="008777B0">
            <w:fldChar w:fldCharType="begin"/>
          </w:r>
          <w:r w:rsidR="008777B0">
            <w:instrText xml:space="preserve"> CITATION Gra221 \l 2057 </w:instrText>
          </w:r>
          <w:r w:rsidR="008777B0">
            <w:fldChar w:fldCharType="separate"/>
          </w:r>
          <w:r w:rsidR="008777B0">
            <w:rPr>
              <w:noProof/>
            </w:rPr>
            <w:t xml:space="preserve"> </w:t>
          </w:r>
          <w:r w:rsidR="008777B0" w:rsidRPr="008777B0">
            <w:rPr>
              <w:noProof/>
            </w:rPr>
            <w:t>(Graham &amp; Russell, 2022)</w:t>
          </w:r>
          <w:r w:rsidR="008777B0">
            <w:fldChar w:fldCharType="end"/>
          </w:r>
        </w:sdtContent>
      </w:sdt>
      <w:r w:rsidR="00064B86">
        <w:t>.</w:t>
      </w:r>
      <w:r w:rsidR="00D95123">
        <w:t xml:space="preserve"> The proposed reform discussed does in part address this, by </w:t>
      </w:r>
      <w:r w:rsidR="00DE48F6">
        <w:t>removing the use</w:t>
      </w:r>
      <w:r w:rsidR="005F7EF9">
        <w:t xml:space="preserve"> of </w:t>
      </w:r>
      <w:r w:rsidR="007F5590">
        <w:t xml:space="preserve">the </w:t>
      </w:r>
      <w:r w:rsidR="005F7EF9">
        <w:t>clauses for professional trustees</w:t>
      </w:r>
      <w:r w:rsidR="00954374">
        <w:t xml:space="preserve"> and therefore </w:t>
      </w:r>
      <w:r w:rsidR="000F77F5">
        <w:t>heightening accountability</w:t>
      </w:r>
      <w:r w:rsidR="005F7EF9">
        <w:t xml:space="preserve">. However, it </w:t>
      </w:r>
      <w:r w:rsidR="00446392">
        <w:t>is considered</w:t>
      </w:r>
      <w:r w:rsidR="005F7EF9">
        <w:t xml:space="preserve"> that</w:t>
      </w:r>
      <w:r w:rsidR="00CA4DA3">
        <w:t xml:space="preserve"> the change does make the role less </w:t>
      </w:r>
      <w:r w:rsidR="00932898">
        <w:t>appealing,</w:t>
      </w:r>
      <w:r w:rsidR="00CA4DA3">
        <w:t xml:space="preserve"> and </w:t>
      </w:r>
      <w:r w:rsidR="00932898">
        <w:t xml:space="preserve">its implementation </w:t>
      </w:r>
      <w:r w:rsidR="00CA4DA3">
        <w:t>could have a wider economic impact</w:t>
      </w:r>
      <w:sdt>
        <w:sdtPr>
          <w:id w:val="-279652242"/>
          <w:citation/>
        </w:sdtPr>
        <w:sdtContent>
          <w:r w:rsidR="00635F39">
            <w:fldChar w:fldCharType="begin"/>
          </w:r>
          <w:r w:rsidR="00635F39">
            <w:instrText xml:space="preserve"> CITATION Ale \l 2057 </w:instrText>
          </w:r>
          <w:r w:rsidR="00635F39">
            <w:fldChar w:fldCharType="separate"/>
          </w:r>
          <w:r w:rsidR="00635F39">
            <w:rPr>
              <w:noProof/>
            </w:rPr>
            <w:t xml:space="preserve"> </w:t>
          </w:r>
          <w:r w:rsidR="00635F39" w:rsidRPr="00635F39">
            <w:rPr>
              <w:noProof/>
            </w:rPr>
            <w:t>(Usilova, 2016)</w:t>
          </w:r>
          <w:r w:rsidR="00635F39">
            <w:fldChar w:fldCharType="end"/>
          </w:r>
        </w:sdtContent>
      </w:sdt>
      <w:r w:rsidR="00446392">
        <w:t xml:space="preserve">. </w:t>
      </w:r>
      <w:r w:rsidR="002E126F">
        <w:t xml:space="preserve">It </w:t>
      </w:r>
      <w:r w:rsidR="00D05455">
        <w:t xml:space="preserve">is also accepted that retroactive effect could pose </w:t>
      </w:r>
      <w:r w:rsidR="000F77F5">
        <w:t xml:space="preserve">more </w:t>
      </w:r>
      <w:r w:rsidR="00D05455">
        <w:t xml:space="preserve">hinderance than gain </w:t>
      </w:r>
      <w:r w:rsidR="00D672F9">
        <w:t>in this are</w:t>
      </w:r>
      <w:r w:rsidR="00412247">
        <w:t xml:space="preserve">a. Ultimately, reform is justified but the </w:t>
      </w:r>
      <w:r w:rsidR="00FA1A9E">
        <w:t>bill proposed would need further consideration and amendments to ensure that th</w:t>
      </w:r>
      <w:r w:rsidR="009663BA">
        <w:t>is area of law is</w:t>
      </w:r>
      <w:r w:rsidR="00C515DF">
        <w:t xml:space="preserve"> afforded its full justice.</w:t>
      </w:r>
    </w:p>
    <w:sdt>
      <w:sdtPr>
        <w:id w:val="1873497814"/>
        <w:docPartObj>
          <w:docPartGallery w:val="Bibliographies"/>
          <w:docPartUnique/>
        </w:docPartObj>
      </w:sdtPr>
      <w:sdtEndPr>
        <w:rPr>
          <w:rFonts w:asciiTheme="minorHAnsi" w:eastAsiaTheme="minorHAnsi" w:hAnsiTheme="minorHAnsi" w:cstheme="minorBidi"/>
          <w:b/>
          <w:bCs/>
          <w:color w:val="auto"/>
          <w:sz w:val="24"/>
          <w:szCs w:val="24"/>
        </w:rPr>
      </w:sdtEndPr>
      <w:sdtContent>
        <w:p w14:paraId="71023339" w14:textId="56FE8B88" w:rsidR="0056031E" w:rsidRDefault="0056031E">
          <w:pPr>
            <w:pStyle w:val="Heading1"/>
          </w:pPr>
          <w:r>
            <w:t>Reference List</w:t>
          </w:r>
        </w:p>
        <w:p w14:paraId="1933D847" w14:textId="5723DC56" w:rsidR="0056031E" w:rsidRDefault="0056031E" w:rsidP="0056031E">
          <w:pPr>
            <w:pStyle w:val="Bibliography"/>
            <w:rPr>
              <w:noProof/>
            </w:rPr>
          </w:pPr>
          <w:r>
            <w:rPr>
              <w:noProof/>
            </w:rPr>
            <w:t>Agnew, S. &amp; Purkis, K.</w:t>
          </w:r>
          <w:r w:rsidR="00980EE9">
            <w:rPr>
              <w:noProof/>
            </w:rPr>
            <w:t xml:space="preserve"> (</w:t>
          </w:r>
          <w:r>
            <w:rPr>
              <w:noProof/>
            </w:rPr>
            <w:t>2018</w:t>
          </w:r>
          <w:r w:rsidR="00980EE9">
            <w:rPr>
              <w:noProof/>
            </w:rPr>
            <w:t>)</w:t>
          </w:r>
          <w:r>
            <w:rPr>
              <w:noProof/>
            </w:rPr>
            <w:t xml:space="preserve"> </w:t>
          </w:r>
          <w:r w:rsidR="00980EE9">
            <w:rPr>
              <w:noProof/>
            </w:rPr>
            <w:t>‘</w:t>
          </w:r>
          <w:r>
            <w:rPr>
              <w:noProof/>
            </w:rPr>
            <w:t>Trustees' indemnities- is timing everything?</w:t>
          </w:r>
          <w:r w:rsidR="00980EE9">
            <w:rPr>
              <w:noProof/>
            </w:rPr>
            <w:t>’,</w:t>
          </w:r>
          <w:r>
            <w:rPr>
              <w:noProof/>
            </w:rPr>
            <w:t xml:space="preserve"> </w:t>
          </w:r>
          <w:r>
            <w:rPr>
              <w:i/>
              <w:iCs/>
              <w:noProof/>
            </w:rPr>
            <w:t xml:space="preserve">Trust &amp; Trustees, </w:t>
          </w:r>
          <w:r>
            <w:rPr>
              <w:noProof/>
            </w:rPr>
            <w:t>24(10), pp. 989-1007.</w:t>
          </w:r>
        </w:p>
        <w:p w14:paraId="792DD66F" w14:textId="16993C2E" w:rsidR="00E1295D" w:rsidRDefault="00A2272E" w:rsidP="00E1295D">
          <w:r>
            <w:t>A</w:t>
          </w:r>
          <w:r w:rsidRPr="00A2272E">
            <w:t xml:space="preserve">rmitage v nurse 1998 </w:t>
          </w:r>
          <w:proofErr w:type="spellStart"/>
          <w:r w:rsidRPr="00A2272E">
            <w:t>ch</w:t>
          </w:r>
          <w:proofErr w:type="spellEnd"/>
          <w:r w:rsidRPr="00A2272E">
            <w:t xml:space="preserve"> 241</w:t>
          </w:r>
        </w:p>
        <w:p w14:paraId="0CBE5227" w14:textId="002CD914" w:rsidR="00C60967" w:rsidRPr="00E1295D" w:rsidRDefault="00C60967" w:rsidP="00E1295D">
          <w:r w:rsidRPr="00C60967">
            <w:t>Barnsley v Noble [2017] Ch 191</w:t>
          </w:r>
        </w:p>
        <w:p w14:paraId="74FCE824" w14:textId="5139348E" w:rsidR="0056031E" w:rsidRDefault="0056031E" w:rsidP="0056031E">
          <w:pPr>
            <w:pStyle w:val="Bibliography"/>
            <w:rPr>
              <w:noProof/>
            </w:rPr>
          </w:pPr>
          <w:r>
            <w:rPr>
              <w:noProof/>
            </w:rPr>
            <w:lastRenderedPageBreak/>
            <w:t>Cohen, L. &amp; Seymour, T.</w:t>
          </w:r>
          <w:r w:rsidR="00980EE9">
            <w:rPr>
              <w:noProof/>
            </w:rPr>
            <w:t xml:space="preserve"> (</w:t>
          </w:r>
          <w:r>
            <w:rPr>
              <w:noProof/>
            </w:rPr>
            <w:t>2014</w:t>
          </w:r>
          <w:r w:rsidR="00980EE9">
            <w:rPr>
              <w:noProof/>
            </w:rPr>
            <w:t>)’</w:t>
          </w:r>
          <w:r>
            <w:rPr>
              <w:noProof/>
            </w:rPr>
            <w:t xml:space="preserve"> Trustee exculpation- the law, the quirks and the business sense</w:t>
          </w:r>
          <w:r w:rsidR="00980EE9">
            <w:rPr>
              <w:noProof/>
            </w:rPr>
            <w:t xml:space="preserve">’, </w:t>
          </w:r>
          <w:r>
            <w:rPr>
              <w:i/>
              <w:iCs/>
              <w:noProof/>
            </w:rPr>
            <w:t xml:space="preserve">Trusts &amp; Trustees, </w:t>
          </w:r>
          <w:r>
            <w:rPr>
              <w:noProof/>
            </w:rPr>
            <w:t>20(9), pp. 933-942.</w:t>
          </w:r>
        </w:p>
        <w:p w14:paraId="0A9744F1" w14:textId="68E3D4F3" w:rsidR="008F1FF3" w:rsidRDefault="008F1FF3" w:rsidP="008F1FF3">
          <w:r w:rsidRPr="008F1FF3">
            <w:t>Cowan v Scargill [1985] Ch 270</w:t>
          </w:r>
        </w:p>
        <w:p w14:paraId="22D6D468" w14:textId="356BAA96" w:rsidR="008D3738" w:rsidRPr="008F1FF3" w:rsidRDefault="008D3738" w:rsidP="008F1FF3">
          <w:proofErr w:type="spellStart"/>
          <w:r w:rsidRPr="008D3738">
            <w:t>Fattal</w:t>
          </w:r>
          <w:proofErr w:type="spellEnd"/>
          <w:r w:rsidRPr="008D3738">
            <w:t xml:space="preserve"> and others v </w:t>
          </w:r>
          <w:proofErr w:type="spellStart"/>
          <w:r w:rsidRPr="008D3738">
            <w:t>Walbrook</w:t>
          </w:r>
          <w:proofErr w:type="spellEnd"/>
          <w:r w:rsidRPr="008D3738">
            <w:t xml:space="preserve"> Trustees (Jersey) Limited [2010] EWHC 2767</w:t>
          </w:r>
        </w:p>
        <w:p w14:paraId="2562B0CE" w14:textId="4ACC5805" w:rsidR="0056031E" w:rsidRDefault="0056031E" w:rsidP="0056031E">
          <w:pPr>
            <w:pStyle w:val="Bibliography"/>
            <w:rPr>
              <w:noProof/>
            </w:rPr>
          </w:pPr>
          <w:r>
            <w:rPr>
              <w:noProof/>
            </w:rPr>
            <w:t>Fingleton, J.</w:t>
          </w:r>
          <w:r w:rsidR="00980EE9">
            <w:rPr>
              <w:noProof/>
            </w:rPr>
            <w:t xml:space="preserve"> (</w:t>
          </w:r>
          <w:r>
            <w:rPr>
              <w:noProof/>
            </w:rPr>
            <w:t>2017</w:t>
          </w:r>
          <w:r w:rsidR="00980EE9">
            <w:rPr>
              <w:noProof/>
            </w:rPr>
            <w:t>)</w:t>
          </w:r>
          <w:r>
            <w:rPr>
              <w:noProof/>
            </w:rPr>
            <w:t xml:space="preserve"> </w:t>
          </w:r>
          <w:r w:rsidR="00980EE9">
            <w:rPr>
              <w:noProof/>
            </w:rPr>
            <w:t>‘</w:t>
          </w:r>
          <w:r>
            <w:rPr>
              <w:noProof/>
            </w:rPr>
            <w:t>The implications of Brexit for UK competition law and Policy</w:t>
          </w:r>
          <w:r w:rsidR="00980EE9">
            <w:rPr>
              <w:noProof/>
            </w:rPr>
            <w:t>’.</w:t>
          </w:r>
          <w:r>
            <w:rPr>
              <w:noProof/>
            </w:rPr>
            <w:t xml:space="preserve"> </w:t>
          </w:r>
          <w:r>
            <w:rPr>
              <w:i/>
              <w:iCs/>
              <w:noProof/>
            </w:rPr>
            <w:t xml:space="preserve">Journal of Competition Law and Economics, </w:t>
          </w:r>
          <w:r>
            <w:rPr>
              <w:noProof/>
            </w:rPr>
            <w:t>13(3), pp. 389-422.</w:t>
          </w:r>
        </w:p>
        <w:p w14:paraId="5AF84E0E" w14:textId="35ABE001" w:rsidR="00530360" w:rsidRPr="00530360" w:rsidRDefault="00530360" w:rsidP="00530360">
          <w:r w:rsidRPr="00530360">
            <w:t>Futter v HM Revenue and Customs [2013] UKSC 26</w:t>
          </w:r>
        </w:p>
        <w:p w14:paraId="56258EE6" w14:textId="59E82594" w:rsidR="0056031E" w:rsidRDefault="0056031E" w:rsidP="0056031E">
          <w:pPr>
            <w:pStyle w:val="Bibliography"/>
            <w:rPr>
              <w:noProof/>
            </w:rPr>
          </w:pPr>
          <w:r>
            <w:rPr>
              <w:noProof/>
            </w:rPr>
            <w:t>Graham, T. &amp; Russell, D.</w:t>
          </w:r>
          <w:r w:rsidR="00980EE9">
            <w:rPr>
              <w:noProof/>
            </w:rPr>
            <w:t xml:space="preserve"> (</w:t>
          </w:r>
          <w:r>
            <w:rPr>
              <w:noProof/>
            </w:rPr>
            <w:t>2022</w:t>
          </w:r>
          <w:r w:rsidR="00980EE9">
            <w:rPr>
              <w:noProof/>
            </w:rPr>
            <w:t>) ‘</w:t>
          </w:r>
          <w:r>
            <w:rPr>
              <w:noProof/>
            </w:rPr>
            <w:t>Exemption Clauses in the modern age: do they result in an "institution in crisis"?</w:t>
          </w:r>
          <w:r w:rsidR="00980EE9">
            <w:rPr>
              <w:noProof/>
            </w:rPr>
            <w:t xml:space="preserve">’, </w:t>
          </w:r>
          <w:r>
            <w:rPr>
              <w:i/>
              <w:iCs/>
              <w:noProof/>
            </w:rPr>
            <w:t xml:space="preserve">Trusts &amp; Trustees, </w:t>
          </w:r>
          <w:r>
            <w:rPr>
              <w:noProof/>
            </w:rPr>
            <w:t>28(8), pp. 54-63.</w:t>
          </w:r>
        </w:p>
        <w:p w14:paraId="282868B0" w14:textId="2171512C" w:rsidR="00C04149" w:rsidRPr="00C04149" w:rsidRDefault="00C04149" w:rsidP="00C04149">
          <w:r w:rsidRPr="00C04149">
            <w:t>Hallows v Lloyd (1888) 39 Ch D 686</w:t>
          </w:r>
        </w:p>
        <w:p w14:paraId="79E7F301" w14:textId="264FD3B5" w:rsidR="0056031E" w:rsidRDefault="0056031E" w:rsidP="0056031E">
          <w:pPr>
            <w:pStyle w:val="Bibliography"/>
            <w:rPr>
              <w:noProof/>
            </w:rPr>
          </w:pPr>
          <w:r>
            <w:rPr>
              <w:noProof/>
            </w:rPr>
            <w:t>Hayton, D.</w:t>
          </w:r>
          <w:r w:rsidR="00980EE9">
            <w:rPr>
              <w:noProof/>
            </w:rPr>
            <w:t xml:space="preserve"> (</w:t>
          </w:r>
          <w:r>
            <w:rPr>
              <w:noProof/>
            </w:rPr>
            <w:t>2023</w:t>
          </w:r>
          <w:r w:rsidR="00980EE9">
            <w:rPr>
              <w:noProof/>
            </w:rPr>
            <w:t>)</w:t>
          </w:r>
          <w:r>
            <w:rPr>
              <w:noProof/>
            </w:rPr>
            <w:t xml:space="preserve"> </w:t>
          </w:r>
          <w:r w:rsidR="00980EE9">
            <w:rPr>
              <w:noProof/>
            </w:rPr>
            <w:t>‘</w:t>
          </w:r>
          <w:r>
            <w:rPr>
              <w:noProof/>
            </w:rPr>
            <w:t>Tru</w:t>
          </w:r>
          <w:r w:rsidR="00980EE9">
            <w:rPr>
              <w:noProof/>
            </w:rPr>
            <w:t>s</w:t>
          </w:r>
          <w:r>
            <w:rPr>
              <w:noProof/>
            </w:rPr>
            <w:t>tees' duties: exemptions and exonerations.</w:t>
          </w:r>
          <w:r w:rsidR="00980EE9">
            <w:rPr>
              <w:noProof/>
            </w:rPr>
            <w:t xml:space="preserve">’, </w:t>
          </w:r>
          <w:r>
            <w:rPr>
              <w:i/>
              <w:iCs/>
              <w:noProof/>
            </w:rPr>
            <w:t xml:space="preserve">Trusts &amp; Trustees, </w:t>
          </w:r>
          <w:r>
            <w:rPr>
              <w:noProof/>
            </w:rPr>
            <w:t>29(5), pp. 389-392.</w:t>
          </w:r>
        </w:p>
        <w:p w14:paraId="52626B51" w14:textId="125D5CC4" w:rsidR="0056031E" w:rsidRDefault="0056031E" w:rsidP="0056031E">
          <w:pPr>
            <w:pStyle w:val="Bibliography"/>
            <w:rPr>
              <w:noProof/>
            </w:rPr>
          </w:pPr>
          <w:r>
            <w:rPr>
              <w:noProof/>
            </w:rPr>
            <w:t>Hudson, A.</w:t>
          </w:r>
          <w:r w:rsidR="00980EE9">
            <w:rPr>
              <w:noProof/>
            </w:rPr>
            <w:t xml:space="preserve"> (</w:t>
          </w:r>
          <w:r>
            <w:rPr>
              <w:noProof/>
            </w:rPr>
            <w:t>2021</w:t>
          </w:r>
          <w:r w:rsidR="00980EE9">
            <w:rPr>
              <w:noProof/>
            </w:rPr>
            <w:t xml:space="preserve">) </w:t>
          </w:r>
          <w:r>
            <w:rPr>
              <w:i/>
              <w:iCs/>
              <w:noProof/>
            </w:rPr>
            <w:t xml:space="preserve">Understanding Equity and Trusts. </w:t>
          </w:r>
          <w:r>
            <w:rPr>
              <w:noProof/>
            </w:rPr>
            <w:t>7 ed. London: Routledge.</w:t>
          </w:r>
        </w:p>
        <w:p w14:paraId="24BBE94E" w14:textId="6D527042" w:rsidR="0056031E" w:rsidRDefault="0056031E" w:rsidP="0056031E">
          <w:pPr>
            <w:pStyle w:val="Bibliography"/>
            <w:rPr>
              <w:noProof/>
            </w:rPr>
          </w:pPr>
          <w:r>
            <w:rPr>
              <w:noProof/>
            </w:rPr>
            <w:t>Huws, C. F.</w:t>
          </w:r>
          <w:r w:rsidR="00980EE9">
            <w:rPr>
              <w:noProof/>
            </w:rPr>
            <w:t xml:space="preserve"> (</w:t>
          </w:r>
          <w:r>
            <w:rPr>
              <w:noProof/>
            </w:rPr>
            <w:t>2015</w:t>
          </w:r>
          <w:r w:rsidR="00980EE9">
            <w:rPr>
              <w:noProof/>
            </w:rPr>
            <w:t>)</w:t>
          </w:r>
          <w:r>
            <w:rPr>
              <w:noProof/>
            </w:rPr>
            <w:t xml:space="preserve"> </w:t>
          </w:r>
          <w:r>
            <w:rPr>
              <w:i/>
              <w:iCs/>
              <w:noProof/>
            </w:rPr>
            <w:t xml:space="preserve">Text, </w:t>
          </w:r>
          <w:r w:rsidR="00980EE9">
            <w:rPr>
              <w:i/>
              <w:iCs/>
              <w:noProof/>
            </w:rPr>
            <w:t>C</w:t>
          </w:r>
          <w:r>
            <w:rPr>
              <w:i/>
              <w:iCs/>
              <w:noProof/>
            </w:rPr>
            <w:t xml:space="preserve">ases and </w:t>
          </w:r>
          <w:r w:rsidR="00980EE9">
            <w:rPr>
              <w:i/>
              <w:iCs/>
              <w:noProof/>
            </w:rPr>
            <w:t>M</w:t>
          </w:r>
          <w:r>
            <w:rPr>
              <w:i/>
              <w:iCs/>
              <w:noProof/>
            </w:rPr>
            <w:t xml:space="preserve">aterials on </w:t>
          </w:r>
          <w:r w:rsidR="00980EE9">
            <w:rPr>
              <w:i/>
              <w:iCs/>
              <w:noProof/>
            </w:rPr>
            <w:t>E</w:t>
          </w:r>
          <w:r>
            <w:rPr>
              <w:i/>
              <w:iCs/>
              <w:noProof/>
            </w:rPr>
            <w:t xml:space="preserve">quity and </w:t>
          </w:r>
          <w:r w:rsidR="00980EE9">
            <w:rPr>
              <w:i/>
              <w:iCs/>
              <w:noProof/>
            </w:rPr>
            <w:t>t</w:t>
          </w:r>
          <w:r>
            <w:rPr>
              <w:i/>
              <w:iCs/>
              <w:noProof/>
            </w:rPr>
            <w:t xml:space="preserve">rusts. </w:t>
          </w:r>
          <w:r>
            <w:rPr>
              <w:noProof/>
            </w:rPr>
            <w:t>London: Pearson.</w:t>
          </w:r>
        </w:p>
        <w:p w14:paraId="57F217DF" w14:textId="1A9730E9" w:rsidR="0056031E" w:rsidRDefault="0056031E" w:rsidP="0056031E">
          <w:pPr>
            <w:pStyle w:val="Bibliography"/>
            <w:rPr>
              <w:noProof/>
            </w:rPr>
          </w:pPr>
          <w:r>
            <w:rPr>
              <w:noProof/>
            </w:rPr>
            <w:t>Mak, C. H. W.</w:t>
          </w:r>
          <w:r w:rsidR="00980EE9">
            <w:rPr>
              <w:noProof/>
            </w:rPr>
            <w:t xml:space="preserve"> (</w:t>
          </w:r>
          <w:r>
            <w:rPr>
              <w:noProof/>
            </w:rPr>
            <w:t>2023</w:t>
          </w:r>
          <w:r w:rsidR="00980EE9">
            <w:rPr>
              <w:noProof/>
            </w:rPr>
            <w:t>)</w:t>
          </w:r>
          <w:r>
            <w:rPr>
              <w:noProof/>
            </w:rPr>
            <w:t xml:space="preserve"> </w:t>
          </w:r>
          <w:r w:rsidR="00980EE9">
            <w:rPr>
              <w:noProof/>
            </w:rPr>
            <w:t>‘</w:t>
          </w:r>
          <w:r>
            <w:rPr>
              <w:noProof/>
            </w:rPr>
            <w:t>Debts unravelled: trust law's ubiased approach to resolving sovereign defaults</w:t>
          </w:r>
          <w:r w:rsidR="00980EE9">
            <w:rPr>
              <w:noProof/>
            </w:rPr>
            <w:t>’,</w:t>
          </w:r>
          <w:r>
            <w:rPr>
              <w:noProof/>
            </w:rPr>
            <w:t xml:space="preserve"> </w:t>
          </w:r>
          <w:r>
            <w:rPr>
              <w:i/>
              <w:iCs/>
              <w:noProof/>
            </w:rPr>
            <w:t xml:space="preserve">Trusts &amp; Trustees, </w:t>
          </w:r>
          <w:r>
            <w:rPr>
              <w:noProof/>
            </w:rPr>
            <w:t>5(1), pp. 437-443.</w:t>
          </w:r>
        </w:p>
        <w:p w14:paraId="5E847AEB" w14:textId="67C038FB" w:rsidR="00163A75" w:rsidRPr="00163A75" w:rsidRDefault="00163A75" w:rsidP="00163A75">
          <w:r w:rsidRPr="00163A75">
            <w:t>Re Merchant Navy Ratings Pension Fund (2015</w:t>
          </w:r>
          <w:r w:rsidR="003F6ADE">
            <w:t>) EWHC 448 (</w:t>
          </w:r>
          <w:proofErr w:type="spellStart"/>
          <w:r w:rsidR="003F6ADE">
            <w:t>ch</w:t>
          </w:r>
          <w:proofErr w:type="spellEnd"/>
          <w:r w:rsidR="003F6ADE">
            <w:t>)</w:t>
          </w:r>
        </w:p>
        <w:p w14:paraId="7D8AAB3D" w14:textId="0566286A" w:rsidR="0056031E" w:rsidRDefault="0056031E" w:rsidP="0056031E">
          <w:pPr>
            <w:pStyle w:val="Bibliography"/>
            <w:rPr>
              <w:noProof/>
            </w:rPr>
          </w:pPr>
          <w:r>
            <w:rPr>
              <w:noProof/>
            </w:rPr>
            <w:t>McBride, N.</w:t>
          </w:r>
          <w:r w:rsidR="0060445F">
            <w:rPr>
              <w:noProof/>
            </w:rPr>
            <w:t xml:space="preserve"> (</w:t>
          </w:r>
          <w:r>
            <w:rPr>
              <w:noProof/>
            </w:rPr>
            <w:t>2009</w:t>
          </w:r>
          <w:r w:rsidR="0060445F">
            <w:rPr>
              <w:noProof/>
            </w:rPr>
            <w:t>)</w:t>
          </w:r>
          <w:r>
            <w:rPr>
              <w:noProof/>
            </w:rPr>
            <w:t xml:space="preserve"> </w:t>
          </w:r>
          <w:r w:rsidR="0060445F">
            <w:rPr>
              <w:noProof/>
            </w:rPr>
            <w:t>‘</w:t>
          </w:r>
          <w:r>
            <w:rPr>
              <w:noProof/>
            </w:rPr>
            <w:t>Trustees exemption clauses</w:t>
          </w:r>
          <w:r w:rsidR="0060445F">
            <w:rPr>
              <w:noProof/>
            </w:rPr>
            <w:t>’,</w:t>
          </w:r>
          <w:r>
            <w:rPr>
              <w:noProof/>
            </w:rPr>
            <w:t xml:space="preserve"> </w:t>
          </w:r>
          <w:r>
            <w:rPr>
              <w:i/>
              <w:iCs/>
              <w:noProof/>
            </w:rPr>
            <w:t xml:space="preserve">The Cambridge Law Journal, </w:t>
          </w:r>
          <w:r>
            <w:rPr>
              <w:noProof/>
            </w:rPr>
            <w:t>57(1), pp. 33-36.</w:t>
          </w:r>
        </w:p>
        <w:p w14:paraId="56A98E52" w14:textId="6F3A3C0B" w:rsidR="00CA345C" w:rsidRPr="00CA345C" w:rsidRDefault="00CA345C" w:rsidP="00CA345C">
          <w:r w:rsidRPr="00CA345C">
            <w:t>Nestle v Westminster Bank</w:t>
          </w:r>
          <w:r>
            <w:t xml:space="preserve"> (1993) 1 WLR </w:t>
          </w:r>
          <w:r w:rsidR="00493CF1">
            <w:t>1260</w:t>
          </w:r>
        </w:p>
        <w:p w14:paraId="3E527328" w14:textId="3CB822F1" w:rsidR="00B6250D" w:rsidRPr="00B6250D" w:rsidRDefault="00B6250D" w:rsidP="00B6250D">
          <w:proofErr w:type="spellStart"/>
          <w:r w:rsidRPr="00B6250D">
            <w:t>Learoyd</w:t>
          </w:r>
          <w:proofErr w:type="spellEnd"/>
          <w:r w:rsidRPr="00B6250D">
            <w:t xml:space="preserve"> v Whiteley (1887) 12 AC 727</w:t>
          </w:r>
        </w:p>
        <w:p w14:paraId="4BD82C36" w14:textId="39F4ED00" w:rsidR="0056031E" w:rsidRDefault="0056031E" w:rsidP="0056031E">
          <w:pPr>
            <w:pStyle w:val="Bibliography"/>
            <w:rPr>
              <w:noProof/>
            </w:rPr>
          </w:pPr>
          <w:r>
            <w:rPr>
              <w:noProof/>
            </w:rPr>
            <w:t>Panico, P.</w:t>
          </w:r>
          <w:r w:rsidR="0060445F">
            <w:rPr>
              <w:noProof/>
            </w:rPr>
            <w:t xml:space="preserve"> (</w:t>
          </w:r>
          <w:r>
            <w:rPr>
              <w:noProof/>
            </w:rPr>
            <w:t>2017</w:t>
          </w:r>
          <w:r w:rsidR="0060445F">
            <w:rPr>
              <w:noProof/>
            </w:rPr>
            <w:t>) ‘</w:t>
          </w:r>
          <w:r>
            <w:rPr>
              <w:noProof/>
            </w:rPr>
            <w:t xml:space="preserve">6 Trustee Exemption Clauses. In: </w:t>
          </w:r>
          <w:r>
            <w:rPr>
              <w:i/>
              <w:iCs/>
              <w:noProof/>
            </w:rPr>
            <w:t>International Trusts Laws</w:t>
          </w:r>
          <w:r w:rsidR="0060445F">
            <w:rPr>
              <w:i/>
              <w:iCs/>
              <w:noProof/>
            </w:rPr>
            <w:t>’.</w:t>
          </w:r>
          <w:r>
            <w:rPr>
              <w:i/>
              <w:iCs/>
              <w:noProof/>
            </w:rPr>
            <w:t xml:space="preserve"> </w:t>
          </w:r>
          <w:r>
            <w:rPr>
              <w:noProof/>
            </w:rPr>
            <w:t>New York: Oxford University Press, pp. 333-374.</w:t>
          </w:r>
        </w:p>
        <w:p w14:paraId="3F24E092" w14:textId="4912AE16" w:rsidR="0056031E" w:rsidRDefault="0056031E" w:rsidP="0056031E">
          <w:pPr>
            <w:pStyle w:val="Bibliography"/>
            <w:rPr>
              <w:noProof/>
            </w:rPr>
          </w:pPr>
          <w:r>
            <w:rPr>
              <w:noProof/>
            </w:rPr>
            <w:t>Ramjohn, M.</w:t>
          </w:r>
          <w:r w:rsidR="00B67353">
            <w:rPr>
              <w:noProof/>
            </w:rPr>
            <w:t xml:space="preserve"> (</w:t>
          </w:r>
          <w:r>
            <w:rPr>
              <w:noProof/>
            </w:rPr>
            <w:t>2019</w:t>
          </w:r>
          <w:r w:rsidR="00B67353">
            <w:rPr>
              <w:noProof/>
            </w:rPr>
            <w:t xml:space="preserve">) </w:t>
          </w:r>
          <w:r>
            <w:rPr>
              <w:i/>
              <w:iCs/>
              <w:noProof/>
            </w:rPr>
            <w:t xml:space="preserve">Unlocking equity and trusts. </w:t>
          </w:r>
          <w:r>
            <w:rPr>
              <w:noProof/>
            </w:rPr>
            <w:t>7 ed. London: Routledge.</w:t>
          </w:r>
        </w:p>
        <w:p w14:paraId="03DBE2A2" w14:textId="62E5D7E6" w:rsidR="00C70267" w:rsidRPr="00C70267" w:rsidRDefault="00C70267" w:rsidP="00C70267">
          <w:r w:rsidRPr="00C70267">
            <w:t>Re Wragg [1919] 2 Ch 58</w:t>
          </w:r>
        </w:p>
        <w:p w14:paraId="04C8096C" w14:textId="67A22A5F" w:rsidR="0056031E" w:rsidRDefault="0056031E" w:rsidP="0056031E">
          <w:pPr>
            <w:pStyle w:val="Bibliography"/>
            <w:rPr>
              <w:noProof/>
            </w:rPr>
          </w:pPr>
          <w:r>
            <w:rPr>
              <w:noProof/>
            </w:rPr>
            <w:t>Rice, E. T. &amp; Sherwin, T.,</w:t>
          </w:r>
          <w:r w:rsidR="00B67353">
            <w:rPr>
              <w:noProof/>
            </w:rPr>
            <w:t xml:space="preserve"> (</w:t>
          </w:r>
          <w:r>
            <w:rPr>
              <w:noProof/>
            </w:rPr>
            <w:t>2018</w:t>
          </w:r>
          <w:r w:rsidR="00B67353">
            <w:rPr>
              <w:noProof/>
            </w:rPr>
            <w:t>) ‘</w:t>
          </w:r>
          <w:r>
            <w:rPr>
              <w:noProof/>
            </w:rPr>
            <w:t xml:space="preserve"> Time for change: trustees' liability for negligent investment in offshore portfolio bonds</w:t>
          </w:r>
          <w:r w:rsidR="00B67353">
            <w:rPr>
              <w:noProof/>
            </w:rPr>
            <w:t>’,</w:t>
          </w:r>
          <w:r>
            <w:rPr>
              <w:noProof/>
            </w:rPr>
            <w:t xml:space="preserve"> </w:t>
          </w:r>
          <w:r>
            <w:rPr>
              <w:i/>
              <w:iCs/>
              <w:noProof/>
            </w:rPr>
            <w:t xml:space="preserve">Journal of International Banking &amp; Financial law, </w:t>
          </w:r>
          <w:r>
            <w:rPr>
              <w:noProof/>
            </w:rPr>
            <w:t>33(3), p. 154.</w:t>
          </w:r>
        </w:p>
        <w:p w14:paraId="091E398C" w14:textId="3834CFB2" w:rsidR="0056031E" w:rsidRDefault="0056031E" w:rsidP="0056031E">
          <w:pPr>
            <w:pStyle w:val="Bibliography"/>
            <w:rPr>
              <w:noProof/>
            </w:rPr>
          </w:pPr>
          <w:r>
            <w:rPr>
              <w:noProof/>
            </w:rPr>
            <w:t>Sheldon, C.</w:t>
          </w:r>
          <w:r w:rsidR="00B67353">
            <w:rPr>
              <w:noProof/>
            </w:rPr>
            <w:t xml:space="preserve"> (</w:t>
          </w:r>
          <w:r>
            <w:rPr>
              <w:noProof/>
            </w:rPr>
            <w:t>2012</w:t>
          </w:r>
          <w:r w:rsidR="00B67353">
            <w:rPr>
              <w:noProof/>
            </w:rPr>
            <w:t>) ‘</w:t>
          </w:r>
          <w:r>
            <w:rPr>
              <w:noProof/>
            </w:rPr>
            <w:t xml:space="preserve"> Commercial: a justified retrospective</w:t>
          </w:r>
          <w:r w:rsidR="00B67353">
            <w:rPr>
              <w:noProof/>
            </w:rPr>
            <w:t>’.</w:t>
          </w:r>
          <w:r>
            <w:rPr>
              <w:i/>
              <w:iCs/>
              <w:noProof/>
            </w:rPr>
            <w:t xml:space="preserve">The New Law Journal, </w:t>
          </w:r>
          <w:r>
            <w:rPr>
              <w:noProof/>
            </w:rPr>
            <w:t>162(7511), pp. 574-584.</w:t>
          </w:r>
        </w:p>
        <w:p w14:paraId="67926402" w14:textId="14ADD064" w:rsidR="0056031E" w:rsidRDefault="0056031E" w:rsidP="0056031E">
          <w:pPr>
            <w:pStyle w:val="Bibliography"/>
            <w:rPr>
              <w:noProof/>
            </w:rPr>
          </w:pPr>
          <w:r>
            <w:rPr>
              <w:noProof/>
            </w:rPr>
            <w:lastRenderedPageBreak/>
            <w:t xml:space="preserve">Solicitors Regulation Authority, </w:t>
          </w:r>
          <w:r w:rsidR="00AF51A6">
            <w:rPr>
              <w:noProof/>
            </w:rPr>
            <w:t>(</w:t>
          </w:r>
          <w:r>
            <w:rPr>
              <w:noProof/>
            </w:rPr>
            <w:t>2023</w:t>
          </w:r>
          <w:r w:rsidR="007E751C">
            <w:rPr>
              <w:noProof/>
            </w:rPr>
            <w:t xml:space="preserve">) </w:t>
          </w:r>
          <w:r>
            <w:rPr>
              <w:noProof/>
            </w:rPr>
            <w:t xml:space="preserve"> </w:t>
          </w:r>
          <w:r>
            <w:rPr>
              <w:i/>
              <w:iCs/>
              <w:noProof/>
            </w:rPr>
            <w:t>SRA Code of Conduct for Solicitors, RELs and RFLs.</w:t>
          </w:r>
          <w:r>
            <w:rPr>
              <w:noProof/>
            </w:rPr>
            <w:t xml:space="preserve">Available at: </w:t>
          </w:r>
          <w:r>
            <w:rPr>
              <w:noProof/>
              <w:u w:val="single"/>
            </w:rPr>
            <w:t>https://www.sra.org.uk/solicitors/standards-regulations/code-conduct-solicitors/</w:t>
          </w:r>
          <w:r>
            <w:rPr>
              <w:noProof/>
            </w:rPr>
            <w:br/>
            <w:t>[Accessed 13 November 2024].</w:t>
          </w:r>
        </w:p>
        <w:p w14:paraId="2EEC8AC0" w14:textId="08E2D0CF" w:rsidR="00D858F6" w:rsidRDefault="00D858F6" w:rsidP="00D858F6">
          <w:r w:rsidRPr="00D858F6">
            <w:t>Spread Trustee Ltd v Hutchinson (2011</w:t>
          </w:r>
          <w:r>
            <w:t>)</w:t>
          </w:r>
          <w:r w:rsidR="0010527B">
            <w:t xml:space="preserve"> UKPC 13</w:t>
          </w:r>
        </w:p>
        <w:p w14:paraId="1BD561E4" w14:textId="6520123D" w:rsidR="009F10C9" w:rsidRPr="00A2319A" w:rsidRDefault="00A2319A" w:rsidP="00D858F6">
          <w:pPr>
            <w:rPr>
              <w:color w:val="000000" w:themeColor="text1"/>
            </w:rPr>
          </w:pPr>
          <w:r w:rsidRPr="00A2319A">
            <w:rPr>
              <w:color w:val="000000" w:themeColor="text1"/>
            </w:rPr>
            <w:t>Trustee Act 2000</w:t>
          </w:r>
          <w:r>
            <w:rPr>
              <w:color w:val="000000" w:themeColor="text1"/>
            </w:rPr>
            <w:t>, c.29. Available at:</w:t>
          </w:r>
          <w:r w:rsidR="00980EE9" w:rsidRPr="00980EE9">
            <w:t xml:space="preserve"> </w:t>
          </w:r>
          <w:r w:rsidR="00980EE9" w:rsidRPr="00980EE9">
            <w:rPr>
              <w:color w:val="000000" w:themeColor="text1"/>
            </w:rPr>
            <w:t>https://www.legislation.gov.uk/ukpga/2000/29/contents</w:t>
          </w:r>
        </w:p>
        <w:p w14:paraId="76138ABF" w14:textId="62461B13" w:rsidR="0056031E" w:rsidRDefault="0056031E" w:rsidP="0056031E">
          <w:pPr>
            <w:pStyle w:val="Bibliography"/>
            <w:rPr>
              <w:noProof/>
            </w:rPr>
          </w:pPr>
          <w:r>
            <w:rPr>
              <w:noProof/>
            </w:rPr>
            <w:t>Usilova, A.</w:t>
          </w:r>
          <w:r w:rsidR="00F2766A">
            <w:rPr>
              <w:noProof/>
            </w:rPr>
            <w:t xml:space="preserve"> (</w:t>
          </w:r>
          <w:r>
            <w:rPr>
              <w:noProof/>
            </w:rPr>
            <w:t>2016</w:t>
          </w:r>
          <w:r w:rsidR="00F2766A">
            <w:rPr>
              <w:noProof/>
            </w:rPr>
            <w:t>) ‘</w:t>
          </w:r>
          <w:r>
            <w:rPr>
              <w:noProof/>
            </w:rPr>
            <w:t>Reliance on a professional trustee: a case for a change to the rule in Armitage v Nurse</w:t>
          </w:r>
          <w:r w:rsidR="00466A6E">
            <w:rPr>
              <w:noProof/>
            </w:rPr>
            <w:t xml:space="preserve">’, </w:t>
          </w:r>
          <w:r>
            <w:rPr>
              <w:i/>
              <w:iCs/>
              <w:noProof/>
            </w:rPr>
            <w:t xml:space="preserve">Trusts &amp; Trustees, </w:t>
          </w:r>
          <w:r>
            <w:rPr>
              <w:noProof/>
            </w:rPr>
            <w:t>22(8), pp. 932-940.</w:t>
          </w:r>
        </w:p>
        <w:p w14:paraId="676A7400" w14:textId="0E8F8D8A" w:rsidR="00D27C45" w:rsidRPr="00D27C45" w:rsidRDefault="00D27C45" w:rsidP="00D27C45">
          <w:r w:rsidRPr="00D27C45">
            <w:t>Walker v Stones [2001] QB 902</w:t>
          </w:r>
        </w:p>
        <w:p w14:paraId="7C7400AC" w14:textId="5390960D" w:rsidR="0056031E" w:rsidRDefault="0056031E" w:rsidP="0056031E"/>
      </w:sdtContent>
    </w:sdt>
    <w:p w14:paraId="7F1C9DCC" w14:textId="77777777" w:rsidR="00B67CF4" w:rsidRDefault="00B67CF4" w:rsidP="009E7020"/>
    <w:p w14:paraId="1F0F484F" w14:textId="77777777" w:rsidR="00DA6EC9" w:rsidRDefault="00DA6EC9" w:rsidP="009E7020"/>
    <w:p w14:paraId="4B0BC98A" w14:textId="6D9BD986" w:rsidR="00BE6157" w:rsidRDefault="00BE6157" w:rsidP="009E7020"/>
    <w:p w14:paraId="3277DA08" w14:textId="4B35A859" w:rsidR="002D191C" w:rsidRDefault="002D191C" w:rsidP="009E7020"/>
    <w:p w14:paraId="1F06C786" w14:textId="77777777" w:rsidR="00D237A0" w:rsidRPr="00604616" w:rsidRDefault="00D237A0" w:rsidP="009E7020">
      <w:pPr>
        <w:rPr>
          <w:color w:val="000000" w:themeColor="text1"/>
        </w:rPr>
      </w:pPr>
    </w:p>
    <w:p w14:paraId="04B8C5E4" w14:textId="77777777" w:rsidR="00D3683A" w:rsidRDefault="00D3683A" w:rsidP="009E7020">
      <w:pPr>
        <w:rPr>
          <w:color w:val="000000" w:themeColor="text1"/>
        </w:rPr>
      </w:pPr>
    </w:p>
    <w:p w14:paraId="0C0698F3" w14:textId="77777777" w:rsidR="00D3683A" w:rsidRDefault="00D3683A" w:rsidP="009E7020">
      <w:pPr>
        <w:rPr>
          <w:color w:val="000000" w:themeColor="text1"/>
        </w:rPr>
      </w:pPr>
    </w:p>
    <w:p w14:paraId="7BDA541F" w14:textId="77777777" w:rsidR="00D3683A" w:rsidRDefault="00D3683A" w:rsidP="009E7020">
      <w:pPr>
        <w:rPr>
          <w:color w:val="000000" w:themeColor="text1"/>
        </w:rPr>
      </w:pPr>
    </w:p>
    <w:p w14:paraId="27D1DEDC" w14:textId="77777777" w:rsidR="00D3683A" w:rsidRDefault="00D3683A" w:rsidP="009E7020">
      <w:pPr>
        <w:rPr>
          <w:color w:val="000000" w:themeColor="text1"/>
        </w:rPr>
      </w:pPr>
    </w:p>
    <w:p w14:paraId="1DAAC637" w14:textId="77777777" w:rsidR="00D3683A" w:rsidRDefault="00D3683A" w:rsidP="009E7020">
      <w:pPr>
        <w:rPr>
          <w:color w:val="000000" w:themeColor="text1"/>
        </w:rPr>
      </w:pPr>
    </w:p>
    <w:p w14:paraId="2B6967A3" w14:textId="77777777" w:rsidR="00D3683A" w:rsidRDefault="00D3683A" w:rsidP="009E7020">
      <w:pPr>
        <w:rPr>
          <w:color w:val="000000" w:themeColor="text1"/>
        </w:rPr>
      </w:pPr>
    </w:p>
    <w:p w14:paraId="3D27B4D5" w14:textId="77777777" w:rsidR="00D3683A" w:rsidRDefault="00D3683A" w:rsidP="009E7020">
      <w:pPr>
        <w:rPr>
          <w:color w:val="000000" w:themeColor="text1"/>
        </w:rPr>
      </w:pPr>
    </w:p>
    <w:p w14:paraId="1C8EE57E" w14:textId="77777777" w:rsidR="00535E42" w:rsidRPr="00262E95" w:rsidRDefault="00535E42" w:rsidP="009E7020"/>
    <w:p w14:paraId="79CDAD57" w14:textId="77777777" w:rsidR="00BB62EC" w:rsidRDefault="00BB62EC" w:rsidP="00BB62EC"/>
    <w:sectPr w:rsidR="00BB62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C93C5B"/>
    <w:multiLevelType w:val="hybridMultilevel"/>
    <w:tmpl w:val="459AAB40"/>
    <w:lvl w:ilvl="0" w:tplc="477CEC0C">
      <w:start w:val="1"/>
      <w:numFmt w:val="upperLetter"/>
      <w:lvlText w:val="%1)"/>
      <w:lvlJc w:val="left"/>
      <w:pPr>
        <w:ind w:left="1080" w:hanging="360"/>
      </w:pPr>
    </w:lvl>
    <w:lvl w:ilvl="1" w:tplc="4080DDAC">
      <w:start w:val="1"/>
      <w:numFmt w:val="lowerLetter"/>
      <w:lvlText w:val="%2."/>
      <w:lvlJc w:val="left"/>
      <w:pPr>
        <w:ind w:left="1800" w:hanging="360"/>
      </w:pPr>
    </w:lvl>
    <w:lvl w:ilvl="2" w:tplc="C32E5C94">
      <w:start w:val="1"/>
      <w:numFmt w:val="lowerRoman"/>
      <w:lvlText w:val="%3."/>
      <w:lvlJc w:val="right"/>
      <w:pPr>
        <w:ind w:left="2520" w:hanging="180"/>
      </w:pPr>
    </w:lvl>
    <w:lvl w:ilvl="3" w:tplc="0854D296">
      <w:start w:val="1"/>
      <w:numFmt w:val="decimal"/>
      <w:lvlText w:val="%4."/>
      <w:lvlJc w:val="left"/>
      <w:pPr>
        <w:ind w:left="3240" w:hanging="360"/>
      </w:pPr>
    </w:lvl>
    <w:lvl w:ilvl="4" w:tplc="5DFAAC52">
      <w:start w:val="1"/>
      <w:numFmt w:val="lowerLetter"/>
      <w:lvlText w:val="%5."/>
      <w:lvlJc w:val="left"/>
      <w:pPr>
        <w:ind w:left="3960" w:hanging="360"/>
      </w:pPr>
    </w:lvl>
    <w:lvl w:ilvl="5" w:tplc="3F38C99C">
      <w:start w:val="1"/>
      <w:numFmt w:val="lowerRoman"/>
      <w:lvlText w:val="%6."/>
      <w:lvlJc w:val="right"/>
      <w:pPr>
        <w:ind w:left="4680" w:hanging="180"/>
      </w:pPr>
    </w:lvl>
    <w:lvl w:ilvl="6" w:tplc="E092CA84">
      <w:start w:val="1"/>
      <w:numFmt w:val="decimal"/>
      <w:lvlText w:val="%7."/>
      <w:lvlJc w:val="left"/>
      <w:pPr>
        <w:ind w:left="5400" w:hanging="360"/>
      </w:pPr>
    </w:lvl>
    <w:lvl w:ilvl="7" w:tplc="AC920B92">
      <w:start w:val="1"/>
      <w:numFmt w:val="lowerLetter"/>
      <w:lvlText w:val="%8."/>
      <w:lvlJc w:val="left"/>
      <w:pPr>
        <w:ind w:left="6120" w:hanging="360"/>
      </w:pPr>
    </w:lvl>
    <w:lvl w:ilvl="8" w:tplc="3CECB7DE">
      <w:start w:val="1"/>
      <w:numFmt w:val="lowerRoman"/>
      <w:lvlText w:val="%9."/>
      <w:lvlJc w:val="right"/>
      <w:pPr>
        <w:ind w:left="6840" w:hanging="180"/>
      </w:pPr>
    </w:lvl>
  </w:abstractNum>
  <w:abstractNum w:abstractNumId="1" w15:restartNumberingAfterBreak="0">
    <w:nsid w:val="37963C51"/>
    <w:multiLevelType w:val="hybridMultilevel"/>
    <w:tmpl w:val="DDFA7892"/>
    <w:lvl w:ilvl="0" w:tplc="E5DCAB1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A5C1A57"/>
    <w:multiLevelType w:val="hybridMultilevel"/>
    <w:tmpl w:val="457897A2"/>
    <w:lvl w:ilvl="0" w:tplc="7E0C09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F385C87"/>
    <w:multiLevelType w:val="hybridMultilevel"/>
    <w:tmpl w:val="37A061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9B938BE"/>
    <w:multiLevelType w:val="hybridMultilevel"/>
    <w:tmpl w:val="E6561A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563777"/>
    <w:multiLevelType w:val="hybridMultilevel"/>
    <w:tmpl w:val="37A0615C"/>
    <w:lvl w:ilvl="0" w:tplc="646042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6148852">
    <w:abstractNumId w:val="0"/>
  </w:num>
  <w:num w:numId="2" w16cid:durableId="168563794">
    <w:abstractNumId w:val="5"/>
  </w:num>
  <w:num w:numId="3" w16cid:durableId="253326339">
    <w:abstractNumId w:val="1"/>
  </w:num>
  <w:num w:numId="4" w16cid:durableId="493912025">
    <w:abstractNumId w:val="4"/>
  </w:num>
  <w:num w:numId="5" w16cid:durableId="826820934">
    <w:abstractNumId w:val="2"/>
  </w:num>
  <w:num w:numId="6" w16cid:durableId="21458556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E05"/>
    <w:rsid w:val="000004ED"/>
    <w:rsid w:val="0000052B"/>
    <w:rsid w:val="000006B2"/>
    <w:rsid w:val="00003366"/>
    <w:rsid w:val="000048C9"/>
    <w:rsid w:val="000048E2"/>
    <w:rsid w:val="00006302"/>
    <w:rsid w:val="000078E7"/>
    <w:rsid w:val="00007D2F"/>
    <w:rsid w:val="0000DC33"/>
    <w:rsid w:val="00011E16"/>
    <w:rsid w:val="00012889"/>
    <w:rsid w:val="00014F86"/>
    <w:rsid w:val="00017F15"/>
    <w:rsid w:val="00023519"/>
    <w:rsid w:val="00023C78"/>
    <w:rsid w:val="00024EBE"/>
    <w:rsid w:val="00024EDE"/>
    <w:rsid w:val="00027491"/>
    <w:rsid w:val="00027997"/>
    <w:rsid w:val="000323F7"/>
    <w:rsid w:val="00036FDF"/>
    <w:rsid w:val="00044A48"/>
    <w:rsid w:val="000450F3"/>
    <w:rsid w:val="00053D7B"/>
    <w:rsid w:val="000615A3"/>
    <w:rsid w:val="00064B86"/>
    <w:rsid w:val="000655C8"/>
    <w:rsid w:val="00065808"/>
    <w:rsid w:val="000800B6"/>
    <w:rsid w:val="00082252"/>
    <w:rsid w:val="0008229B"/>
    <w:rsid w:val="00083451"/>
    <w:rsid w:val="00086CF7"/>
    <w:rsid w:val="00090188"/>
    <w:rsid w:val="0009425A"/>
    <w:rsid w:val="00096B44"/>
    <w:rsid w:val="000975C8"/>
    <w:rsid w:val="000A09F2"/>
    <w:rsid w:val="000A3FF9"/>
    <w:rsid w:val="000B1093"/>
    <w:rsid w:val="000B18DA"/>
    <w:rsid w:val="000B5062"/>
    <w:rsid w:val="000B5569"/>
    <w:rsid w:val="000C0202"/>
    <w:rsid w:val="000C0912"/>
    <w:rsid w:val="000C1BA5"/>
    <w:rsid w:val="000C25A6"/>
    <w:rsid w:val="000C525A"/>
    <w:rsid w:val="000C768A"/>
    <w:rsid w:val="000C7DA0"/>
    <w:rsid w:val="000D5206"/>
    <w:rsid w:val="000D7C57"/>
    <w:rsid w:val="000E1210"/>
    <w:rsid w:val="000E72E4"/>
    <w:rsid w:val="000F0672"/>
    <w:rsid w:val="000F0882"/>
    <w:rsid w:val="000F22FB"/>
    <w:rsid w:val="000F2817"/>
    <w:rsid w:val="000F3A56"/>
    <w:rsid w:val="000F5565"/>
    <w:rsid w:val="000F77F5"/>
    <w:rsid w:val="00101614"/>
    <w:rsid w:val="00101742"/>
    <w:rsid w:val="00105244"/>
    <w:rsid w:val="0010527B"/>
    <w:rsid w:val="0011117B"/>
    <w:rsid w:val="00112B61"/>
    <w:rsid w:val="00115783"/>
    <w:rsid w:val="00116CD9"/>
    <w:rsid w:val="001175F5"/>
    <w:rsid w:val="0012000E"/>
    <w:rsid w:val="00121A3C"/>
    <w:rsid w:val="001226FB"/>
    <w:rsid w:val="0012758A"/>
    <w:rsid w:val="0013095E"/>
    <w:rsid w:val="00130CB0"/>
    <w:rsid w:val="0013258A"/>
    <w:rsid w:val="001358F1"/>
    <w:rsid w:val="00135D50"/>
    <w:rsid w:val="00136C6E"/>
    <w:rsid w:val="00143D9D"/>
    <w:rsid w:val="00145EB6"/>
    <w:rsid w:val="0014609D"/>
    <w:rsid w:val="00147CBB"/>
    <w:rsid w:val="001506BD"/>
    <w:rsid w:val="00150E32"/>
    <w:rsid w:val="0015502A"/>
    <w:rsid w:val="00155571"/>
    <w:rsid w:val="001632EC"/>
    <w:rsid w:val="00163A75"/>
    <w:rsid w:val="001659AA"/>
    <w:rsid w:val="00165B12"/>
    <w:rsid w:val="001718FF"/>
    <w:rsid w:val="00175C27"/>
    <w:rsid w:val="001778AC"/>
    <w:rsid w:val="00185781"/>
    <w:rsid w:val="00191441"/>
    <w:rsid w:val="00191612"/>
    <w:rsid w:val="00192004"/>
    <w:rsid w:val="001930F7"/>
    <w:rsid w:val="001965D9"/>
    <w:rsid w:val="001A4C10"/>
    <w:rsid w:val="001A5568"/>
    <w:rsid w:val="001B70E2"/>
    <w:rsid w:val="001C086C"/>
    <w:rsid w:val="001C0A21"/>
    <w:rsid w:val="001C133A"/>
    <w:rsid w:val="001C6B04"/>
    <w:rsid w:val="001D2CAC"/>
    <w:rsid w:val="001D4485"/>
    <w:rsid w:val="001D7FEA"/>
    <w:rsid w:val="001E0DBB"/>
    <w:rsid w:val="001E1C7B"/>
    <w:rsid w:val="001E25BA"/>
    <w:rsid w:val="001E57E1"/>
    <w:rsid w:val="001E5FBB"/>
    <w:rsid w:val="001F1A79"/>
    <w:rsid w:val="001F7D5F"/>
    <w:rsid w:val="002016B1"/>
    <w:rsid w:val="00213E3F"/>
    <w:rsid w:val="0021585A"/>
    <w:rsid w:val="002175CD"/>
    <w:rsid w:val="00221713"/>
    <w:rsid w:val="002240A4"/>
    <w:rsid w:val="002244E5"/>
    <w:rsid w:val="00227208"/>
    <w:rsid w:val="002301A8"/>
    <w:rsid w:val="00233B93"/>
    <w:rsid w:val="002354F0"/>
    <w:rsid w:val="00240483"/>
    <w:rsid w:val="002413C4"/>
    <w:rsid w:val="002415ED"/>
    <w:rsid w:val="00242206"/>
    <w:rsid w:val="0024332E"/>
    <w:rsid w:val="002447A9"/>
    <w:rsid w:val="00246272"/>
    <w:rsid w:val="00250295"/>
    <w:rsid w:val="00250F05"/>
    <w:rsid w:val="00251B5C"/>
    <w:rsid w:val="002541B7"/>
    <w:rsid w:val="00254546"/>
    <w:rsid w:val="00255567"/>
    <w:rsid w:val="00255797"/>
    <w:rsid w:val="002568BF"/>
    <w:rsid w:val="00257359"/>
    <w:rsid w:val="0026287B"/>
    <w:rsid w:val="00262E95"/>
    <w:rsid w:val="0027193F"/>
    <w:rsid w:val="0027230E"/>
    <w:rsid w:val="00275189"/>
    <w:rsid w:val="00280DA9"/>
    <w:rsid w:val="002837EF"/>
    <w:rsid w:val="00283C81"/>
    <w:rsid w:val="00283DCE"/>
    <w:rsid w:val="002849D3"/>
    <w:rsid w:val="00296EAC"/>
    <w:rsid w:val="002976A7"/>
    <w:rsid w:val="002A2683"/>
    <w:rsid w:val="002A4BB0"/>
    <w:rsid w:val="002A5A33"/>
    <w:rsid w:val="002B1F57"/>
    <w:rsid w:val="002B2357"/>
    <w:rsid w:val="002B464C"/>
    <w:rsid w:val="002B731E"/>
    <w:rsid w:val="002C1FB7"/>
    <w:rsid w:val="002C465E"/>
    <w:rsid w:val="002C6FB4"/>
    <w:rsid w:val="002C719F"/>
    <w:rsid w:val="002D18A1"/>
    <w:rsid w:val="002D191C"/>
    <w:rsid w:val="002E126F"/>
    <w:rsid w:val="002F0BDA"/>
    <w:rsid w:val="002F1860"/>
    <w:rsid w:val="002F23D7"/>
    <w:rsid w:val="002F2DC7"/>
    <w:rsid w:val="002F4C99"/>
    <w:rsid w:val="003015BA"/>
    <w:rsid w:val="00302FE7"/>
    <w:rsid w:val="00304955"/>
    <w:rsid w:val="00304EE8"/>
    <w:rsid w:val="003076C7"/>
    <w:rsid w:val="00312CC9"/>
    <w:rsid w:val="00315B01"/>
    <w:rsid w:val="00316567"/>
    <w:rsid w:val="003176D0"/>
    <w:rsid w:val="003233D9"/>
    <w:rsid w:val="003405AD"/>
    <w:rsid w:val="00341CC5"/>
    <w:rsid w:val="00345659"/>
    <w:rsid w:val="00353637"/>
    <w:rsid w:val="003556FF"/>
    <w:rsid w:val="003559E5"/>
    <w:rsid w:val="003576D1"/>
    <w:rsid w:val="00357AE7"/>
    <w:rsid w:val="00362B45"/>
    <w:rsid w:val="00363391"/>
    <w:rsid w:val="00364347"/>
    <w:rsid w:val="003671B2"/>
    <w:rsid w:val="00367DA9"/>
    <w:rsid w:val="00375F9D"/>
    <w:rsid w:val="00383F2B"/>
    <w:rsid w:val="00385453"/>
    <w:rsid w:val="00385D37"/>
    <w:rsid w:val="003B27CF"/>
    <w:rsid w:val="003B4976"/>
    <w:rsid w:val="003B6606"/>
    <w:rsid w:val="003C0DD1"/>
    <w:rsid w:val="003D1B11"/>
    <w:rsid w:val="003D462C"/>
    <w:rsid w:val="003D6F54"/>
    <w:rsid w:val="003E5610"/>
    <w:rsid w:val="003F551D"/>
    <w:rsid w:val="003F6ADE"/>
    <w:rsid w:val="00401E02"/>
    <w:rsid w:val="004020A5"/>
    <w:rsid w:val="004068C2"/>
    <w:rsid w:val="0040718C"/>
    <w:rsid w:val="00412247"/>
    <w:rsid w:val="00413BCA"/>
    <w:rsid w:val="00414CF2"/>
    <w:rsid w:val="00416288"/>
    <w:rsid w:val="004210B8"/>
    <w:rsid w:val="00421ACB"/>
    <w:rsid w:val="00423924"/>
    <w:rsid w:val="00425E0D"/>
    <w:rsid w:val="0043102B"/>
    <w:rsid w:val="00433E11"/>
    <w:rsid w:val="004343F2"/>
    <w:rsid w:val="004348C7"/>
    <w:rsid w:val="00436267"/>
    <w:rsid w:val="00441BC4"/>
    <w:rsid w:val="00441FEE"/>
    <w:rsid w:val="00442164"/>
    <w:rsid w:val="00446392"/>
    <w:rsid w:val="00446878"/>
    <w:rsid w:val="0045053B"/>
    <w:rsid w:val="0045176A"/>
    <w:rsid w:val="00452BF9"/>
    <w:rsid w:val="004530E8"/>
    <w:rsid w:val="00454A93"/>
    <w:rsid w:val="004623F9"/>
    <w:rsid w:val="00464F45"/>
    <w:rsid w:val="00466A6E"/>
    <w:rsid w:val="00466F10"/>
    <w:rsid w:val="00467D12"/>
    <w:rsid w:val="00470882"/>
    <w:rsid w:val="00474496"/>
    <w:rsid w:val="00475759"/>
    <w:rsid w:val="00481033"/>
    <w:rsid w:val="0048739B"/>
    <w:rsid w:val="004923AA"/>
    <w:rsid w:val="00493CF1"/>
    <w:rsid w:val="004A13D1"/>
    <w:rsid w:val="004A3853"/>
    <w:rsid w:val="004A4DDA"/>
    <w:rsid w:val="004A6C61"/>
    <w:rsid w:val="004A7CAE"/>
    <w:rsid w:val="004B5ACF"/>
    <w:rsid w:val="004B60A4"/>
    <w:rsid w:val="004B7286"/>
    <w:rsid w:val="004C5FC6"/>
    <w:rsid w:val="004E2CFD"/>
    <w:rsid w:val="004E63ED"/>
    <w:rsid w:val="004F00B9"/>
    <w:rsid w:val="004F35AC"/>
    <w:rsid w:val="004F4C85"/>
    <w:rsid w:val="004F4EF4"/>
    <w:rsid w:val="005009AC"/>
    <w:rsid w:val="005034D2"/>
    <w:rsid w:val="00503602"/>
    <w:rsid w:val="00503A08"/>
    <w:rsid w:val="005043C2"/>
    <w:rsid w:val="005063A5"/>
    <w:rsid w:val="00506589"/>
    <w:rsid w:val="00513BFD"/>
    <w:rsid w:val="00521317"/>
    <w:rsid w:val="00522CED"/>
    <w:rsid w:val="00524E05"/>
    <w:rsid w:val="00527257"/>
    <w:rsid w:val="00530360"/>
    <w:rsid w:val="005310EE"/>
    <w:rsid w:val="00532C93"/>
    <w:rsid w:val="00535E42"/>
    <w:rsid w:val="00545435"/>
    <w:rsid w:val="00547292"/>
    <w:rsid w:val="00550D95"/>
    <w:rsid w:val="005512FF"/>
    <w:rsid w:val="00551CD3"/>
    <w:rsid w:val="00556E2C"/>
    <w:rsid w:val="0056031E"/>
    <w:rsid w:val="005669B6"/>
    <w:rsid w:val="00571717"/>
    <w:rsid w:val="0057690A"/>
    <w:rsid w:val="0058360A"/>
    <w:rsid w:val="005859B0"/>
    <w:rsid w:val="00594577"/>
    <w:rsid w:val="00596A92"/>
    <w:rsid w:val="005A1CA5"/>
    <w:rsid w:val="005A39CA"/>
    <w:rsid w:val="005A526F"/>
    <w:rsid w:val="005A7F27"/>
    <w:rsid w:val="005B2AFA"/>
    <w:rsid w:val="005B6CA3"/>
    <w:rsid w:val="005C4081"/>
    <w:rsid w:val="005C432C"/>
    <w:rsid w:val="005C54E6"/>
    <w:rsid w:val="005D6320"/>
    <w:rsid w:val="005D6FB0"/>
    <w:rsid w:val="005E17CE"/>
    <w:rsid w:val="005E75A8"/>
    <w:rsid w:val="005F397B"/>
    <w:rsid w:val="005F4960"/>
    <w:rsid w:val="005F4D6F"/>
    <w:rsid w:val="005F6435"/>
    <w:rsid w:val="005F7C0E"/>
    <w:rsid w:val="005F7EF9"/>
    <w:rsid w:val="00602D7D"/>
    <w:rsid w:val="0060445F"/>
    <w:rsid w:val="00604616"/>
    <w:rsid w:val="00606BC0"/>
    <w:rsid w:val="00610B93"/>
    <w:rsid w:val="00611DF7"/>
    <w:rsid w:val="00627728"/>
    <w:rsid w:val="00627E51"/>
    <w:rsid w:val="00632E1F"/>
    <w:rsid w:val="00635F39"/>
    <w:rsid w:val="006373ED"/>
    <w:rsid w:val="00645BFF"/>
    <w:rsid w:val="0064616D"/>
    <w:rsid w:val="00647079"/>
    <w:rsid w:val="00647DC2"/>
    <w:rsid w:val="00652042"/>
    <w:rsid w:val="0065327B"/>
    <w:rsid w:val="0065600D"/>
    <w:rsid w:val="00656E3B"/>
    <w:rsid w:val="00661DC9"/>
    <w:rsid w:val="00664FFC"/>
    <w:rsid w:val="006655AE"/>
    <w:rsid w:val="0066783E"/>
    <w:rsid w:val="00672736"/>
    <w:rsid w:val="00672EC5"/>
    <w:rsid w:val="00673713"/>
    <w:rsid w:val="00674212"/>
    <w:rsid w:val="0068742B"/>
    <w:rsid w:val="0069126F"/>
    <w:rsid w:val="0069155F"/>
    <w:rsid w:val="0069247C"/>
    <w:rsid w:val="006932DD"/>
    <w:rsid w:val="006943FA"/>
    <w:rsid w:val="006952DB"/>
    <w:rsid w:val="006A0112"/>
    <w:rsid w:val="006A50A5"/>
    <w:rsid w:val="006A658C"/>
    <w:rsid w:val="006B3BD3"/>
    <w:rsid w:val="006B5930"/>
    <w:rsid w:val="006B7B24"/>
    <w:rsid w:val="006C0CC0"/>
    <w:rsid w:val="006C18F0"/>
    <w:rsid w:val="006C3066"/>
    <w:rsid w:val="006C7625"/>
    <w:rsid w:val="006D016D"/>
    <w:rsid w:val="006D1B67"/>
    <w:rsid w:val="006D33D7"/>
    <w:rsid w:val="006D4373"/>
    <w:rsid w:val="006E2CC6"/>
    <w:rsid w:val="006E6754"/>
    <w:rsid w:val="006E7894"/>
    <w:rsid w:val="006F17D9"/>
    <w:rsid w:val="006F39A1"/>
    <w:rsid w:val="006F58F8"/>
    <w:rsid w:val="00705D0B"/>
    <w:rsid w:val="00707D01"/>
    <w:rsid w:val="00707DD8"/>
    <w:rsid w:val="007102B7"/>
    <w:rsid w:val="00712C64"/>
    <w:rsid w:val="007178D5"/>
    <w:rsid w:val="00726499"/>
    <w:rsid w:val="007308F5"/>
    <w:rsid w:val="00737957"/>
    <w:rsid w:val="00740CD0"/>
    <w:rsid w:val="007450B4"/>
    <w:rsid w:val="007463C8"/>
    <w:rsid w:val="007463E8"/>
    <w:rsid w:val="0074695D"/>
    <w:rsid w:val="00747C47"/>
    <w:rsid w:val="00750DF6"/>
    <w:rsid w:val="00751887"/>
    <w:rsid w:val="007544A6"/>
    <w:rsid w:val="00754744"/>
    <w:rsid w:val="00755318"/>
    <w:rsid w:val="00757C50"/>
    <w:rsid w:val="00764F85"/>
    <w:rsid w:val="00767004"/>
    <w:rsid w:val="0077445F"/>
    <w:rsid w:val="00777683"/>
    <w:rsid w:val="0078400B"/>
    <w:rsid w:val="00785DE1"/>
    <w:rsid w:val="00787CE4"/>
    <w:rsid w:val="00790785"/>
    <w:rsid w:val="00790918"/>
    <w:rsid w:val="007913B9"/>
    <w:rsid w:val="00794ACC"/>
    <w:rsid w:val="00796EB8"/>
    <w:rsid w:val="007B01EE"/>
    <w:rsid w:val="007B0AE5"/>
    <w:rsid w:val="007C1CBF"/>
    <w:rsid w:val="007C2EF9"/>
    <w:rsid w:val="007C3D02"/>
    <w:rsid w:val="007C5430"/>
    <w:rsid w:val="007D0E11"/>
    <w:rsid w:val="007D37E0"/>
    <w:rsid w:val="007D4B1C"/>
    <w:rsid w:val="007D4C69"/>
    <w:rsid w:val="007E0493"/>
    <w:rsid w:val="007E13E9"/>
    <w:rsid w:val="007E751C"/>
    <w:rsid w:val="007F45BD"/>
    <w:rsid w:val="007F5590"/>
    <w:rsid w:val="007F65AD"/>
    <w:rsid w:val="007F68BA"/>
    <w:rsid w:val="007F6D88"/>
    <w:rsid w:val="0080013C"/>
    <w:rsid w:val="00800546"/>
    <w:rsid w:val="008017C2"/>
    <w:rsid w:val="008021A3"/>
    <w:rsid w:val="00802D6A"/>
    <w:rsid w:val="00805C8C"/>
    <w:rsid w:val="00805F50"/>
    <w:rsid w:val="00807FD6"/>
    <w:rsid w:val="00810FC2"/>
    <w:rsid w:val="008220DA"/>
    <w:rsid w:val="008272A0"/>
    <w:rsid w:val="0083132F"/>
    <w:rsid w:val="0083430B"/>
    <w:rsid w:val="008356F3"/>
    <w:rsid w:val="00835FCE"/>
    <w:rsid w:val="00837786"/>
    <w:rsid w:val="00843380"/>
    <w:rsid w:val="008438C6"/>
    <w:rsid w:val="00843C1C"/>
    <w:rsid w:val="0084587B"/>
    <w:rsid w:val="00846FC6"/>
    <w:rsid w:val="00847FCD"/>
    <w:rsid w:val="00853150"/>
    <w:rsid w:val="00853B3C"/>
    <w:rsid w:val="00863FB0"/>
    <w:rsid w:val="0086457E"/>
    <w:rsid w:val="008671B5"/>
    <w:rsid w:val="00873ED9"/>
    <w:rsid w:val="008777B0"/>
    <w:rsid w:val="0088152F"/>
    <w:rsid w:val="00881822"/>
    <w:rsid w:val="00883CE5"/>
    <w:rsid w:val="008840A6"/>
    <w:rsid w:val="00894542"/>
    <w:rsid w:val="008962FB"/>
    <w:rsid w:val="008A0335"/>
    <w:rsid w:val="008B1AD7"/>
    <w:rsid w:val="008B28D0"/>
    <w:rsid w:val="008B5293"/>
    <w:rsid w:val="008B794C"/>
    <w:rsid w:val="008B7C22"/>
    <w:rsid w:val="008B7C69"/>
    <w:rsid w:val="008C08AE"/>
    <w:rsid w:val="008C3297"/>
    <w:rsid w:val="008C4FFA"/>
    <w:rsid w:val="008C53B3"/>
    <w:rsid w:val="008D3738"/>
    <w:rsid w:val="008D4D27"/>
    <w:rsid w:val="008D5799"/>
    <w:rsid w:val="008E3469"/>
    <w:rsid w:val="008E5FDE"/>
    <w:rsid w:val="008E690C"/>
    <w:rsid w:val="008E7A2D"/>
    <w:rsid w:val="008F1FF3"/>
    <w:rsid w:val="008F2471"/>
    <w:rsid w:val="008F417C"/>
    <w:rsid w:val="0090014D"/>
    <w:rsid w:val="0090571D"/>
    <w:rsid w:val="00907DC3"/>
    <w:rsid w:val="009116BE"/>
    <w:rsid w:val="009122A9"/>
    <w:rsid w:val="00912327"/>
    <w:rsid w:val="00914121"/>
    <w:rsid w:val="009207C9"/>
    <w:rsid w:val="00920E1E"/>
    <w:rsid w:val="00924388"/>
    <w:rsid w:val="00924575"/>
    <w:rsid w:val="00924ABD"/>
    <w:rsid w:val="00924B37"/>
    <w:rsid w:val="009262B4"/>
    <w:rsid w:val="00932898"/>
    <w:rsid w:val="0093482D"/>
    <w:rsid w:val="009405CE"/>
    <w:rsid w:val="00941C79"/>
    <w:rsid w:val="00954374"/>
    <w:rsid w:val="009561CA"/>
    <w:rsid w:val="00956D8B"/>
    <w:rsid w:val="0096532D"/>
    <w:rsid w:val="00965F28"/>
    <w:rsid w:val="0096608C"/>
    <w:rsid w:val="009663BA"/>
    <w:rsid w:val="0097075F"/>
    <w:rsid w:val="00976D37"/>
    <w:rsid w:val="00980EE9"/>
    <w:rsid w:val="00983ECB"/>
    <w:rsid w:val="009900B3"/>
    <w:rsid w:val="009925FA"/>
    <w:rsid w:val="00992D8E"/>
    <w:rsid w:val="009942C5"/>
    <w:rsid w:val="009963DB"/>
    <w:rsid w:val="009964F7"/>
    <w:rsid w:val="00997F36"/>
    <w:rsid w:val="009A0AA8"/>
    <w:rsid w:val="009A15D8"/>
    <w:rsid w:val="009A40BD"/>
    <w:rsid w:val="009B77F0"/>
    <w:rsid w:val="009C01FF"/>
    <w:rsid w:val="009C048F"/>
    <w:rsid w:val="009C772A"/>
    <w:rsid w:val="009D3E57"/>
    <w:rsid w:val="009D7CF9"/>
    <w:rsid w:val="009E00F2"/>
    <w:rsid w:val="009E7020"/>
    <w:rsid w:val="009E778E"/>
    <w:rsid w:val="009F10C9"/>
    <w:rsid w:val="009F20E1"/>
    <w:rsid w:val="009F2EB8"/>
    <w:rsid w:val="009F7B8F"/>
    <w:rsid w:val="00A002E0"/>
    <w:rsid w:val="00A042B8"/>
    <w:rsid w:val="00A07990"/>
    <w:rsid w:val="00A14489"/>
    <w:rsid w:val="00A14524"/>
    <w:rsid w:val="00A15485"/>
    <w:rsid w:val="00A1741B"/>
    <w:rsid w:val="00A206E1"/>
    <w:rsid w:val="00A2272E"/>
    <w:rsid w:val="00A2319A"/>
    <w:rsid w:val="00A2469C"/>
    <w:rsid w:val="00A30FBB"/>
    <w:rsid w:val="00A32F2A"/>
    <w:rsid w:val="00A35691"/>
    <w:rsid w:val="00A37701"/>
    <w:rsid w:val="00A402F6"/>
    <w:rsid w:val="00A4083C"/>
    <w:rsid w:val="00A408E2"/>
    <w:rsid w:val="00A57BD5"/>
    <w:rsid w:val="00A672AF"/>
    <w:rsid w:val="00A732F4"/>
    <w:rsid w:val="00A75189"/>
    <w:rsid w:val="00A8021D"/>
    <w:rsid w:val="00A8040C"/>
    <w:rsid w:val="00A80BF4"/>
    <w:rsid w:val="00A80F4C"/>
    <w:rsid w:val="00A87CF0"/>
    <w:rsid w:val="00A93465"/>
    <w:rsid w:val="00A93823"/>
    <w:rsid w:val="00AA0D92"/>
    <w:rsid w:val="00AA2C68"/>
    <w:rsid w:val="00AA2DD7"/>
    <w:rsid w:val="00AA36B6"/>
    <w:rsid w:val="00AA66BA"/>
    <w:rsid w:val="00AA6DE5"/>
    <w:rsid w:val="00AB13A9"/>
    <w:rsid w:val="00AB152B"/>
    <w:rsid w:val="00AB18B1"/>
    <w:rsid w:val="00AB366C"/>
    <w:rsid w:val="00AB4588"/>
    <w:rsid w:val="00AB5AB3"/>
    <w:rsid w:val="00AC11E4"/>
    <w:rsid w:val="00AC2D0F"/>
    <w:rsid w:val="00AC537A"/>
    <w:rsid w:val="00AC553A"/>
    <w:rsid w:val="00AC558C"/>
    <w:rsid w:val="00AC696A"/>
    <w:rsid w:val="00AD11D8"/>
    <w:rsid w:val="00AD28A0"/>
    <w:rsid w:val="00AE04DF"/>
    <w:rsid w:val="00AE1280"/>
    <w:rsid w:val="00AE502F"/>
    <w:rsid w:val="00AF12D0"/>
    <w:rsid w:val="00AF1695"/>
    <w:rsid w:val="00AF3296"/>
    <w:rsid w:val="00AF4E77"/>
    <w:rsid w:val="00AF51A6"/>
    <w:rsid w:val="00B00BD5"/>
    <w:rsid w:val="00B01763"/>
    <w:rsid w:val="00B024B1"/>
    <w:rsid w:val="00B02BAC"/>
    <w:rsid w:val="00B05EA6"/>
    <w:rsid w:val="00B0797B"/>
    <w:rsid w:val="00B10280"/>
    <w:rsid w:val="00B103E4"/>
    <w:rsid w:val="00B11010"/>
    <w:rsid w:val="00B1211A"/>
    <w:rsid w:val="00B16C45"/>
    <w:rsid w:val="00B171E7"/>
    <w:rsid w:val="00B1727D"/>
    <w:rsid w:val="00B24918"/>
    <w:rsid w:val="00B25707"/>
    <w:rsid w:val="00B259B1"/>
    <w:rsid w:val="00B25EDD"/>
    <w:rsid w:val="00B335AD"/>
    <w:rsid w:val="00B33C09"/>
    <w:rsid w:val="00B41757"/>
    <w:rsid w:val="00B41F05"/>
    <w:rsid w:val="00B43566"/>
    <w:rsid w:val="00B43AF0"/>
    <w:rsid w:val="00B61FC7"/>
    <w:rsid w:val="00B6250D"/>
    <w:rsid w:val="00B62798"/>
    <w:rsid w:val="00B670F3"/>
    <w:rsid w:val="00B67353"/>
    <w:rsid w:val="00B67CF4"/>
    <w:rsid w:val="00B7038B"/>
    <w:rsid w:val="00B72600"/>
    <w:rsid w:val="00B752A7"/>
    <w:rsid w:val="00B765A5"/>
    <w:rsid w:val="00B76DCF"/>
    <w:rsid w:val="00B77065"/>
    <w:rsid w:val="00B77A27"/>
    <w:rsid w:val="00B849E3"/>
    <w:rsid w:val="00B8621C"/>
    <w:rsid w:val="00B86383"/>
    <w:rsid w:val="00B90326"/>
    <w:rsid w:val="00B9599E"/>
    <w:rsid w:val="00B97D83"/>
    <w:rsid w:val="00BA31AD"/>
    <w:rsid w:val="00BA3A4C"/>
    <w:rsid w:val="00BA40FD"/>
    <w:rsid w:val="00BA43C7"/>
    <w:rsid w:val="00BB278B"/>
    <w:rsid w:val="00BB5F6D"/>
    <w:rsid w:val="00BB62EC"/>
    <w:rsid w:val="00BB63E1"/>
    <w:rsid w:val="00BB7C51"/>
    <w:rsid w:val="00BC011F"/>
    <w:rsid w:val="00BC17F3"/>
    <w:rsid w:val="00BC3CC5"/>
    <w:rsid w:val="00BC6023"/>
    <w:rsid w:val="00BC7D13"/>
    <w:rsid w:val="00BD0556"/>
    <w:rsid w:val="00BD42E6"/>
    <w:rsid w:val="00BD55F5"/>
    <w:rsid w:val="00BE0116"/>
    <w:rsid w:val="00BE0E76"/>
    <w:rsid w:val="00BE262F"/>
    <w:rsid w:val="00BE6157"/>
    <w:rsid w:val="00BF2054"/>
    <w:rsid w:val="00BF5CC5"/>
    <w:rsid w:val="00BF710F"/>
    <w:rsid w:val="00C039DF"/>
    <w:rsid w:val="00C04149"/>
    <w:rsid w:val="00C04BF8"/>
    <w:rsid w:val="00C05C78"/>
    <w:rsid w:val="00C05F22"/>
    <w:rsid w:val="00C10D3E"/>
    <w:rsid w:val="00C12266"/>
    <w:rsid w:val="00C1242C"/>
    <w:rsid w:val="00C13FEC"/>
    <w:rsid w:val="00C156C0"/>
    <w:rsid w:val="00C164FA"/>
    <w:rsid w:val="00C16632"/>
    <w:rsid w:val="00C16D8C"/>
    <w:rsid w:val="00C23D63"/>
    <w:rsid w:val="00C2426E"/>
    <w:rsid w:val="00C24532"/>
    <w:rsid w:val="00C31CFA"/>
    <w:rsid w:val="00C414A8"/>
    <w:rsid w:val="00C423ED"/>
    <w:rsid w:val="00C46F07"/>
    <w:rsid w:val="00C50F4D"/>
    <w:rsid w:val="00C515DF"/>
    <w:rsid w:val="00C51D78"/>
    <w:rsid w:val="00C57F73"/>
    <w:rsid w:val="00C60967"/>
    <w:rsid w:val="00C6106F"/>
    <w:rsid w:val="00C67593"/>
    <w:rsid w:val="00C67E3B"/>
    <w:rsid w:val="00C70267"/>
    <w:rsid w:val="00C71FBF"/>
    <w:rsid w:val="00C767B0"/>
    <w:rsid w:val="00C76DA0"/>
    <w:rsid w:val="00C77B02"/>
    <w:rsid w:val="00C77E81"/>
    <w:rsid w:val="00C801C6"/>
    <w:rsid w:val="00C80D89"/>
    <w:rsid w:val="00C81077"/>
    <w:rsid w:val="00C86672"/>
    <w:rsid w:val="00C93F21"/>
    <w:rsid w:val="00C946E1"/>
    <w:rsid w:val="00CA32BA"/>
    <w:rsid w:val="00CA345C"/>
    <w:rsid w:val="00CA4DA3"/>
    <w:rsid w:val="00CA53B1"/>
    <w:rsid w:val="00CA664F"/>
    <w:rsid w:val="00CA75C6"/>
    <w:rsid w:val="00CA7AB6"/>
    <w:rsid w:val="00CB264A"/>
    <w:rsid w:val="00CB371C"/>
    <w:rsid w:val="00CC043B"/>
    <w:rsid w:val="00CC202F"/>
    <w:rsid w:val="00CC222A"/>
    <w:rsid w:val="00CC3586"/>
    <w:rsid w:val="00CC39F5"/>
    <w:rsid w:val="00CC7120"/>
    <w:rsid w:val="00CD2C98"/>
    <w:rsid w:val="00CD35BB"/>
    <w:rsid w:val="00CD5135"/>
    <w:rsid w:val="00CD6AE0"/>
    <w:rsid w:val="00CE061E"/>
    <w:rsid w:val="00CE0AC3"/>
    <w:rsid w:val="00CE6F92"/>
    <w:rsid w:val="00CE7AF6"/>
    <w:rsid w:val="00CF379A"/>
    <w:rsid w:val="00CF3FFB"/>
    <w:rsid w:val="00CF5FAF"/>
    <w:rsid w:val="00CF7888"/>
    <w:rsid w:val="00D00036"/>
    <w:rsid w:val="00D00E8A"/>
    <w:rsid w:val="00D01568"/>
    <w:rsid w:val="00D03F0A"/>
    <w:rsid w:val="00D05455"/>
    <w:rsid w:val="00D06E1A"/>
    <w:rsid w:val="00D101A0"/>
    <w:rsid w:val="00D14F50"/>
    <w:rsid w:val="00D21D9E"/>
    <w:rsid w:val="00D232D6"/>
    <w:rsid w:val="00D237A0"/>
    <w:rsid w:val="00D23E51"/>
    <w:rsid w:val="00D27303"/>
    <w:rsid w:val="00D27C45"/>
    <w:rsid w:val="00D30902"/>
    <w:rsid w:val="00D361E6"/>
    <w:rsid w:val="00D3683A"/>
    <w:rsid w:val="00D46878"/>
    <w:rsid w:val="00D51A17"/>
    <w:rsid w:val="00D6110C"/>
    <w:rsid w:val="00D61511"/>
    <w:rsid w:val="00D61B76"/>
    <w:rsid w:val="00D62F4B"/>
    <w:rsid w:val="00D6692C"/>
    <w:rsid w:val="00D672F9"/>
    <w:rsid w:val="00D72A0A"/>
    <w:rsid w:val="00D7347D"/>
    <w:rsid w:val="00D80118"/>
    <w:rsid w:val="00D8022A"/>
    <w:rsid w:val="00D80390"/>
    <w:rsid w:val="00D80CFA"/>
    <w:rsid w:val="00D815E1"/>
    <w:rsid w:val="00D826E7"/>
    <w:rsid w:val="00D84116"/>
    <w:rsid w:val="00D858F6"/>
    <w:rsid w:val="00D95123"/>
    <w:rsid w:val="00D95D7A"/>
    <w:rsid w:val="00DA0903"/>
    <w:rsid w:val="00DA1D12"/>
    <w:rsid w:val="00DA6EC9"/>
    <w:rsid w:val="00DA798A"/>
    <w:rsid w:val="00DB12B0"/>
    <w:rsid w:val="00DB2760"/>
    <w:rsid w:val="00DB71B8"/>
    <w:rsid w:val="00DB7A28"/>
    <w:rsid w:val="00DC1B12"/>
    <w:rsid w:val="00DC449E"/>
    <w:rsid w:val="00DD0902"/>
    <w:rsid w:val="00DD1335"/>
    <w:rsid w:val="00DD512A"/>
    <w:rsid w:val="00DE316D"/>
    <w:rsid w:val="00DE3C61"/>
    <w:rsid w:val="00DE48F6"/>
    <w:rsid w:val="00DE5BED"/>
    <w:rsid w:val="00DE7F50"/>
    <w:rsid w:val="00DF0895"/>
    <w:rsid w:val="00DF3BC2"/>
    <w:rsid w:val="00DF7857"/>
    <w:rsid w:val="00E001AD"/>
    <w:rsid w:val="00E06679"/>
    <w:rsid w:val="00E076B0"/>
    <w:rsid w:val="00E1295D"/>
    <w:rsid w:val="00E13B98"/>
    <w:rsid w:val="00E14CB9"/>
    <w:rsid w:val="00E25149"/>
    <w:rsid w:val="00E2578B"/>
    <w:rsid w:val="00E27541"/>
    <w:rsid w:val="00E30313"/>
    <w:rsid w:val="00E3119F"/>
    <w:rsid w:val="00E32A3F"/>
    <w:rsid w:val="00E32EE3"/>
    <w:rsid w:val="00E35844"/>
    <w:rsid w:val="00E426FA"/>
    <w:rsid w:val="00E42AAA"/>
    <w:rsid w:val="00E45C72"/>
    <w:rsid w:val="00E50D2A"/>
    <w:rsid w:val="00E50E98"/>
    <w:rsid w:val="00E51060"/>
    <w:rsid w:val="00E5175E"/>
    <w:rsid w:val="00E5698D"/>
    <w:rsid w:val="00E56C38"/>
    <w:rsid w:val="00E616E6"/>
    <w:rsid w:val="00E62ADE"/>
    <w:rsid w:val="00E63115"/>
    <w:rsid w:val="00E65C41"/>
    <w:rsid w:val="00E67272"/>
    <w:rsid w:val="00E6730A"/>
    <w:rsid w:val="00E675F9"/>
    <w:rsid w:val="00E70025"/>
    <w:rsid w:val="00E72CEE"/>
    <w:rsid w:val="00E746CB"/>
    <w:rsid w:val="00E749E4"/>
    <w:rsid w:val="00E74A34"/>
    <w:rsid w:val="00E82484"/>
    <w:rsid w:val="00E85D8D"/>
    <w:rsid w:val="00E86E8C"/>
    <w:rsid w:val="00E922DE"/>
    <w:rsid w:val="00E9306E"/>
    <w:rsid w:val="00E936B6"/>
    <w:rsid w:val="00E9413F"/>
    <w:rsid w:val="00E955B6"/>
    <w:rsid w:val="00E97B4A"/>
    <w:rsid w:val="00EA3A82"/>
    <w:rsid w:val="00EA7D32"/>
    <w:rsid w:val="00EB1F06"/>
    <w:rsid w:val="00EB1F67"/>
    <w:rsid w:val="00EB4AFC"/>
    <w:rsid w:val="00EB58C2"/>
    <w:rsid w:val="00EB7BEE"/>
    <w:rsid w:val="00EC45E6"/>
    <w:rsid w:val="00EC6A48"/>
    <w:rsid w:val="00ED448F"/>
    <w:rsid w:val="00ED6EE0"/>
    <w:rsid w:val="00EE31A7"/>
    <w:rsid w:val="00EE5146"/>
    <w:rsid w:val="00EF4FCF"/>
    <w:rsid w:val="00EF5CF7"/>
    <w:rsid w:val="00EF5E05"/>
    <w:rsid w:val="00F02ECE"/>
    <w:rsid w:val="00F055F0"/>
    <w:rsid w:val="00F05E6E"/>
    <w:rsid w:val="00F15BC1"/>
    <w:rsid w:val="00F20B7B"/>
    <w:rsid w:val="00F2766A"/>
    <w:rsid w:val="00F37D1D"/>
    <w:rsid w:val="00F509D7"/>
    <w:rsid w:val="00F50F4A"/>
    <w:rsid w:val="00F52215"/>
    <w:rsid w:val="00F5239D"/>
    <w:rsid w:val="00F55C8C"/>
    <w:rsid w:val="00F62803"/>
    <w:rsid w:val="00F63004"/>
    <w:rsid w:val="00F64D51"/>
    <w:rsid w:val="00F64FC1"/>
    <w:rsid w:val="00F663DF"/>
    <w:rsid w:val="00F73739"/>
    <w:rsid w:val="00F752B0"/>
    <w:rsid w:val="00F80745"/>
    <w:rsid w:val="00F810E8"/>
    <w:rsid w:val="00F841F9"/>
    <w:rsid w:val="00F904EA"/>
    <w:rsid w:val="00F92E02"/>
    <w:rsid w:val="00F94A54"/>
    <w:rsid w:val="00FA1A9E"/>
    <w:rsid w:val="00FA3BC9"/>
    <w:rsid w:val="00FB0654"/>
    <w:rsid w:val="00FB0EA5"/>
    <w:rsid w:val="00FB2C6D"/>
    <w:rsid w:val="00FB2E31"/>
    <w:rsid w:val="00FB3A83"/>
    <w:rsid w:val="00FB72D3"/>
    <w:rsid w:val="00FC15FF"/>
    <w:rsid w:val="00FC660C"/>
    <w:rsid w:val="00FC754B"/>
    <w:rsid w:val="00FD0F42"/>
    <w:rsid w:val="00FD248D"/>
    <w:rsid w:val="00FD2FC1"/>
    <w:rsid w:val="00FD69C1"/>
    <w:rsid w:val="00FE461E"/>
    <w:rsid w:val="00FE6969"/>
    <w:rsid w:val="00FE6D1F"/>
    <w:rsid w:val="00FF4F0F"/>
    <w:rsid w:val="00FF707F"/>
    <w:rsid w:val="01301ECB"/>
    <w:rsid w:val="02E7FDD7"/>
    <w:rsid w:val="03992A4B"/>
    <w:rsid w:val="04847A48"/>
    <w:rsid w:val="055DBBCF"/>
    <w:rsid w:val="06C8B9E9"/>
    <w:rsid w:val="06D6ED48"/>
    <w:rsid w:val="0715FC02"/>
    <w:rsid w:val="082521D1"/>
    <w:rsid w:val="08BDC975"/>
    <w:rsid w:val="09646FE5"/>
    <w:rsid w:val="0A11489E"/>
    <w:rsid w:val="0AE5F7BD"/>
    <w:rsid w:val="0B1C523D"/>
    <w:rsid w:val="0B798699"/>
    <w:rsid w:val="0C87F823"/>
    <w:rsid w:val="0D5E6C56"/>
    <w:rsid w:val="0E1BD11F"/>
    <w:rsid w:val="10C59F89"/>
    <w:rsid w:val="13073336"/>
    <w:rsid w:val="13CC6B87"/>
    <w:rsid w:val="13F8DF38"/>
    <w:rsid w:val="14FB374E"/>
    <w:rsid w:val="15CAAE4B"/>
    <w:rsid w:val="15D5FA31"/>
    <w:rsid w:val="162BC3E0"/>
    <w:rsid w:val="162D03B1"/>
    <w:rsid w:val="19D57BBC"/>
    <w:rsid w:val="1A5A6674"/>
    <w:rsid w:val="1AB5B29B"/>
    <w:rsid w:val="1B3066E9"/>
    <w:rsid w:val="1B882349"/>
    <w:rsid w:val="1CDAAE80"/>
    <w:rsid w:val="1DC197C0"/>
    <w:rsid w:val="200EDE4B"/>
    <w:rsid w:val="2059225C"/>
    <w:rsid w:val="20E836B5"/>
    <w:rsid w:val="21543A03"/>
    <w:rsid w:val="24143EF1"/>
    <w:rsid w:val="259581B8"/>
    <w:rsid w:val="25FAC0A0"/>
    <w:rsid w:val="2603ED53"/>
    <w:rsid w:val="26AEABB4"/>
    <w:rsid w:val="2993FC9E"/>
    <w:rsid w:val="2A11A2AA"/>
    <w:rsid w:val="2D7C88C9"/>
    <w:rsid w:val="2E0B2968"/>
    <w:rsid w:val="2F265DB0"/>
    <w:rsid w:val="34C401AF"/>
    <w:rsid w:val="3568E8A2"/>
    <w:rsid w:val="36092ED6"/>
    <w:rsid w:val="372711AD"/>
    <w:rsid w:val="37A972A8"/>
    <w:rsid w:val="385C9C3C"/>
    <w:rsid w:val="388A6D05"/>
    <w:rsid w:val="3A9E762F"/>
    <w:rsid w:val="3B59E833"/>
    <w:rsid w:val="3C535B09"/>
    <w:rsid w:val="3D078412"/>
    <w:rsid w:val="3D447B95"/>
    <w:rsid w:val="3FC21159"/>
    <w:rsid w:val="403713C1"/>
    <w:rsid w:val="407E4019"/>
    <w:rsid w:val="42157C56"/>
    <w:rsid w:val="430DA0E3"/>
    <w:rsid w:val="444346F5"/>
    <w:rsid w:val="446A5460"/>
    <w:rsid w:val="47117E85"/>
    <w:rsid w:val="47244968"/>
    <w:rsid w:val="472E3454"/>
    <w:rsid w:val="4949F3C8"/>
    <w:rsid w:val="4AFCCCA5"/>
    <w:rsid w:val="4D9916B5"/>
    <w:rsid w:val="4DEFF7F1"/>
    <w:rsid w:val="4E91D056"/>
    <w:rsid w:val="51030D04"/>
    <w:rsid w:val="53759B23"/>
    <w:rsid w:val="55BF31D4"/>
    <w:rsid w:val="56021FCE"/>
    <w:rsid w:val="572D7092"/>
    <w:rsid w:val="580B21C8"/>
    <w:rsid w:val="591B630F"/>
    <w:rsid w:val="5CA568C5"/>
    <w:rsid w:val="5E878D6F"/>
    <w:rsid w:val="5FAEC7E9"/>
    <w:rsid w:val="618C0DC2"/>
    <w:rsid w:val="6618837D"/>
    <w:rsid w:val="66430724"/>
    <w:rsid w:val="66C02B9C"/>
    <w:rsid w:val="6751E58C"/>
    <w:rsid w:val="67824F9D"/>
    <w:rsid w:val="67F732A6"/>
    <w:rsid w:val="6E304CE0"/>
    <w:rsid w:val="7108DCDF"/>
    <w:rsid w:val="72D9191A"/>
    <w:rsid w:val="7329CD6E"/>
    <w:rsid w:val="73B477FA"/>
    <w:rsid w:val="74011400"/>
    <w:rsid w:val="74A7626B"/>
    <w:rsid w:val="7594C40C"/>
    <w:rsid w:val="766FB536"/>
    <w:rsid w:val="7874D287"/>
    <w:rsid w:val="787937C2"/>
    <w:rsid w:val="7907FD33"/>
    <w:rsid w:val="7A31C186"/>
    <w:rsid w:val="7BAD8235"/>
    <w:rsid w:val="7E8FB1A0"/>
    <w:rsid w:val="7ED46795"/>
    <w:rsid w:val="7EECCA1F"/>
    <w:rsid w:val="7F7ADA49"/>
    <w:rsid w:val="7F7DF51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8893CE5"/>
  <w15:chartTrackingRefBased/>
  <w15:docId w15:val="{8CBD0CB3-BD4D-4FBF-B56C-65B79869C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E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4E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4E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4E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4E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4E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4E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4E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4E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E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4E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4E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4E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E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E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E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E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E05"/>
    <w:rPr>
      <w:rFonts w:eastAsiaTheme="majorEastAsia" w:cstheme="majorBidi"/>
      <w:color w:val="272727" w:themeColor="text1" w:themeTint="D8"/>
    </w:rPr>
  </w:style>
  <w:style w:type="paragraph" w:styleId="Title">
    <w:name w:val="Title"/>
    <w:basedOn w:val="Normal"/>
    <w:next w:val="Normal"/>
    <w:link w:val="TitleChar"/>
    <w:uiPriority w:val="10"/>
    <w:qFormat/>
    <w:rsid w:val="00524E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E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E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4E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E05"/>
    <w:pPr>
      <w:spacing w:before="160"/>
      <w:jc w:val="center"/>
    </w:pPr>
    <w:rPr>
      <w:i/>
      <w:iCs/>
      <w:color w:val="404040" w:themeColor="text1" w:themeTint="BF"/>
    </w:rPr>
  </w:style>
  <w:style w:type="character" w:customStyle="1" w:styleId="QuoteChar">
    <w:name w:val="Quote Char"/>
    <w:basedOn w:val="DefaultParagraphFont"/>
    <w:link w:val="Quote"/>
    <w:uiPriority w:val="29"/>
    <w:rsid w:val="00524E05"/>
    <w:rPr>
      <w:i/>
      <w:iCs/>
      <w:color w:val="404040" w:themeColor="text1" w:themeTint="BF"/>
    </w:rPr>
  </w:style>
  <w:style w:type="paragraph" w:styleId="ListParagraph">
    <w:name w:val="List Paragraph"/>
    <w:basedOn w:val="Normal"/>
    <w:uiPriority w:val="34"/>
    <w:qFormat/>
    <w:rsid w:val="00524E05"/>
    <w:pPr>
      <w:ind w:left="720"/>
      <w:contextualSpacing/>
    </w:pPr>
  </w:style>
  <w:style w:type="character" w:styleId="IntenseEmphasis">
    <w:name w:val="Intense Emphasis"/>
    <w:basedOn w:val="DefaultParagraphFont"/>
    <w:uiPriority w:val="21"/>
    <w:qFormat/>
    <w:rsid w:val="00524E05"/>
    <w:rPr>
      <w:i/>
      <w:iCs/>
      <w:color w:val="0F4761" w:themeColor="accent1" w:themeShade="BF"/>
    </w:rPr>
  </w:style>
  <w:style w:type="paragraph" w:styleId="IntenseQuote">
    <w:name w:val="Intense Quote"/>
    <w:basedOn w:val="Normal"/>
    <w:next w:val="Normal"/>
    <w:link w:val="IntenseQuoteChar"/>
    <w:uiPriority w:val="30"/>
    <w:qFormat/>
    <w:rsid w:val="00524E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4E05"/>
    <w:rPr>
      <w:i/>
      <w:iCs/>
      <w:color w:val="0F4761" w:themeColor="accent1" w:themeShade="BF"/>
    </w:rPr>
  </w:style>
  <w:style w:type="character" w:styleId="IntenseReference">
    <w:name w:val="Intense Reference"/>
    <w:basedOn w:val="DefaultParagraphFont"/>
    <w:uiPriority w:val="32"/>
    <w:qFormat/>
    <w:rsid w:val="00524E05"/>
    <w:rPr>
      <w:b/>
      <w:bCs/>
      <w:smallCaps/>
      <w:color w:val="0F4761" w:themeColor="accent1" w:themeShade="BF"/>
      <w:spacing w:val="5"/>
    </w:rPr>
  </w:style>
  <w:style w:type="paragraph" w:styleId="Bibliography">
    <w:name w:val="Bibliography"/>
    <w:basedOn w:val="Normal"/>
    <w:next w:val="Normal"/>
    <w:uiPriority w:val="37"/>
    <w:unhideWhenUsed/>
    <w:rsid w:val="0056031E"/>
  </w:style>
  <w:style w:type="character" w:styleId="Emphasis">
    <w:name w:val="Emphasis"/>
    <w:basedOn w:val="DefaultParagraphFont"/>
    <w:uiPriority w:val="20"/>
    <w:qFormat/>
    <w:rsid w:val="000F088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899974">
      <w:bodyDiv w:val="1"/>
      <w:marLeft w:val="0"/>
      <w:marRight w:val="0"/>
      <w:marTop w:val="0"/>
      <w:marBottom w:val="0"/>
      <w:divBdr>
        <w:top w:val="none" w:sz="0" w:space="0" w:color="auto"/>
        <w:left w:val="none" w:sz="0" w:space="0" w:color="auto"/>
        <w:bottom w:val="none" w:sz="0" w:space="0" w:color="auto"/>
        <w:right w:val="none" w:sz="0" w:space="0" w:color="auto"/>
      </w:divBdr>
    </w:div>
    <w:div w:id="43720301">
      <w:bodyDiv w:val="1"/>
      <w:marLeft w:val="0"/>
      <w:marRight w:val="0"/>
      <w:marTop w:val="0"/>
      <w:marBottom w:val="0"/>
      <w:divBdr>
        <w:top w:val="none" w:sz="0" w:space="0" w:color="auto"/>
        <w:left w:val="none" w:sz="0" w:space="0" w:color="auto"/>
        <w:bottom w:val="none" w:sz="0" w:space="0" w:color="auto"/>
        <w:right w:val="none" w:sz="0" w:space="0" w:color="auto"/>
      </w:divBdr>
    </w:div>
    <w:div w:id="80565910">
      <w:bodyDiv w:val="1"/>
      <w:marLeft w:val="0"/>
      <w:marRight w:val="0"/>
      <w:marTop w:val="0"/>
      <w:marBottom w:val="0"/>
      <w:divBdr>
        <w:top w:val="none" w:sz="0" w:space="0" w:color="auto"/>
        <w:left w:val="none" w:sz="0" w:space="0" w:color="auto"/>
        <w:bottom w:val="none" w:sz="0" w:space="0" w:color="auto"/>
        <w:right w:val="none" w:sz="0" w:space="0" w:color="auto"/>
      </w:divBdr>
    </w:div>
    <w:div w:id="141235811">
      <w:bodyDiv w:val="1"/>
      <w:marLeft w:val="0"/>
      <w:marRight w:val="0"/>
      <w:marTop w:val="0"/>
      <w:marBottom w:val="0"/>
      <w:divBdr>
        <w:top w:val="none" w:sz="0" w:space="0" w:color="auto"/>
        <w:left w:val="none" w:sz="0" w:space="0" w:color="auto"/>
        <w:bottom w:val="none" w:sz="0" w:space="0" w:color="auto"/>
        <w:right w:val="none" w:sz="0" w:space="0" w:color="auto"/>
      </w:divBdr>
    </w:div>
    <w:div w:id="155849927">
      <w:bodyDiv w:val="1"/>
      <w:marLeft w:val="0"/>
      <w:marRight w:val="0"/>
      <w:marTop w:val="0"/>
      <w:marBottom w:val="0"/>
      <w:divBdr>
        <w:top w:val="none" w:sz="0" w:space="0" w:color="auto"/>
        <w:left w:val="none" w:sz="0" w:space="0" w:color="auto"/>
        <w:bottom w:val="none" w:sz="0" w:space="0" w:color="auto"/>
        <w:right w:val="none" w:sz="0" w:space="0" w:color="auto"/>
      </w:divBdr>
    </w:div>
    <w:div w:id="157382738">
      <w:bodyDiv w:val="1"/>
      <w:marLeft w:val="0"/>
      <w:marRight w:val="0"/>
      <w:marTop w:val="0"/>
      <w:marBottom w:val="0"/>
      <w:divBdr>
        <w:top w:val="none" w:sz="0" w:space="0" w:color="auto"/>
        <w:left w:val="none" w:sz="0" w:space="0" w:color="auto"/>
        <w:bottom w:val="none" w:sz="0" w:space="0" w:color="auto"/>
        <w:right w:val="none" w:sz="0" w:space="0" w:color="auto"/>
      </w:divBdr>
    </w:div>
    <w:div w:id="202795928">
      <w:bodyDiv w:val="1"/>
      <w:marLeft w:val="0"/>
      <w:marRight w:val="0"/>
      <w:marTop w:val="0"/>
      <w:marBottom w:val="0"/>
      <w:divBdr>
        <w:top w:val="none" w:sz="0" w:space="0" w:color="auto"/>
        <w:left w:val="none" w:sz="0" w:space="0" w:color="auto"/>
        <w:bottom w:val="none" w:sz="0" w:space="0" w:color="auto"/>
        <w:right w:val="none" w:sz="0" w:space="0" w:color="auto"/>
      </w:divBdr>
    </w:div>
    <w:div w:id="209657689">
      <w:bodyDiv w:val="1"/>
      <w:marLeft w:val="0"/>
      <w:marRight w:val="0"/>
      <w:marTop w:val="0"/>
      <w:marBottom w:val="0"/>
      <w:divBdr>
        <w:top w:val="none" w:sz="0" w:space="0" w:color="auto"/>
        <w:left w:val="none" w:sz="0" w:space="0" w:color="auto"/>
        <w:bottom w:val="none" w:sz="0" w:space="0" w:color="auto"/>
        <w:right w:val="none" w:sz="0" w:space="0" w:color="auto"/>
      </w:divBdr>
    </w:div>
    <w:div w:id="244536773">
      <w:bodyDiv w:val="1"/>
      <w:marLeft w:val="0"/>
      <w:marRight w:val="0"/>
      <w:marTop w:val="0"/>
      <w:marBottom w:val="0"/>
      <w:divBdr>
        <w:top w:val="none" w:sz="0" w:space="0" w:color="auto"/>
        <w:left w:val="none" w:sz="0" w:space="0" w:color="auto"/>
        <w:bottom w:val="none" w:sz="0" w:space="0" w:color="auto"/>
        <w:right w:val="none" w:sz="0" w:space="0" w:color="auto"/>
      </w:divBdr>
    </w:div>
    <w:div w:id="379131075">
      <w:bodyDiv w:val="1"/>
      <w:marLeft w:val="0"/>
      <w:marRight w:val="0"/>
      <w:marTop w:val="0"/>
      <w:marBottom w:val="0"/>
      <w:divBdr>
        <w:top w:val="none" w:sz="0" w:space="0" w:color="auto"/>
        <w:left w:val="none" w:sz="0" w:space="0" w:color="auto"/>
        <w:bottom w:val="none" w:sz="0" w:space="0" w:color="auto"/>
        <w:right w:val="none" w:sz="0" w:space="0" w:color="auto"/>
      </w:divBdr>
    </w:div>
    <w:div w:id="386956397">
      <w:bodyDiv w:val="1"/>
      <w:marLeft w:val="0"/>
      <w:marRight w:val="0"/>
      <w:marTop w:val="0"/>
      <w:marBottom w:val="0"/>
      <w:divBdr>
        <w:top w:val="none" w:sz="0" w:space="0" w:color="auto"/>
        <w:left w:val="none" w:sz="0" w:space="0" w:color="auto"/>
        <w:bottom w:val="none" w:sz="0" w:space="0" w:color="auto"/>
        <w:right w:val="none" w:sz="0" w:space="0" w:color="auto"/>
      </w:divBdr>
    </w:div>
    <w:div w:id="509225190">
      <w:bodyDiv w:val="1"/>
      <w:marLeft w:val="0"/>
      <w:marRight w:val="0"/>
      <w:marTop w:val="0"/>
      <w:marBottom w:val="0"/>
      <w:divBdr>
        <w:top w:val="none" w:sz="0" w:space="0" w:color="auto"/>
        <w:left w:val="none" w:sz="0" w:space="0" w:color="auto"/>
        <w:bottom w:val="none" w:sz="0" w:space="0" w:color="auto"/>
        <w:right w:val="none" w:sz="0" w:space="0" w:color="auto"/>
      </w:divBdr>
    </w:div>
    <w:div w:id="544677767">
      <w:bodyDiv w:val="1"/>
      <w:marLeft w:val="0"/>
      <w:marRight w:val="0"/>
      <w:marTop w:val="0"/>
      <w:marBottom w:val="0"/>
      <w:divBdr>
        <w:top w:val="none" w:sz="0" w:space="0" w:color="auto"/>
        <w:left w:val="none" w:sz="0" w:space="0" w:color="auto"/>
        <w:bottom w:val="none" w:sz="0" w:space="0" w:color="auto"/>
        <w:right w:val="none" w:sz="0" w:space="0" w:color="auto"/>
      </w:divBdr>
    </w:div>
    <w:div w:id="558056561">
      <w:bodyDiv w:val="1"/>
      <w:marLeft w:val="0"/>
      <w:marRight w:val="0"/>
      <w:marTop w:val="0"/>
      <w:marBottom w:val="0"/>
      <w:divBdr>
        <w:top w:val="none" w:sz="0" w:space="0" w:color="auto"/>
        <w:left w:val="none" w:sz="0" w:space="0" w:color="auto"/>
        <w:bottom w:val="none" w:sz="0" w:space="0" w:color="auto"/>
        <w:right w:val="none" w:sz="0" w:space="0" w:color="auto"/>
      </w:divBdr>
    </w:div>
    <w:div w:id="601842381">
      <w:bodyDiv w:val="1"/>
      <w:marLeft w:val="0"/>
      <w:marRight w:val="0"/>
      <w:marTop w:val="0"/>
      <w:marBottom w:val="0"/>
      <w:divBdr>
        <w:top w:val="none" w:sz="0" w:space="0" w:color="auto"/>
        <w:left w:val="none" w:sz="0" w:space="0" w:color="auto"/>
        <w:bottom w:val="none" w:sz="0" w:space="0" w:color="auto"/>
        <w:right w:val="none" w:sz="0" w:space="0" w:color="auto"/>
      </w:divBdr>
    </w:div>
    <w:div w:id="614560891">
      <w:bodyDiv w:val="1"/>
      <w:marLeft w:val="0"/>
      <w:marRight w:val="0"/>
      <w:marTop w:val="0"/>
      <w:marBottom w:val="0"/>
      <w:divBdr>
        <w:top w:val="none" w:sz="0" w:space="0" w:color="auto"/>
        <w:left w:val="none" w:sz="0" w:space="0" w:color="auto"/>
        <w:bottom w:val="none" w:sz="0" w:space="0" w:color="auto"/>
        <w:right w:val="none" w:sz="0" w:space="0" w:color="auto"/>
      </w:divBdr>
    </w:div>
    <w:div w:id="639305111">
      <w:bodyDiv w:val="1"/>
      <w:marLeft w:val="0"/>
      <w:marRight w:val="0"/>
      <w:marTop w:val="0"/>
      <w:marBottom w:val="0"/>
      <w:divBdr>
        <w:top w:val="none" w:sz="0" w:space="0" w:color="auto"/>
        <w:left w:val="none" w:sz="0" w:space="0" w:color="auto"/>
        <w:bottom w:val="none" w:sz="0" w:space="0" w:color="auto"/>
        <w:right w:val="none" w:sz="0" w:space="0" w:color="auto"/>
      </w:divBdr>
    </w:div>
    <w:div w:id="640156156">
      <w:bodyDiv w:val="1"/>
      <w:marLeft w:val="0"/>
      <w:marRight w:val="0"/>
      <w:marTop w:val="0"/>
      <w:marBottom w:val="0"/>
      <w:divBdr>
        <w:top w:val="none" w:sz="0" w:space="0" w:color="auto"/>
        <w:left w:val="none" w:sz="0" w:space="0" w:color="auto"/>
        <w:bottom w:val="none" w:sz="0" w:space="0" w:color="auto"/>
        <w:right w:val="none" w:sz="0" w:space="0" w:color="auto"/>
      </w:divBdr>
    </w:div>
    <w:div w:id="642126843">
      <w:bodyDiv w:val="1"/>
      <w:marLeft w:val="0"/>
      <w:marRight w:val="0"/>
      <w:marTop w:val="0"/>
      <w:marBottom w:val="0"/>
      <w:divBdr>
        <w:top w:val="none" w:sz="0" w:space="0" w:color="auto"/>
        <w:left w:val="none" w:sz="0" w:space="0" w:color="auto"/>
        <w:bottom w:val="none" w:sz="0" w:space="0" w:color="auto"/>
        <w:right w:val="none" w:sz="0" w:space="0" w:color="auto"/>
      </w:divBdr>
    </w:div>
    <w:div w:id="662204303">
      <w:bodyDiv w:val="1"/>
      <w:marLeft w:val="0"/>
      <w:marRight w:val="0"/>
      <w:marTop w:val="0"/>
      <w:marBottom w:val="0"/>
      <w:divBdr>
        <w:top w:val="none" w:sz="0" w:space="0" w:color="auto"/>
        <w:left w:val="none" w:sz="0" w:space="0" w:color="auto"/>
        <w:bottom w:val="none" w:sz="0" w:space="0" w:color="auto"/>
        <w:right w:val="none" w:sz="0" w:space="0" w:color="auto"/>
      </w:divBdr>
    </w:div>
    <w:div w:id="691079649">
      <w:bodyDiv w:val="1"/>
      <w:marLeft w:val="0"/>
      <w:marRight w:val="0"/>
      <w:marTop w:val="0"/>
      <w:marBottom w:val="0"/>
      <w:divBdr>
        <w:top w:val="none" w:sz="0" w:space="0" w:color="auto"/>
        <w:left w:val="none" w:sz="0" w:space="0" w:color="auto"/>
        <w:bottom w:val="none" w:sz="0" w:space="0" w:color="auto"/>
        <w:right w:val="none" w:sz="0" w:space="0" w:color="auto"/>
      </w:divBdr>
    </w:div>
    <w:div w:id="711343381">
      <w:bodyDiv w:val="1"/>
      <w:marLeft w:val="0"/>
      <w:marRight w:val="0"/>
      <w:marTop w:val="0"/>
      <w:marBottom w:val="0"/>
      <w:divBdr>
        <w:top w:val="none" w:sz="0" w:space="0" w:color="auto"/>
        <w:left w:val="none" w:sz="0" w:space="0" w:color="auto"/>
        <w:bottom w:val="none" w:sz="0" w:space="0" w:color="auto"/>
        <w:right w:val="none" w:sz="0" w:space="0" w:color="auto"/>
      </w:divBdr>
    </w:div>
    <w:div w:id="870338418">
      <w:bodyDiv w:val="1"/>
      <w:marLeft w:val="0"/>
      <w:marRight w:val="0"/>
      <w:marTop w:val="0"/>
      <w:marBottom w:val="0"/>
      <w:divBdr>
        <w:top w:val="none" w:sz="0" w:space="0" w:color="auto"/>
        <w:left w:val="none" w:sz="0" w:space="0" w:color="auto"/>
        <w:bottom w:val="none" w:sz="0" w:space="0" w:color="auto"/>
        <w:right w:val="none" w:sz="0" w:space="0" w:color="auto"/>
      </w:divBdr>
    </w:div>
    <w:div w:id="894901199">
      <w:bodyDiv w:val="1"/>
      <w:marLeft w:val="0"/>
      <w:marRight w:val="0"/>
      <w:marTop w:val="0"/>
      <w:marBottom w:val="0"/>
      <w:divBdr>
        <w:top w:val="none" w:sz="0" w:space="0" w:color="auto"/>
        <w:left w:val="none" w:sz="0" w:space="0" w:color="auto"/>
        <w:bottom w:val="none" w:sz="0" w:space="0" w:color="auto"/>
        <w:right w:val="none" w:sz="0" w:space="0" w:color="auto"/>
      </w:divBdr>
    </w:div>
    <w:div w:id="946347769">
      <w:bodyDiv w:val="1"/>
      <w:marLeft w:val="0"/>
      <w:marRight w:val="0"/>
      <w:marTop w:val="0"/>
      <w:marBottom w:val="0"/>
      <w:divBdr>
        <w:top w:val="none" w:sz="0" w:space="0" w:color="auto"/>
        <w:left w:val="none" w:sz="0" w:space="0" w:color="auto"/>
        <w:bottom w:val="none" w:sz="0" w:space="0" w:color="auto"/>
        <w:right w:val="none" w:sz="0" w:space="0" w:color="auto"/>
      </w:divBdr>
    </w:div>
    <w:div w:id="1069113829">
      <w:bodyDiv w:val="1"/>
      <w:marLeft w:val="0"/>
      <w:marRight w:val="0"/>
      <w:marTop w:val="0"/>
      <w:marBottom w:val="0"/>
      <w:divBdr>
        <w:top w:val="none" w:sz="0" w:space="0" w:color="auto"/>
        <w:left w:val="none" w:sz="0" w:space="0" w:color="auto"/>
        <w:bottom w:val="none" w:sz="0" w:space="0" w:color="auto"/>
        <w:right w:val="none" w:sz="0" w:space="0" w:color="auto"/>
      </w:divBdr>
    </w:div>
    <w:div w:id="1086999465">
      <w:bodyDiv w:val="1"/>
      <w:marLeft w:val="0"/>
      <w:marRight w:val="0"/>
      <w:marTop w:val="0"/>
      <w:marBottom w:val="0"/>
      <w:divBdr>
        <w:top w:val="none" w:sz="0" w:space="0" w:color="auto"/>
        <w:left w:val="none" w:sz="0" w:space="0" w:color="auto"/>
        <w:bottom w:val="none" w:sz="0" w:space="0" w:color="auto"/>
        <w:right w:val="none" w:sz="0" w:space="0" w:color="auto"/>
      </w:divBdr>
    </w:div>
    <w:div w:id="1135637853">
      <w:bodyDiv w:val="1"/>
      <w:marLeft w:val="0"/>
      <w:marRight w:val="0"/>
      <w:marTop w:val="0"/>
      <w:marBottom w:val="0"/>
      <w:divBdr>
        <w:top w:val="none" w:sz="0" w:space="0" w:color="auto"/>
        <w:left w:val="none" w:sz="0" w:space="0" w:color="auto"/>
        <w:bottom w:val="none" w:sz="0" w:space="0" w:color="auto"/>
        <w:right w:val="none" w:sz="0" w:space="0" w:color="auto"/>
      </w:divBdr>
    </w:div>
    <w:div w:id="1150099172">
      <w:bodyDiv w:val="1"/>
      <w:marLeft w:val="0"/>
      <w:marRight w:val="0"/>
      <w:marTop w:val="0"/>
      <w:marBottom w:val="0"/>
      <w:divBdr>
        <w:top w:val="none" w:sz="0" w:space="0" w:color="auto"/>
        <w:left w:val="none" w:sz="0" w:space="0" w:color="auto"/>
        <w:bottom w:val="none" w:sz="0" w:space="0" w:color="auto"/>
        <w:right w:val="none" w:sz="0" w:space="0" w:color="auto"/>
      </w:divBdr>
    </w:div>
    <w:div w:id="1162505021">
      <w:bodyDiv w:val="1"/>
      <w:marLeft w:val="0"/>
      <w:marRight w:val="0"/>
      <w:marTop w:val="0"/>
      <w:marBottom w:val="0"/>
      <w:divBdr>
        <w:top w:val="none" w:sz="0" w:space="0" w:color="auto"/>
        <w:left w:val="none" w:sz="0" w:space="0" w:color="auto"/>
        <w:bottom w:val="none" w:sz="0" w:space="0" w:color="auto"/>
        <w:right w:val="none" w:sz="0" w:space="0" w:color="auto"/>
      </w:divBdr>
    </w:div>
    <w:div w:id="1198280316">
      <w:bodyDiv w:val="1"/>
      <w:marLeft w:val="0"/>
      <w:marRight w:val="0"/>
      <w:marTop w:val="0"/>
      <w:marBottom w:val="0"/>
      <w:divBdr>
        <w:top w:val="none" w:sz="0" w:space="0" w:color="auto"/>
        <w:left w:val="none" w:sz="0" w:space="0" w:color="auto"/>
        <w:bottom w:val="none" w:sz="0" w:space="0" w:color="auto"/>
        <w:right w:val="none" w:sz="0" w:space="0" w:color="auto"/>
      </w:divBdr>
    </w:div>
    <w:div w:id="1199466852">
      <w:bodyDiv w:val="1"/>
      <w:marLeft w:val="0"/>
      <w:marRight w:val="0"/>
      <w:marTop w:val="0"/>
      <w:marBottom w:val="0"/>
      <w:divBdr>
        <w:top w:val="none" w:sz="0" w:space="0" w:color="auto"/>
        <w:left w:val="none" w:sz="0" w:space="0" w:color="auto"/>
        <w:bottom w:val="none" w:sz="0" w:space="0" w:color="auto"/>
        <w:right w:val="none" w:sz="0" w:space="0" w:color="auto"/>
      </w:divBdr>
    </w:div>
    <w:div w:id="1368145390">
      <w:bodyDiv w:val="1"/>
      <w:marLeft w:val="0"/>
      <w:marRight w:val="0"/>
      <w:marTop w:val="0"/>
      <w:marBottom w:val="0"/>
      <w:divBdr>
        <w:top w:val="none" w:sz="0" w:space="0" w:color="auto"/>
        <w:left w:val="none" w:sz="0" w:space="0" w:color="auto"/>
        <w:bottom w:val="none" w:sz="0" w:space="0" w:color="auto"/>
        <w:right w:val="none" w:sz="0" w:space="0" w:color="auto"/>
      </w:divBdr>
    </w:div>
    <w:div w:id="1394352906">
      <w:bodyDiv w:val="1"/>
      <w:marLeft w:val="0"/>
      <w:marRight w:val="0"/>
      <w:marTop w:val="0"/>
      <w:marBottom w:val="0"/>
      <w:divBdr>
        <w:top w:val="none" w:sz="0" w:space="0" w:color="auto"/>
        <w:left w:val="none" w:sz="0" w:space="0" w:color="auto"/>
        <w:bottom w:val="none" w:sz="0" w:space="0" w:color="auto"/>
        <w:right w:val="none" w:sz="0" w:space="0" w:color="auto"/>
      </w:divBdr>
    </w:div>
    <w:div w:id="1439443615">
      <w:bodyDiv w:val="1"/>
      <w:marLeft w:val="0"/>
      <w:marRight w:val="0"/>
      <w:marTop w:val="0"/>
      <w:marBottom w:val="0"/>
      <w:divBdr>
        <w:top w:val="none" w:sz="0" w:space="0" w:color="auto"/>
        <w:left w:val="none" w:sz="0" w:space="0" w:color="auto"/>
        <w:bottom w:val="none" w:sz="0" w:space="0" w:color="auto"/>
        <w:right w:val="none" w:sz="0" w:space="0" w:color="auto"/>
      </w:divBdr>
    </w:div>
    <w:div w:id="1519928784">
      <w:bodyDiv w:val="1"/>
      <w:marLeft w:val="0"/>
      <w:marRight w:val="0"/>
      <w:marTop w:val="0"/>
      <w:marBottom w:val="0"/>
      <w:divBdr>
        <w:top w:val="none" w:sz="0" w:space="0" w:color="auto"/>
        <w:left w:val="none" w:sz="0" w:space="0" w:color="auto"/>
        <w:bottom w:val="none" w:sz="0" w:space="0" w:color="auto"/>
        <w:right w:val="none" w:sz="0" w:space="0" w:color="auto"/>
      </w:divBdr>
    </w:div>
    <w:div w:id="1548226295">
      <w:bodyDiv w:val="1"/>
      <w:marLeft w:val="0"/>
      <w:marRight w:val="0"/>
      <w:marTop w:val="0"/>
      <w:marBottom w:val="0"/>
      <w:divBdr>
        <w:top w:val="none" w:sz="0" w:space="0" w:color="auto"/>
        <w:left w:val="none" w:sz="0" w:space="0" w:color="auto"/>
        <w:bottom w:val="none" w:sz="0" w:space="0" w:color="auto"/>
        <w:right w:val="none" w:sz="0" w:space="0" w:color="auto"/>
      </w:divBdr>
    </w:div>
    <w:div w:id="1577742074">
      <w:bodyDiv w:val="1"/>
      <w:marLeft w:val="0"/>
      <w:marRight w:val="0"/>
      <w:marTop w:val="0"/>
      <w:marBottom w:val="0"/>
      <w:divBdr>
        <w:top w:val="none" w:sz="0" w:space="0" w:color="auto"/>
        <w:left w:val="none" w:sz="0" w:space="0" w:color="auto"/>
        <w:bottom w:val="none" w:sz="0" w:space="0" w:color="auto"/>
        <w:right w:val="none" w:sz="0" w:space="0" w:color="auto"/>
      </w:divBdr>
    </w:div>
    <w:div w:id="1624577246">
      <w:bodyDiv w:val="1"/>
      <w:marLeft w:val="0"/>
      <w:marRight w:val="0"/>
      <w:marTop w:val="0"/>
      <w:marBottom w:val="0"/>
      <w:divBdr>
        <w:top w:val="none" w:sz="0" w:space="0" w:color="auto"/>
        <w:left w:val="none" w:sz="0" w:space="0" w:color="auto"/>
        <w:bottom w:val="none" w:sz="0" w:space="0" w:color="auto"/>
        <w:right w:val="none" w:sz="0" w:space="0" w:color="auto"/>
      </w:divBdr>
    </w:div>
    <w:div w:id="1708795953">
      <w:bodyDiv w:val="1"/>
      <w:marLeft w:val="0"/>
      <w:marRight w:val="0"/>
      <w:marTop w:val="0"/>
      <w:marBottom w:val="0"/>
      <w:divBdr>
        <w:top w:val="none" w:sz="0" w:space="0" w:color="auto"/>
        <w:left w:val="none" w:sz="0" w:space="0" w:color="auto"/>
        <w:bottom w:val="none" w:sz="0" w:space="0" w:color="auto"/>
        <w:right w:val="none" w:sz="0" w:space="0" w:color="auto"/>
      </w:divBdr>
    </w:div>
    <w:div w:id="1747072528">
      <w:bodyDiv w:val="1"/>
      <w:marLeft w:val="0"/>
      <w:marRight w:val="0"/>
      <w:marTop w:val="0"/>
      <w:marBottom w:val="0"/>
      <w:divBdr>
        <w:top w:val="none" w:sz="0" w:space="0" w:color="auto"/>
        <w:left w:val="none" w:sz="0" w:space="0" w:color="auto"/>
        <w:bottom w:val="none" w:sz="0" w:space="0" w:color="auto"/>
        <w:right w:val="none" w:sz="0" w:space="0" w:color="auto"/>
      </w:divBdr>
    </w:div>
    <w:div w:id="1751006407">
      <w:bodyDiv w:val="1"/>
      <w:marLeft w:val="0"/>
      <w:marRight w:val="0"/>
      <w:marTop w:val="0"/>
      <w:marBottom w:val="0"/>
      <w:divBdr>
        <w:top w:val="none" w:sz="0" w:space="0" w:color="auto"/>
        <w:left w:val="none" w:sz="0" w:space="0" w:color="auto"/>
        <w:bottom w:val="none" w:sz="0" w:space="0" w:color="auto"/>
        <w:right w:val="none" w:sz="0" w:space="0" w:color="auto"/>
      </w:divBdr>
    </w:div>
    <w:div w:id="1789351489">
      <w:bodyDiv w:val="1"/>
      <w:marLeft w:val="0"/>
      <w:marRight w:val="0"/>
      <w:marTop w:val="0"/>
      <w:marBottom w:val="0"/>
      <w:divBdr>
        <w:top w:val="none" w:sz="0" w:space="0" w:color="auto"/>
        <w:left w:val="none" w:sz="0" w:space="0" w:color="auto"/>
        <w:bottom w:val="none" w:sz="0" w:space="0" w:color="auto"/>
        <w:right w:val="none" w:sz="0" w:space="0" w:color="auto"/>
      </w:divBdr>
    </w:div>
    <w:div w:id="1844935030">
      <w:bodyDiv w:val="1"/>
      <w:marLeft w:val="0"/>
      <w:marRight w:val="0"/>
      <w:marTop w:val="0"/>
      <w:marBottom w:val="0"/>
      <w:divBdr>
        <w:top w:val="none" w:sz="0" w:space="0" w:color="auto"/>
        <w:left w:val="none" w:sz="0" w:space="0" w:color="auto"/>
        <w:bottom w:val="none" w:sz="0" w:space="0" w:color="auto"/>
        <w:right w:val="none" w:sz="0" w:space="0" w:color="auto"/>
      </w:divBdr>
    </w:div>
    <w:div w:id="1852915310">
      <w:bodyDiv w:val="1"/>
      <w:marLeft w:val="0"/>
      <w:marRight w:val="0"/>
      <w:marTop w:val="0"/>
      <w:marBottom w:val="0"/>
      <w:divBdr>
        <w:top w:val="none" w:sz="0" w:space="0" w:color="auto"/>
        <w:left w:val="none" w:sz="0" w:space="0" w:color="auto"/>
        <w:bottom w:val="none" w:sz="0" w:space="0" w:color="auto"/>
        <w:right w:val="none" w:sz="0" w:space="0" w:color="auto"/>
      </w:divBdr>
    </w:div>
    <w:div w:id="1879856899">
      <w:bodyDiv w:val="1"/>
      <w:marLeft w:val="0"/>
      <w:marRight w:val="0"/>
      <w:marTop w:val="0"/>
      <w:marBottom w:val="0"/>
      <w:divBdr>
        <w:top w:val="none" w:sz="0" w:space="0" w:color="auto"/>
        <w:left w:val="none" w:sz="0" w:space="0" w:color="auto"/>
        <w:bottom w:val="none" w:sz="0" w:space="0" w:color="auto"/>
        <w:right w:val="none" w:sz="0" w:space="0" w:color="auto"/>
      </w:divBdr>
    </w:div>
    <w:div w:id="1887717534">
      <w:bodyDiv w:val="1"/>
      <w:marLeft w:val="0"/>
      <w:marRight w:val="0"/>
      <w:marTop w:val="0"/>
      <w:marBottom w:val="0"/>
      <w:divBdr>
        <w:top w:val="none" w:sz="0" w:space="0" w:color="auto"/>
        <w:left w:val="none" w:sz="0" w:space="0" w:color="auto"/>
        <w:bottom w:val="none" w:sz="0" w:space="0" w:color="auto"/>
        <w:right w:val="none" w:sz="0" w:space="0" w:color="auto"/>
      </w:divBdr>
    </w:div>
    <w:div w:id="1944023567">
      <w:bodyDiv w:val="1"/>
      <w:marLeft w:val="0"/>
      <w:marRight w:val="0"/>
      <w:marTop w:val="0"/>
      <w:marBottom w:val="0"/>
      <w:divBdr>
        <w:top w:val="none" w:sz="0" w:space="0" w:color="auto"/>
        <w:left w:val="none" w:sz="0" w:space="0" w:color="auto"/>
        <w:bottom w:val="none" w:sz="0" w:space="0" w:color="auto"/>
        <w:right w:val="none" w:sz="0" w:space="0" w:color="auto"/>
      </w:divBdr>
    </w:div>
    <w:div w:id="1946425059">
      <w:bodyDiv w:val="1"/>
      <w:marLeft w:val="0"/>
      <w:marRight w:val="0"/>
      <w:marTop w:val="0"/>
      <w:marBottom w:val="0"/>
      <w:divBdr>
        <w:top w:val="none" w:sz="0" w:space="0" w:color="auto"/>
        <w:left w:val="none" w:sz="0" w:space="0" w:color="auto"/>
        <w:bottom w:val="none" w:sz="0" w:space="0" w:color="auto"/>
        <w:right w:val="none" w:sz="0" w:space="0" w:color="auto"/>
      </w:divBdr>
    </w:div>
    <w:div w:id="2014725857">
      <w:bodyDiv w:val="1"/>
      <w:marLeft w:val="0"/>
      <w:marRight w:val="0"/>
      <w:marTop w:val="0"/>
      <w:marBottom w:val="0"/>
      <w:divBdr>
        <w:top w:val="none" w:sz="0" w:space="0" w:color="auto"/>
        <w:left w:val="none" w:sz="0" w:space="0" w:color="auto"/>
        <w:bottom w:val="none" w:sz="0" w:space="0" w:color="auto"/>
        <w:right w:val="none" w:sz="0" w:space="0" w:color="auto"/>
      </w:divBdr>
    </w:div>
    <w:div w:id="2098208187">
      <w:bodyDiv w:val="1"/>
      <w:marLeft w:val="0"/>
      <w:marRight w:val="0"/>
      <w:marTop w:val="0"/>
      <w:marBottom w:val="0"/>
      <w:divBdr>
        <w:top w:val="none" w:sz="0" w:space="0" w:color="auto"/>
        <w:left w:val="none" w:sz="0" w:space="0" w:color="auto"/>
        <w:bottom w:val="none" w:sz="0" w:space="0" w:color="auto"/>
        <w:right w:val="none" w:sz="0" w:space="0" w:color="auto"/>
      </w:divBdr>
    </w:div>
    <w:div w:id="2131046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Gra221</b:Tag>
    <b:SourceType>JournalArticle</b:SourceType>
    <b:Guid>{6A35BFDC-BF0B-6A44-BE27-8B26C614F71E}</b:Guid>
    <b:Title>Exemption Clauses in the modern age: do they result in an "institution in crisis"?</b:Title>
    <b:Year>2022</b:Year>
    <b:Author>
      <b:Author>
        <b:NameList>
          <b:Person>
            <b:Last>Graham</b:Last>
            <b:First>Toby</b:First>
          </b:Person>
          <b:Person>
            <b:Last>Russell</b:Last>
            <b:First>David</b:First>
          </b:Person>
        </b:NameList>
      </b:Author>
    </b:Author>
    <b:JournalName>Trusts &amp; Trustees</b:JournalName>
    <b:Volume>28</b:Volume>
    <b:Issue>8</b:Issue>
    <b:Pages>54-63</b:Pages>
    <b:RefOrder>9</b:RefOrder>
  </b:Source>
  <b:Source>
    <b:Tag>Dav231</b:Tag>
    <b:SourceType>JournalArticle</b:SourceType>
    <b:Guid>{3520F7B7-538B-EC40-AEC0-72E4590BA867}</b:Guid>
    <b:Author>
      <b:Author>
        <b:NameList>
          <b:Person>
            <b:Last>Hayton</b:Last>
            <b:First>David</b:First>
          </b:Person>
        </b:NameList>
      </b:Author>
    </b:Author>
    <b:Title>Truatees' duties: exemptions and exonerations</b:Title>
    <b:JournalName>Trusts &amp; Trustees</b:JournalName>
    <b:Year>2023</b:Year>
    <b:Volume>29</b:Volume>
    <b:Issue>5</b:Issue>
    <b:Pages>389-392</b:Pages>
    <b:RefOrder>7</b:RefOrder>
  </b:Source>
  <b:Source>
    <b:Tag>Agn18</b:Tag>
    <b:SourceType>JournalArticle</b:SourceType>
    <b:Guid>{9A7C3FD8-F608-EE45-BA4C-0248B8B73472}</b:Guid>
    <b:Author>
      <b:Author>
        <b:NameList>
          <b:Person>
            <b:Last>Agnew</b:Last>
            <b:First>Sinead</b:First>
          </b:Person>
          <b:Person>
            <b:Last>Purkis</b:Last>
            <b:First>Kathryn </b:First>
          </b:Person>
        </b:NameList>
      </b:Author>
    </b:Author>
    <b:Title>Trustees' indemnities- is timing everything?</b:Title>
    <b:JournalName>Trust &amp; Trustees</b:JournalName>
    <b:Year>2018</b:Year>
    <b:Volume>24</b:Volume>
    <b:Issue>10</b:Issue>
    <b:Pages>989-1007</b:Pages>
    <b:RefOrder>6</b:RefOrder>
  </b:Source>
  <b:Source>
    <b:Tag>Nic09</b:Tag>
    <b:SourceType>JournalArticle</b:SourceType>
    <b:Guid>{9AC51A4A-6F89-5242-8F9E-402C91FB2E1A}</b:Guid>
    <b:Author>
      <b:Author>
        <b:NameList>
          <b:Person>
            <b:Last>McBride</b:Last>
            <b:First>Nicholas</b:First>
          </b:Person>
        </b:NameList>
      </b:Author>
    </b:Author>
    <b:Title>Trustees exemption clauses</b:Title>
    <b:JournalName>The Cambridge Law Journal</b:JournalName>
    <b:Year>2009</b:Year>
    <b:Volume>57</b:Volume>
    <b:Issue>1</b:Issue>
    <b:Pages>33-36</b:Pages>
    <b:RefOrder>2</b:RefOrder>
  </b:Source>
  <b:Source>
    <b:Tag>Pao17</b:Tag>
    <b:SourceType>BookSection</b:SourceType>
    <b:Guid>{F839F98F-6F6D-B24A-A6AD-88FD31D9330B}</b:Guid>
    <b:Title>6 Trustee Exemption Clauses</b:Title>
    <b:Year>2017</b:Year>
    <b:Pages>333-374</b:Pages>
    <b:Author>
      <b:Author>
        <b:NameList>
          <b:Person>
            <b:Last>Panico</b:Last>
            <b:First>Paolo</b:First>
          </b:Person>
        </b:NameList>
      </b:Author>
    </b:Author>
    <b:BookTitle>International Trusts Laws</b:BookTitle>
    <b:City>New York</b:City>
    <b:Publisher>Oxford University Press</b:Publisher>
    <b:RefOrder>5</b:RefOrder>
  </b:Source>
  <b:Source>
    <b:Tag>Ala21</b:Tag>
    <b:SourceType>Book</b:SourceType>
    <b:Guid>{7A836BC7-B05E-A447-B261-A3A11E581DE8}</b:Guid>
    <b:Title>Understanding Equity and Trusts</b:Title>
    <b:City>London</b:City>
    <b:Publisher>Routledge</b:Publisher>
    <b:Year>2021</b:Year>
    <b:Author>
      <b:Author>
        <b:NameList>
          <b:Person>
            <b:Last>Hudson</b:Last>
            <b:First>Alastair</b:First>
          </b:Person>
        </b:NameList>
      </b:Author>
    </b:Author>
    <b:Edition>7</b:Edition>
    <b:RefOrder>4</b:RefOrder>
  </b:Source>
  <b:Source>
    <b:Tag>Coh14</b:Tag>
    <b:SourceType>JournalArticle</b:SourceType>
    <b:Guid>{54248080-7C3C-7E41-9ED0-E497D20F9811}</b:Guid>
    <b:Title>Trustee exculpation- the law, the quirks and the business sense</b:Title>
    <b:Year>2014</b:Year>
    <b:Author>
      <b:Author>
        <b:NameList>
          <b:Person>
            <b:Last>Cohen</b:Last>
            <b:First>Lawrence</b:First>
          </b:Person>
          <b:Person>
            <b:Last>Seymour</b:Last>
            <b:First>Thomas</b:First>
          </b:Person>
        </b:NameList>
      </b:Author>
    </b:Author>
    <b:JournalName>Trusts &amp; Trustees</b:JournalName>
    <b:Volume>20</b:Volume>
    <b:Issue>9</b:Issue>
    <b:Pages>933-942</b:Pages>
    <b:RefOrder>1</b:RefOrder>
  </b:Source>
  <b:Source>
    <b:Tag>Ale</b:Tag>
    <b:SourceType>JournalArticle</b:SourceType>
    <b:Guid>{9AE5A0E2-07D0-8A4C-8197-DA2FB46783AF}</b:Guid>
    <b:Author>
      <b:Author>
        <b:NameList>
          <b:Person>
            <b:Last>Usilova</b:Last>
            <b:First>Alexandra</b:First>
          </b:Person>
        </b:NameList>
      </b:Author>
    </b:Author>
    <b:Title>Reliance on a professional trustee: a case for a change to the rule in Armitage v Nurse</b:Title>
    <b:JournalName>Trusts &amp; Trustees</b:JournalName>
    <b:Year>2016</b:Year>
    <b:Volume>22</b:Volume>
    <b:Issue>8</b:Issue>
    <b:Pages>932-940</b:Pages>
    <b:RefOrder>3</b:RefOrder>
  </b:Source>
  <b:Source>
    <b:Tag>Ric18</b:Tag>
    <b:SourceType>JournalArticle</b:SourceType>
    <b:Guid>{BF9209EB-340A-1B4C-8DE0-1A8CFEADA02B}</b:Guid>
    <b:Author>
      <b:Author>
        <b:NameList>
          <b:Person>
            <b:Last>Rice</b:Last>
            <b:First>Elspeth</b:First>
            <b:Middle>Talbot</b:Middle>
          </b:Person>
          <b:Person>
            <b:Last>Sherwin</b:Last>
            <b:First>Timothy</b:First>
          </b:Person>
        </b:NameList>
      </b:Author>
    </b:Author>
    <b:Title>Time for change: trustees' liability for negligent investment in offshore portfolio bonds</b:Title>
    <b:JournalName>Journal of International Banking &amp; Financial law</b:JournalName>
    <b:Year>2018</b:Year>
    <b:Volume>33</b:Volume>
    <b:Issue>3</b:Issue>
    <b:Pages>154</b:Pages>
    <b:RefOrder>11</b:RefOrder>
  </b:Source>
  <b:Source>
    <b:Tag>Sol23</b:Tag>
    <b:SourceType>InternetSite</b:SourceType>
    <b:Guid>{09EFDC95-ABF7-6248-9C77-DE941CE59A46}</b:Guid>
    <b:Title>SRA Code of Conduct for Solicitors, RELs and RFLs</b:Title>
    <b:Year>2023</b:Year>
    <b:Author>
      <b:Author>
        <b:Corporate>Solicitors Regulation Authority</b:Corporate>
      </b:Author>
    </b:Author>
    <b:URL>https://www.sra.org.uk/solicitors/standards-regulations/code-conduct-solicitors/</b:URL>
    <b:YearAccessed>2024</b:YearAccessed>
    <b:MonthAccessed>November</b:MonthAccessed>
    <b:DayAccessed>13</b:DayAccessed>
    <b:RefOrder>15</b:RefOrder>
  </b:Source>
  <b:Source>
    <b:Tag>Cha231</b:Tag>
    <b:SourceType>JournalArticle</b:SourceType>
    <b:Guid>{E45C2123-63EE-3D4F-AB9F-37DD87CEE834}</b:Guid>
    <b:Title>Debts unravelled: trust law's ubiased approach to resolving sovereign defaults</b:Title>
    <b:Year>2023</b:Year>
    <b:Author>
      <b:Author>
        <b:NameList>
          <b:Person>
            <b:Last>Mak</b:Last>
            <b:First>Charles</b:First>
            <b:Middle>Ho Wang</b:Middle>
          </b:Person>
        </b:NameList>
      </b:Author>
    </b:Author>
    <b:JournalName>Trusts &amp; Trustees</b:JournalName>
    <b:Volume>5</b:Volume>
    <b:Issue>1</b:Issue>
    <b:Pages>437-443</b:Pages>
    <b:RefOrder>10</b:RefOrder>
  </b:Source>
  <b:Source>
    <b:Tag>Joh17</b:Tag>
    <b:SourceType>JournalArticle</b:SourceType>
    <b:Guid>{D0C9C665-E0D9-B049-80FE-C25F3D4F4121}</b:Guid>
    <b:Title>The implications of Brexit for UK competition law and Policy</b:Title>
    <b:Year>2017</b:Year>
    <b:Author>
      <b:Author>
        <b:NameList>
          <b:Person>
            <b:Last>Fingleton</b:Last>
            <b:First>John</b:First>
          </b:Person>
        </b:NameList>
      </b:Author>
    </b:Author>
    <b:JournalName>Journal of Competition Law and Economics</b:JournalName>
    <b:Volume>13</b:Volume>
    <b:Issue>3</b:Issue>
    <b:Pages>389-422</b:Pages>
    <b:RefOrder>13</b:RefOrder>
  </b:Source>
  <b:Source>
    <b:Tag>Cli12</b:Tag>
    <b:SourceType>JournalArticle</b:SourceType>
    <b:Guid>{C63D10F6-4E07-FF42-A04B-8743C38C7027}</b:Guid>
    <b:Author>
      <b:Author>
        <b:NameList>
          <b:Person>
            <b:Last>Sheldon</b:Last>
            <b:First>Clive</b:First>
          </b:Person>
        </b:NameList>
      </b:Author>
    </b:Author>
    <b:Title>Commercial: a justified retrospective</b:Title>
    <b:JournalName>The New Law Journal</b:JournalName>
    <b:Year>2012</b:Year>
    <b:Volume>162</b:Volume>
    <b:Issue>7511</b:Issue>
    <b:Pages>574-584</b:Pages>
    <b:RefOrder>14</b:RefOrder>
  </b:Source>
  <b:Source>
    <b:Tag>Moh19</b:Tag>
    <b:SourceType>Book</b:SourceType>
    <b:Guid>{C772DCDB-04FD-5446-B2E8-F9ABBB4B7D15}</b:Guid>
    <b:Author>
      <b:Author>
        <b:NameList>
          <b:Person>
            <b:Last>Ramjohn</b:Last>
            <b:First>Mohamed</b:First>
          </b:Person>
        </b:NameList>
      </b:Author>
    </b:Author>
    <b:Title>Unlocking equity and trusts</b:Title>
    <b:City>London</b:City>
    <b:Publisher>Routledge</b:Publisher>
    <b:Year>2019</b:Year>
    <b:Edition>7</b:Edition>
    <b:RefOrder>8</b:RefOrder>
  </b:Source>
  <b:Source>
    <b:Tag>Cat15</b:Tag>
    <b:SourceType>Book</b:SourceType>
    <b:Guid>{2DC35BCA-2B79-8141-8CD3-6EE41789F3A7}</b:Guid>
    <b:Author>
      <b:Author>
        <b:NameList>
          <b:Person>
            <b:Last>Huws</b:Last>
            <b:First>Catrin</b:First>
            <b:Middle>Fflur</b:Middle>
          </b:Person>
        </b:NameList>
      </b:Author>
    </b:Author>
    <b:Title>Text, cases and materials on equity and trusts</b:Title>
    <b:City>London</b:City>
    <b:Publisher>Pearson</b:Publisher>
    <b:Year>2015</b:Year>
    <b:RefOrder>12</b:RefOrder>
  </b:Source>
</b:Sources>
</file>

<file path=customXml/itemProps1.xml><?xml version="1.0" encoding="utf-8"?>
<ds:datastoreItem xmlns:ds="http://schemas.openxmlformats.org/officeDocument/2006/customXml" ds:itemID="{D4701830-5ECA-A94B-B7B7-F59222FAE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781</TotalTime>
  <Pages>7</Pages>
  <Words>2598</Words>
  <Characters>14810</Characters>
  <Application>Microsoft Office Word</Application>
  <DocSecurity>0</DocSecurity>
  <Lines>123</Lines>
  <Paragraphs>34</Paragraphs>
  <ScaleCrop>false</ScaleCrop>
  <Company/>
  <LinksUpToDate>false</LinksUpToDate>
  <CharactersWithSpaces>17374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Ashmole (2223229)</dc:creator>
  <cp:keywords/>
  <dc:description/>
  <cp:lastModifiedBy>alisha ashmore</cp:lastModifiedBy>
  <cp:revision>879</cp:revision>
  <dcterms:created xsi:type="dcterms:W3CDTF">2024-10-26T21:34:00Z</dcterms:created>
  <dcterms:modified xsi:type="dcterms:W3CDTF">2024-11-15T00:11:00Z</dcterms:modified>
</cp:coreProperties>
</file>