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1590164"/>
        <w:docPartObj>
          <w:docPartGallery w:val="Cover Pages"/>
          <w:docPartUnique/>
        </w:docPartObj>
      </w:sdtPr>
      <w:sdtContent>
        <w:p w14:paraId="1BA35A8B" w14:textId="6B960EAB" w:rsidR="008C7A5C" w:rsidRDefault="008C7A5C">
          <w:r>
            <w:rPr>
              <w:noProof/>
            </w:rPr>
            <mc:AlternateContent>
              <mc:Choice Requires="wpg">
                <w:drawing>
                  <wp:anchor distT="0" distB="0" distL="114300" distR="114300" simplePos="0" relativeHeight="251662336" behindDoc="0" locked="0" layoutInCell="1" allowOverlap="1" wp14:anchorId="64D55638" wp14:editId="6759865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D22F77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5"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084D728" wp14:editId="333F01E8">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595959" w:themeColor="text1" w:themeTint="A6"/>
                                    <w:sz w:val="28"/>
                                    <w:szCs w:val="28"/>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BA4DCDE" w14:textId="52D98067" w:rsidR="008C7A5C" w:rsidRDefault="00256D84">
                                    <w:pPr>
                                      <w:pStyle w:val="NoSpacing"/>
                                      <w:jc w:val="right"/>
                                      <w:rPr>
                                        <w:color w:val="595959" w:themeColor="text1" w:themeTint="A6"/>
                                        <w:sz w:val="28"/>
                                        <w:szCs w:val="28"/>
                                      </w:rPr>
                                    </w:pPr>
                                    <w:r w:rsidRPr="00256D84">
                                      <w:rPr>
                                        <w:b/>
                                        <w:bCs/>
                                        <w:color w:val="595959" w:themeColor="text1" w:themeTint="A6"/>
                                        <w:sz w:val="28"/>
                                        <w:szCs w:val="28"/>
                                        <w:lang w:val="en-GB"/>
                                      </w:rPr>
                                      <w:t>Shaukat sultan. 2309243</w:t>
                                    </w:r>
                                  </w:p>
                                </w:sdtContent>
                              </w:sdt>
                              <w:p w14:paraId="3EB9F3C9" w14:textId="2334ADCF" w:rsidR="008C7A5C" w:rsidRDefault="008C7A5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084D728"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b/>
                              <w:bCs/>
                              <w:color w:val="595959" w:themeColor="text1" w:themeTint="A6"/>
                              <w:sz w:val="28"/>
                              <w:szCs w:val="28"/>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BA4DCDE" w14:textId="52D98067" w:rsidR="008C7A5C" w:rsidRDefault="00256D84">
                              <w:pPr>
                                <w:pStyle w:val="NoSpacing"/>
                                <w:jc w:val="right"/>
                                <w:rPr>
                                  <w:color w:val="595959" w:themeColor="text1" w:themeTint="A6"/>
                                  <w:sz w:val="28"/>
                                  <w:szCs w:val="28"/>
                                </w:rPr>
                              </w:pPr>
                              <w:r w:rsidRPr="00256D84">
                                <w:rPr>
                                  <w:b/>
                                  <w:bCs/>
                                  <w:color w:val="595959" w:themeColor="text1" w:themeTint="A6"/>
                                  <w:sz w:val="28"/>
                                  <w:szCs w:val="28"/>
                                  <w:lang w:val="en-GB"/>
                                </w:rPr>
                                <w:t>Shaukat sultan. 2309243</w:t>
                              </w:r>
                            </w:p>
                          </w:sdtContent>
                        </w:sdt>
                        <w:p w14:paraId="3EB9F3C9" w14:textId="2334ADCF" w:rsidR="008C7A5C" w:rsidRDefault="008C7A5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DF265AE" wp14:editId="76BDB20D">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C519DD" w14:textId="2C676371" w:rsidR="008C7A5C" w:rsidRPr="00256D84" w:rsidRDefault="00256D84">
                                <w:pPr>
                                  <w:jc w:val="right"/>
                                  <w:rPr>
                                    <w:color w:val="4472C4" w:themeColor="accent1"/>
                                    <w:sz w:val="40"/>
                                    <w:szCs w:val="40"/>
                                  </w:rPr>
                                </w:pPr>
                                <w:sdt>
                                  <w:sdtPr>
                                    <w:rPr>
                                      <w:rFonts w:ascii="Arial" w:hAnsi="Arial" w:cs="Arial"/>
                                      <w:b/>
                                      <w:bCs/>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256D84">
                                      <w:rPr>
                                        <w:rFonts w:ascii="Arial" w:hAnsi="Arial" w:cs="Arial"/>
                                        <w:b/>
                                        <w:bCs/>
                                        <w:sz w:val="40"/>
                                        <w:szCs w:val="40"/>
                                      </w:rPr>
                                      <w:t>Psychological Classifications and Provisions Component 2: Written Assignment (Report)</w:t>
                                    </w:r>
                                  </w:sdtContent>
                                </w:sdt>
                              </w:p>
                              <w:sdt>
                                <w:sdtPr>
                                  <w:rPr>
                                    <w:rFonts w:ascii="Arial" w:hAnsi="Arial" w:cs="Arial"/>
                                    <w:b/>
                                    <w:sz w:val="44"/>
                                    <w:szCs w:val="4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C7DE70F" w14:textId="3C4E01E1" w:rsidR="008C7A5C" w:rsidRPr="00256D84" w:rsidRDefault="00256D84">
                                    <w:pPr>
                                      <w:jc w:val="right"/>
                                      <w:rPr>
                                        <w:smallCaps/>
                                        <w:color w:val="404040" w:themeColor="text1" w:themeTint="BF"/>
                                        <w:sz w:val="44"/>
                                        <w:szCs w:val="44"/>
                                      </w:rPr>
                                    </w:pPr>
                                    <w:r w:rsidRPr="00256D84">
                                      <w:rPr>
                                        <w:rFonts w:ascii="Arial" w:hAnsi="Arial" w:cs="Arial"/>
                                        <w:b/>
                                        <w:sz w:val="44"/>
                                        <w:szCs w:val="44"/>
                                      </w:rPr>
                                      <w:t>BMHP6029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DF265A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kYpcgw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" filled="f" stroked="f" strokeweight=".5pt">
                    <v:textbox inset="126pt,0,54pt,0">
                      <w:txbxContent>
                        <w:p w14:paraId="18C519DD" w14:textId="2C676371" w:rsidR="008C7A5C" w:rsidRPr="00256D84" w:rsidRDefault="00256D84">
                          <w:pPr>
                            <w:jc w:val="right"/>
                            <w:rPr>
                              <w:color w:val="4472C4" w:themeColor="accent1"/>
                              <w:sz w:val="40"/>
                              <w:szCs w:val="40"/>
                            </w:rPr>
                          </w:pPr>
                          <w:sdt>
                            <w:sdtPr>
                              <w:rPr>
                                <w:rFonts w:ascii="Arial" w:hAnsi="Arial" w:cs="Arial"/>
                                <w:b/>
                                <w:bCs/>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256D84">
                                <w:rPr>
                                  <w:rFonts w:ascii="Arial" w:hAnsi="Arial" w:cs="Arial"/>
                                  <w:b/>
                                  <w:bCs/>
                                  <w:sz w:val="40"/>
                                  <w:szCs w:val="40"/>
                                </w:rPr>
                                <w:t>Psychological Classifications and Provisions Component 2: Written Assignment (Report)</w:t>
                              </w:r>
                            </w:sdtContent>
                          </w:sdt>
                        </w:p>
                        <w:sdt>
                          <w:sdtPr>
                            <w:rPr>
                              <w:rFonts w:ascii="Arial" w:hAnsi="Arial" w:cs="Arial"/>
                              <w:b/>
                              <w:sz w:val="44"/>
                              <w:szCs w:val="4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C7DE70F" w14:textId="3C4E01E1" w:rsidR="008C7A5C" w:rsidRPr="00256D84" w:rsidRDefault="00256D84">
                              <w:pPr>
                                <w:jc w:val="right"/>
                                <w:rPr>
                                  <w:smallCaps/>
                                  <w:color w:val="404040" w:themeColor="text1" w:themeTint="BF"/>
                                  <w:sz w:val="44"/>
                                  <w:szCs w:val="44"/>
                                </w:rPr>
                              </w:pPr>
                              <w:r w:rsidRPr="00256D84">
                                <w:rPr>
                                  <w:rFonts w:ascii="Arial" w:hAnsi="Arial" w:cs="Arial"/>
                                  <w:b/>
                                  <w:sz w:val="44"/>
                                  <w:szCs w:val="44"/>
                                </w:rPr>
                                <w:t>BMHP6029</w:t>
                              </w:r>
                            </w:p>
                          </w:sdtContent>
                        </w:sdt>
                      </w:txbxContent>
                    </v:textbox>
                    <w10:wrap type="square" anchorx="page" anchory="page"/>
                  </v:shape>
                </w:pict>
              </mc:Fallback>
            </mc:AlternateContent>
          </w:r>
        </w:p>
        <w:p w14:paraId="73E139B6" w14:textId="770E9352" w:rsidR="008C7A5C" w:rsidRDefault="008C7A5C">
          <w:r>
            <w:br w:type="page"/>
          </w:r>
        </w:p>
      </w:sdtContent>
    </w:sdt>
    <w:p w14:paraId="2D7890AA" w14:textId="77777777" w:rsidR="008C7A5C" w:rsidRDefault="008C7A5C" w:rsidP="008C7A5C"/>
    <w:p w14:paraId="05528435"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Introduction</w:t>
      </w:r>
    </w:p>
    <w:p w14:paraId="49A68C71"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Autism spectrum disorder (ASD) is classified in the International Classification of Diseases, Eleventh Revision (ICD</w:t>
      </w:r>
      <w:r w:rsidRPr="008C7A5C">
        <w:rPr>
          <w:rFonts w:ascii="Cambria Math" w:hAnsi="Cambria Math" w:cs="Cambria Math"/>
          <w:sz w:val="22"/>
          <w:szCs w:val="22"/>
        </w:rPr>
        <w:t>‑</w:t>
      </w:r>
      <w:r w:rsidRPr="008C7A5C">
        <w:rPr>
          <w:rFonts w:ascii="Arial" w:hAnsi="Arial" w:cs="Arial"/>
          <w:sz w:val="22"/>
          <w:szCs w:val="22"/>
        </w:rPr>
        <w:t>11) within Chapter 06, “Mental, behavioural or neurodevelopmental disorders”, under the broader category of neurodevelopmental disorders (World Health Organization, 2019). Neurodevelopmental disorders are defined as conditions that originate during the developmental period and involve impairments in personal, social, academic or occupational functioning (WHO, 2019). Within this framework, ASD is conceptualised as a condition characterised by persistent differences in social communication and interaction, alongside restricted, repetitive or inflexible patterns of behaviour, interests or activities. These characteristics typically emerge in early childhood, although they may not become fully apparent until social demands exceed the individual’s coping capacities.</w:t>
      </w:r>
    </w:p>
    <w:p w14:paraId="1566A4D1" w14:textId="77777777" w:rsidR="008C7A5C" w:rsidRPr="008C7A5C" w:rsidRDefault="008C7A5C" w:rsidP="008C7A5C">
      <w:pPr>
        <w:spacing w:line="360" w:lineRule="auto"/>
        <w:rPr>
          <w:rFonts w:ascii="Arial" w:hAnsi="Arial" w:cs="Arial"/>
          <w:sz w:val="22"/>
          <w:szCs w:val="22"/>
        </w:rPr>
      </w:pPr>
    </w:p>
    <w:p w14:paraId="1DCDB0A2"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The ICD</w:t>
      </w:r>
      <w:r w:rsidRPr="008C7A5C">
        <w:rPr>
          <w:rFonts w:ascii="Cambria Math" w:hAnsi="Cambria Math" w:cs="Cambria Math"/>
          <w:sz w:val="22"/>
          <w:szCs w:val="22"/>
        </w:rPr>
        <w:t>‑</w:t>
      </w:r>
      <w:r w:rsidRPr="008C7A5C">
        <w:rPr>
          <w:rFonts w:ascii="Arial" w:hAnsi="Arial" w:cs="Arial"/>
          <w:sz w:val="22"/>
          <w:szCs w:val="22"/>
        </w:rPr>
        <w:t>11 classification reflects a significant shift in psychiatric nosology by adopting a single spectrum diagnosis, replacing earlier subtypes such as childhood autism, Asperger syndrome and pervasive developmental disorder not otherwise specified. This change aligns with the approach adopted in the Diagnostic and Statistical Manual of Mental Disorders (DSM</w:t>
      </w:r>
      <w:r w:rsidRPr="008C7A5C">
        <w:rPr>
          <w:rFonts w:ascii="Cambria Math" w:hAnsi="Cambria Math" w:cs="Cambria Math"/>
          <w:sz w:val="22"/>
          <w:szCs w:val="22"/>
        </w:rPr>
        <w:t>‑</w:t>
      </w:r>
      <w:r w:rsidRPr="008C7A5C">
        <w:rPr>
          <w:rFonts w:ascii="Arial" w:hAnsi="Arial" w:cs="Arial"/>
          <w:sz w:val="22"/>
          <w:szCs w:val="22"/>
        </w:rPr>
        <w:t>5), which similarly conceptualises autism as a spectrum condition (American Psychiatric Association, 2013). The move towards a unified spectrum reflects growing recognition that autistic traits vary widely in presentation and severity across individuals.</w:t>
      </w:r>
    </w:p>
    <w:p w14:paraId="76FDEDFF" w14:textId="77777777" w:rsidR="008C7A5C" w:rsidRPr="008C7A5C" w:rsidRDefault="008C7A5C" w:rsidP="008C7A5C">
      <w:pPr>
        <w:spacing w:line="360" w:lineRule="auto"/>
        <w:rPr>
          <w:rFonts w:ascii="Arial" w:hAnsi="Arial" w:cs="Arial"/>
          <w:sz w:val="22"/>
          <w:szCs w:val="22"/>
        </w:rPr>
      </w:pPr>
    </w:p>
    <w:p w14:paraId="06A043DB"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Historically, autism was poorly understood and frequently misclassified. Early conceptualisations often associated autism with childhood psychosis or severe intellectual disability, leading many autistic individuals to be institutionalised or educated in segregated settings (</w:t>
      </w:r>
      <w:proofErr w:type="spellStart"/>
      <w:r w:rsidRPr="008C7A5C">
        <w:rPr>
          <w:rFonts w:ascii="Arial" w:hAnsi="Arial" w:cs="Arial"/>
          <w:sz w:val="22"/>
          <w:szCs w:val="22"/>
        </w:rPr>
        <w:t>Fombonne</w:t>
      </w:r>
      <w:proofErr w:type="spellEnd"/>
      <w:r w:rsidRPr="008C7A5C">
        <w:rPr>
          <w:rFonts w:ascii="Arial" w:hAnsi="Arial" w:cs="Arial"/>
          <w:sz w:val="22"/>
          <w:szCs w:val="22"/>
        </w:rPr>
        <w:t>, 2003). Limited knowledge of sensory processing differences, communication styles and cognitive profiles contributed to deficit</w:t>
      </w:r>
      <w:r w:rsidRPr="008C7A5C">
        <w:rPr>
          <w:rFonts w:ascii="Cambria Math" w:hAnsi="Cambria Math" w:cs="Cambria Math"/>
          <w:sz w:val="22"/>
          <w:szCs w:val="22"/>
        </w:rPr>
        <w:t>‑</w:t>
      </w:r>
      <w:r w:rsidRPr="008C7A5C">
        <w:rPr>
          <w:rFonts w:ascii="Arial" w:hAnsi="Arial" w:cs="Arial"/>
          <w:sz w:val="22"/>
          <w:szCs w:val="22"/>
        </w:rPr>
        <w:t>based views that framed autism primarily as pathology. Over the past several decades, however, there has been a gradual shift towards recognising autistic people’s strengths, individuality and rights. Contemporary policy increasingly emphasises inclusive education, community participation and access to support services.</w:t>
      </w:r>
    </w:p>
    <w:p w14:paraId="4D57D18B" w14:textId="77777777" w:rsidR="008C7A5C" w:rsidRPr="008C7A5C" w:rsidRDefault="008C7A5C" w:rsidP="008C7A5C">
      <w:pPr>
        <w:spacing w:line="360" w:lineRule="auto"/>
        <w:rPr>
          <w:rFonts w:ascii="Arial" w:hAnsi="Arial" w:cs="Arial"/>
          <w:sz w:val="22"/>
          <w:szCs w:val="22"/>
        </w:rPr>
      </w:pPr>
    </w:p>
    <w:p w14:paraId="3D0EA90C"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 xml:space="preserve">Despite these developments, diagnostic classification remains central in determining eligibility for support and services. Diagnostic labels influence access to education adjustments, healthcare resources and social support provisions. At the same time, the classification of autism as a “disorder” remains contested, particularly within the neurodiversity movement, which conceptualises autism as a natural variation in human neurocognitive functioning rather than a deficit requiring correction (Singer, 2017). These </w:t>
      </w:r>
      <w:r w:rsidRPr="008C7A5C">
        <w:rPr>
          <w:rFonts w:ascii="Arial" w:hAnsi="Arial" w:cs="Arial"/>
          <w:sz w:val="22"/>
          <w:szCs w:val="22"/>
        </w:rPr>
        <w:lastRenderedPageBreak/>
        <w:t>debates highlight the complex relationship between diagnosis, identity, social policy and service provision. Examining autism through the lens of ICD</w:t>
      </w:r>
      <w:r w:rsidRPr="008C7A5C">
        <w:rPr>
          <w:rFonts w:ascii="Cambria Math" w:hAnsi="Cambria Math" w:cs="Cambria Math"/>
          <w:sz w:val="22"/>
          <w:szCs w:val="22"/>
        </w:rPr>
        <w:t>‑</w:t>
      </w:r>
      <w:r w:rsidRPr="008C7A5C">
        <w:rPr>
          <w:rFonts w:ascii="Arial" w:hAnsi="Arial" w:cs="Arial"/>
          <w:sz w:val="22"/>
          <w:szCs w:val="22"/>
        </w:rPr>
        <w:t>11 therefore provides an opportunity to critically evaluate how classification systems shape both understanding and treatment of neurodevelopmental conditions.</w:t>
      </w:r>
    </w:p>
    <w:p w14:paraId="76780C3F" w14:textId="77777777" w:rsidR="008C7A5C" w:rsidRPr="008C7A5C" w:rsidRDefault="008C7A5C" w:rsidP="008C7A5C">
      <w:pPr>
        <w:spacing w:line="360" w:lineRule="auto"/>
        <w:rPr>
          <w:rFonts w:ascii="Arial" w:hAnsi="Arial" w:cs="Arial"/>
          <w:sz w:val="22"/>
          <w:szCs w:val="22"/>
        </w:rPr>
      </w:pPr>
    </w:p>
    <w:p w14:paraId="767AB363"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a) Classification and diagnosis (ICD</w:t>
      </w:r>
      <w:r w:rsidRPr="008C7A5C">
        <w:rPr>
          <w:rFonts w:ascii="Cambria Math" w:hAnsi="Cambria Math" w:cs="Cambria Math"/>
          <w:sz w:val="22"/>
          <w:szCs w:val="22"/>
        </w:rPr>
        <w:t>‑</w:t>
      </w:r>
      <w:r w:rsidRPr="008C7A5C">
        <w:rPr>
          <w:rFonts w:ascii="Arial" w:hAnsi="Arial" w:cs="Arial"/>
          <w:sz w:val="22"/>
          <w:szCs w:val="22"/>
        </w:rPr>
        <w:t>11 ASD)</w:t>
      </w:r>
    </w:p>
    <w:p w14:paraId="5C40C962" w14:textId="77777777" w:rsidR="008C7A5C" w:rsidRPr="008C7A5C" w:rsidRDefault="008C7A5C" w:rsidP="008C7A5C">
      <w:pPr>
        <w:spacing w:line="360" w:lineRule="auto"/>
        <w:rPr>
          <w:rFonts w:ascii="Arial" w:hAnsi="Arial" w:cs="Arial"/>
          <w:sz w:val="22"/>
          <w:szCs w:val="22"/>
        </w:rPr>
      </w:pPr>
    </w:p>
    <w:p w14:paraId="3C7AAE83"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ICD</w:t>
      </w:r>
      <w:r w:rsidRPr="008C7A5C">
        <w:rPr>
          <w:rFonts w:ascii="Cambria Math" w:hAnsi="Cambria Math" w:cs="Cambria Math"/>
          <w:sz w:val="22"/>
          <w:szCs w:val="22"/>
        </w:rPr>
        <w:t>‑</w:t>
      </w:r>
      <w:r w:rsidRPr="008C7A5C">
        <w:rPr>
          <w:rFonts w:ascii="Arial" w:hAnsi="Arial" w:cs="Arial"/>
          <w:sz w:val="22"/>
          <w:szCs w:val="22"/>
        </w:rPr>
        <w:t>11 placement and structure</w:t>
      </w:r>
    </w:p>
    <w:p w14:paraId="49859F5F"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In ICD</w:t>
      </w:r>
      <w:r w:rsidRPr="008C7A5C">
        <w:rPr>
          <w:rFonts w:ascii="Cambria Math" w:hAnsi="Cambria Math" w:cs="Cambria Math"/>
          <w:sz w:val="22"/>
          <w:szCs w:val="22"/>
        </w:rPr>
        <w:t>‑</w:t>
      </w:r>
      <w:r w:rsidRPr="008C7A5C">
        <w:rPr>
          <w:rFonts w:ascii="Arial" w:hAnsi="Arial" w:cs="Arial"/>
          <w:sz w:val="22"/>
          <w:szCs w:val="22"/>
        </w:rPr>
        <w:t>11, ASD is located within the neurodevelopmental disorders block, reflecting the view that autism arises from atypical brain development occurring during early childhood (WHO, 2019). Rather than maintaining multiple separate categories, ICD</w:t>
      </w:r>
      <w:r w:rsidRPr="008C7A5C">
        <w:rPr>
          <w:rFonts w:ascii="Cambria Math" w:hAnsi="Cambria Math" w:cs="Cambria Math"/>
          <w:sz w:val="22"/>
          <w:szCs w:val="22"/>
        </w:rPr>
        <w:t>‑</w:t>
      </w:r>
      <w:r w:rsidRPr="008C7A5C">
        <w:rPr>
          <w:rFonts w:ascii="Arial" w:hAnsi="Arial" w:cs="Arial"/>
          <w:sz w:val="22"/>
          <w:szCs w:val="22"/>
        </w:rPr>
        <w:t>11 adopts a single diagnostic category with additional specifiers that describe differences in intellectual functioning and language ability.</w:t>
      </w:r>
    </w:p>
    <w:p w14:paraId="263FD9CD" w14:textId="77777777" w:rsidR="008C7A5C" w:rsidRPr="008C7A5C" w:rsidRDefault="008C7A5C" w:rsidP="008C7A5C">
      <w:pPr>
        <w:spacing w:line="360" w:lineRule="auto"/>
        <w:rPr>
          <w:rFonts w:ascii="Arial" w:hAnsi="Arial" w:cs="Arial"/>
          <w:sz w:val="22"/>
          <w:szCs w:val="22"/>
        </w:rPr>
      </w:pPr>
    </w:p>
    <w:p w14:paraId="7A936297"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For example, diagnoses may include:</w:t>
      </w:r>
    </w:p>
    <w:p w14:paraId="033A21E3" w14:textId="77777777" w:rsidR="008C7A5C" w:rsidRPr="008C7A5C" w:rsidRDefault="008C7A5C" w:rsidP="008C7A5C">
      <w:pPr>
        <w:spacing w:line="360" w:lineRule="auto"/>
        <w:rPr>
          <w:rFonts w:ascii="Arial" w:hAnsi="Arial" w:cs="Arial"/>
          <w:sz w:val="22"/>
          <w:szCs w:val="22"/>
        </w:rPr>
      </w:pPr>
    </w:p>
    <w:p w14:paraId="7AEFE342" w14:textId="45A48CDE"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Autism spectrum disorder without intellectual developmental disorder and with mild or no impairment of functional language.</w:t>
      </w:r>
    </w:p>
    <w:p w14:paraId="55A5AB76" w14:textId="54BCF69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Autism spectrum disorder with intellectual developmental disorder and impaired functional language.</w:t>
      </w:r>
    </w:p>
    <w:p w14:paraId="4FAFA921"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Autism spectrum disorder with severe intellectual and language impairment.</w:t>
      </w:r>
    </w:p>
    <w:p w14:paraId="20F839F9" w14:textId="77777777" w:rsidR="008C7A5C" w:rsidRPr="008C7A5C" w:rsidRDefault="008C7A5C" w:rsidP="008C7A5C">
      <w:pPr>
        <w:spacing w:line="360" w:lineRule="auto"/>
        <w:rPr>
          <w:rFonts w:ascii="Arial" w:hAnsi="Arial" w:cs="Arial"/>
          <w:sz w:val="22"/>
          <w:szCs w:val="22"/>
        </w:rPr>
      </w:pPr>
    </w:p>
    <w:p w14:paraId="6DD4B6E8"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This classification framework attempts to capture the significant variability observed across autistic individuals. Some people experience substantial communication challenges and require extensive daily support, whereas others may have average or above</w:t>
      </w:r>
      <w:r w:rsidRPr="008C7A5C">
        <w:rPr>
          <w:rFonts w:ascii="Cambria Math" w:hAnsi="Cambria Math" w:cs="Cambria Math"/>
          <w:sz w:val="22"/>
          <w:szCs w:val="22"/>
        </w:rPr>
        <w:t>‑</w:t>
      </w:r>
      <w:r w:rsidRPr="008C7A5C">
        <w:rPr>
          <w:rFonts w:ascii="Arial" w:hAnsi="Arial" w:cs="Arial"/>
          <w:sz w:val="22"/>
          <w:szCs w:val="22"/>
        </w:rPr>
        <w:t>average intellectual ability and require minimal assistance in daily life (Lord et al., 2020). By incorporating specifiers, ICD</w:t>
      </w:r>
      <w:r w:rsidRPr="008C7A5C">
        <w:rPr>
          <w:rFonts w:ascii="Cambria Math" w:hAnsi="Cambria Math" w:cs="Cambria Math"/>
          <w:sz w:val="22"/>
          <w:szCs w:val="22"/>
        </w:rPr>
        <w:t>‑</w:t>
      </w:r>
      <w:r w:rsidRPr="008C7A5C">
        <w:rPr>
          <w:rFonts w:ascii="Arial" w:hAnsi="Arial" w:cs="Arial"/>
          <w:sz w:val="22"/>
          <w:szCs w:val="22"/>
        </w:rPr>
        <w:t>11 aims to provide clinicians with a flexible diagnostic framework that reflects this diversity while maintaining a coherent overarching category.</w:t>
      </w:r>
    </w:p>
    <w:p w14:paraId="1479DDFE" w14:textId="77777777" w:rsidR="008C7A5C" w:rsidRPr="008C7A5C" w:rsidRDefault="008C7A5C" w:rsidP="008C7A5C">
      <w:pPr>
        <w:spacing w:line="360" w:lineRule="auto"/>
        <w:rPr>
          <w:rFonts w:ascii="Arial" w:hAnsi="Arial" w:cs="Arial"/>
          <w:sz w:val="22"/>
          <w:szCs w:val="22"/>
        </w:rPr>
      </w:pPr>
    </w:p>
    <w:p w14:paraId="2246088E"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Diagnostic criteria</w:t>
      </w:r>
    </w:p>
    <w:p w14:paraId="73C2FAA9"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The ICD</w:t>
      </w:r>
      <w:r w:rsidRPr="008C7A5C">
        <w:rPr>
          <w:rFonts w:ascii="Cambria Math" w:hAnsi="Cambria Math" w:cs="Cambria Math"/>
          <w:sz w:val="22"/>
          <w:szCs w:val="22"/>
        </w:rPr>
        <w:t>‑</w:t>
      </w:r>
      <w:r w:rsidRPr="008C7A5C">
        <w:rPr>
          <w:rFonts w:ascii="Arial" w:hAnsi="Arial" w:cs="Arial"/>
          <w:sz w:val="22"/>
          <w:szCs w:val="22"/>
        </w:rPr>
        <w:t>11 description identifies two core domains that must be present for diagnosis. The first involves persistent deficits in social communication and social interaction. These may include difficulties with reciprocal conversation, interpreting social cues, maintaining eye contact, or understanding non</w:t>
      </w:r>
      <w:r w:rsidRPr="008C7A5C">
        <w:rPr>
          <w:rFonts w:ascii="Cambria Math" w:hAnsi="Cambria Math" w:cs="Cambria Math"/>
          <w:sz w:val="22"/>
          <w:szCs w:val="22"/>
        </w:rPr>
        <w:t>‑</w:t>
      </w:r>
      <w:r w:rsidRPr="008C7A5C">
        <w:rPr>
          <w:rFonts w:ascii="Arial" w:hAnsi="Arial" w:cs="Arial"/>
          <w:sz w:val="22"/>
          <w:szCs w:val="22"/>
        </w:rPr>
        <w:t xml:space="preserve">verbal communication such as gestures and facial expressions. The second domain involves restricted, repetitive or inflexible patterns of </w:t>
      </w:r>
      <w:r w:rsidRPr="008C7A5C">
        <w:rPr>
          <w:rFonts w:ascii="Arial" w:hAnsi="Arial" w:cs="Arial"/>
          <w:sz w:val="22"/>
          <w:szCs w:val="22"/>
        </w:rPr>
        <w:lastRenderedPageBreak/>
        <w:t>behaviour, interests or activities. Examples include repetitive movements, strong adherence to routines, highly focused interests, or unusual sensory responses (WHO, 2019).</w:t>
      </w:r>
    </w:p>
    <w:p w14:paraId="1A1725C0" w14:textId="77777777" w:rsidR="008C7A5C" w:rsidRPr="008C7A5C" w:rsidRDefault="008C7A5C" w:rsidP="008C7A5C">
      <w:pPr>
        <w:spacing w:line="360" w:lineRule="auto"/>
        <w:rPr>
          <w:rFonts w:ascii="Arial" w:hAnsi="Arial" w:cs="Arial"/>
          <w:sz w:val="22"/>
          <w:szCs w:val="22"/>
        </w:rPr>
      </w:pPr>
    </w:p>
    <w:p w14:paraId="050FF013"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Symptoms must begin in early development, although they may only become evident when social expectations increase. Additionally, these traits must result in clinically significant impairment in everyday functioning, such as education, employment or social relationships. Importantly, autism cannot be diagnosed solely on the basis of intellectual disability or global developmental delay.</w:t>
      </w:r>
    </w:p>
    <w:p w14:paraId="4F79BAA7" w14:textId="77777777" w:rsidR="008C7A5C" w:rsidRPr="008C7A5C" w:rsidRDefault="008C7A5C" w:rsidP="008C7A5C">
      <w:pPr>
        <w:spacing w:line="360" w:lineRule="auto"/>
        <w:rPr>
          <w:rFonts w:ascii="Arial" w:hAnsi="Arial" w:cs="Arial"/>
          <w:sz w:val="22"/>
          <w:szCs w:val="22"/>
        </w:rPr>
      </w:pPr>
    </w:p>
    <w:p w14:paraId="0BFA89E3"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The concept of “clinically significant impairment” introduces a degree of subjectivity into the diagnostic process. What constitutes impairment may vary depending on cultural expectations, environmental supports and social context. For instance, a child with strong academic abilities but social communication differences may function effectively in a supportive educational environment yet struggle in less accommodating settings.</w:t>
      </w:r>
    </w:p>
    <w:p w14:paraId="25888E8D" w14:textId="77777777" w:rsidR="008C7A5C" w:rsidRPr="008C7A5C" w:rsidRDefault="008C7A5C" w:rsidP="008C7A5C">
      <w:pPr>
        <w:spacing w:line="360" w:lineRule="auto"/>
        <w:rPr>
          <w:rFonts w:ascii="Arial" w:hAnsi="Arial" w:cs="Arial"/>
          <w:sz w:val="22"/>
          <w:szCs w:val="22"/>
        </w:rPr>
      </w:pPr>
    </w:p>
    <w:p w14:paraId="02D17CD6"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Diagnostic process in practice</w:t>
      </w:r>
    </w:p>
    <w:p w14:paraId="39AEC767"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Diagnosis typically involves a comprehensive multidisciplinary assessment. This may include developmental history, behavioural observations, standardised assessment tools and information from parents, carers and educators (National Institute for Health and Care Excellence, 2021). Clinicians may use structured observational instruments such as play</w:t>
      </w:r>
      <w:r w:rsidRPr="008C7A5C">
        <w:rPr>
          <w:rFonts w:ascii="Cambria Math" w:hAnsi="Cambria Math" w:cs="Cambria Math"/>
          <w:sz w:val="22"/>
          <w:szCs w:val="22"/>
        </w:rPr>
        <w:t>‑</w:t>
      </w:r>
      <w:r w:rsidRPr="008C7A5C">
        <w:rPr>
          <w:rFonts w:ascii="Arial" w:hAnsi="Arial" w:cs="Arial"/>
          <w:sz w:val="22"/>
          <w:szCs w:val="22"/>
        </w:rPr>
        <w:t>based interaction assessments alongside questionnaires measuring social communication and behavioural traits.</w:t>
      </w:r>
    </w:p>
    <w:p w14:paraId="012493F7" w14:textId="77777777" w:rsidR="008C7A5C" w:rsidRPr="008C7A5C" w:rsidRDefault="008C7A5C" w:rsidP="008C7A5C">
      <w:pPr>
        <w:spacing w:line="360" w:lineRule="auto"/>
        <w:rPr>
          <w:rFonts w:ascii="Arial" w:hAnsi="Arial" w:cs="Arial"/>
          <w:sz w:val="22"/>
          <w:szCs w:val="22"/>
        </w:rPr>
      </w:pPr>
    </w:p>
    <w:p w14:paraId="734D112A"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The assessment also involves consideration of differential diagnoses and co</w:t>
      </w:r>
      <w:r w:rsidRPr="008C7A5C">
        <w:rPr>
          <w:rFonts w:ascii="Cambria Math" w:hAnsi="Cambria Math" w:cs="Cambria Math"/>
          <w:sz w:val="22"/>
          <w:szCs w:val="22"/>
        </w:rPr>
        <w:t>‑</w:t>
      </w:r>
      <w:r w:rsidRPr="008C7A5C">
        <w:rPr>
          <w:rFonts w:ascii="Arial" w:hAnsi="Arial" w:cs="Arial"/>
          <w:sz w:val="22"/>
          <w:szCs w:val="22"/>
        </w:rPr>
        <w:t>occurring conditions. Autism frequently co</w:t>
      </w:r>
      <w:r w:rsidRPr="008C7A5C">
        <w:rPr>
          <w:rFonts w:ascii="Cambria Math" w:hAnsi="Cambria Math" w:cs="Cambria Math"/>
          <w:sz w:val="22"/>
          <w:szCs w:val="22"/>
        </w:rPr>
        <w:t>‑</w:t>
      </w:r>
      <w:r w:rsidRPr="008C7A5C">
        <w:rPr>
          <w:rFonts w:ascii="Arial" w:hAnsi="Arial" w:cs="Arial"/>
          <w:sz w:val="22"/>
          <w:szCs w:val="22"/>
        </w:rPr>
        <w:t>occurs with conditions such as attention deficit hyperactivity disorder (ADHD), anxiety disorders, language disorders and intellectual disability (Lai et al., 2019). These overlapping presentations can complicate diagnosis and require careful clinical judgement.</w:t>
      </w:r>
    </w:p>
    <w:p w14:paraId="6E987F6D" w14:textId="77777777" w:rsidR="008C7A5C" w:rsidRPr="008C7A5C" w:rsidRDefault="008C7A5C" w:rsidP="008C7A5C">
      <w:pPr>
        <w:spacing w:line="360" w:lineRule="auto"/>
        <w:rPr>
          <w:rFonts w:ascii="Arial" w:hAnsi="Arial" w:cs="Arial"/>
          <w:sz w:val="22"/>
          <w:szCs w:val="22"/>
        </w:rPr>
      </w:pPr>
    </w:p>
    <w:p w14:paraId="6B5D780C"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Recent research has highlighted important limitations within existing diagnostic frameworks. Much early autism research focused primarily on boys, leading to diagnostic criteria that may not fully capture how autism presents in girls and women. Many autistic females develop strategies such as social camouflaging or masking, whereby they consciously imitate neurotypical behaviours to avoid social exclusion (Hull et al., 2020). As a result, autism in girls and women is frequently under</w:t>
      </w:r>
      <w:r w:rsidRPr="008C7A5C">
        <w:rPr>
          <w:rFonts w:ascii="Cambria Math" w:hAnsi="Cambria Math" w:cs="Cambria Math"/>
          <w:sz w:val="22"/>
          <w:szCs w:val="22"/>
        </w:rPr>
        <w:t>‑</w:t>
      </w:r>
      <w:r w:rsidRPr="008C7A5C">
        <w:rPr>
          <w:rFonts w:ascii="Arial" w:hAnsi="Arial" w:cs="Arial"/>
          <w:sz w:val="22"/>
          <w:szCs w:val="22"/>
        </w:rPr>
        <w:t>recognised or diagnosed later in life.</w:t>
      </w:r>
    </w:p>
    <w:p w14:paraId="7BD36382" w14:textId="77777777" w:rsidR="008C7A5C" w:rsidRPr="008C7A5C" w:rsidRDefault="008C7A5C" w:rsidP="008C7A5C">
      <w:pPr>
        <w:spacing w:line="360" w:lineRule="auto"/>
        <w:rPr>
          <w:rFonts w:ascii="Arial" w:hAnsi="Arial" w:cs="Arial"/>
          <w:sz w:val="22"/>
          <w:szCs w:val="22"/>
        </w:rPr>
      </w:pPr>
    </w:p>
    <w:p w14:paraId="779D7BDE"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lastRenderedPageBreak/>
        <w:t>Similarly, adults seeking diagnosis may face challenges because diagnostic systems were historically designed for children. Increasing awareness has led to rising rates of adult diagnosis, suggesting that many individuals were previously overlooked within childhood assessment systems (Lai et al., 2015). These issues illustrate how diagnostic classification is shaped not only by clinical criteria but also by cultural assumptions and research biases.</w:t>
      </w:r>
    </w:p>
    <w:p w14:paraId="6FA5E769" w14:textId="77777777" w:rsidR="008C7A5C" w:rsidRPr="008C7A5C" w:rsidRDefault="008C7A5C" w:rsidP="008C7A5C">
      <w:pPr>
        <w:spacing w:line="360" w:lineRule="auto"/>
        <w:rPr>
          <w:rFonts w:ascii="Arial" w:hAnsi="Arial" w:cs="Arial"/>
          <w:sz w:val="22"/>
          <w:szCs w:val="22"/>
        </w:rPr>
      </w:pPr>
    </w:p>
    <w:p w14:paraId="4AAB9969"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b) Treatment and rehabilitation</w:t>
      </w:r>
    </w:p>
    <w:p w14:paraId="34292B22" w14:textId="77777777" w:rsidR="008C7A5C" w:rsidRPr="008C7A5C" w:rsidRDefault="008C7A5C" w:rsidP="008C7A5C">
      <w:pPr>
        <w:spacing w:line="360" w:lineRule="auto"/>
        <w:rPr>
          <w:rFonts w:ascii="Arial" w:hAnsi="Arial" w:cs="Arial"/>
          <w:sz w:val="22"/>
          <w:szCs w:val="22"/>
        </w:rPr>
      </w:pPr>
    </w:p>
    <w:p w14:paraId="2A6896F6"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Standard approaches</w:t>
      </w:r>
    </w:p>
    <w:p w14:paraId="09742C85"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There is currently no pharmacological treatment that directly addresses the core characteristics of autism. Instead, medications are sometimes prescribed to manage co</w:t>
      </w:r>
      <w:r w:rsidRPr="008C7A5C">
        <w:rPr>
          <w:rFonts w:ascii="Cambria Math" w:hAnsi="Cambria Math" w:cs="Cambria Math"/>
          <w:sz w:val="22"/>
          <w:szCs w:val="22"/>
        </w:rPr>
        <w:t>‑</w:t>
      </w:r>
      <w:r w:rsidRPr="008C7A5C">
        <w:rPr>
          <w:rFonts w:ascii="Arial" w:hAnsi="Arial" w:cs="Arial"/>
          <w:sz w:val="22"/>
          <w:szCs w:val="22"/>
        </w:rPr>
        <w:t>occurring conditions such as anxiety, ADHD, irritability or sleep difficulties (NICE, 2021). Consequently, most interventions focus on communication, learning, behaviour and environmental adaptation.</w:t>
      </w:r>
    </w:p>
    <w:p w14:paraId="48DC92ED" w14:textId="77777777" w:rsidR="008C7A5C" w:rsidRPr="008C7A5C" w:rsidRDefault="008C7A5C" w:rsidP="008C7A5C">
      <w:pPr>
        <w:spacing w:line="360" w:lineRule="auto"/>
        <w:rPr>
          <w:rFonts w:ascii="Arial" w:hAnsi="Arial" w:cs="Arial"/>
          <w:sz w:val="22"/>
          <w:szCs w:val="22"/>
        </w:rPr>
      </w:pPr>
    </w:p>
    <w:p w14:paraId="50FD792B"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 xml:space="preserve">Early intervention programmes are widely regarded as beneficial, particularly when implemented during the first years of development when neural plasticity is greatest (Dawson et al., 2010). These programmes typically focus on developing communication skills, joint attention and play interactions. Speech and language therapy </w:t>
      </w:r>
      <w:proofErr w:type="gramStart"/>
      <w:r w:rsidRPr="008C7A5C">
        <w:rPr>
          <w:rFonts w:ascii="Arial" w:hAnsi="Arial" w:cs="Arial"/>
          <w:sz w:val="22"/>
          <w:szCs w:val="22"/>
        </w:rPr>
        <w:t>is</w:t>
      </w:r>
      <w:proofErr w:type="gramEnd"/>
      <w:r w:rsidRPr="008C7A5C">
        <w:rPr>
          <w:rFonts w:ascii="Arial" w:hAnsi="Arial" w:cs="Arial"/>
          <w:sz w:val="22"/>
          <w:szCs w:val="22"/>
        </w:rPr>
        <w:t xml:space="preserve"> commonly used to support functional communication, including the use of augmentative and alternative communication systems such as picture</w:t>
      </w:r>
      <w:r w:rsidRPr="008C7A5C">
        <w:rPr>
          <w:rFonts w:ascii="Cambria Math" w:hAnsi="Cambria Math" w:cs="Cambria Math"/>
          <w:sz w:val="22"/>
          <w:szCs w:val="22"/>
        </w:rPr>
        <w:t>‑</w:t>
      </w:r>
      <w:r w:rsidRPr="008C7A5C">
        <w:rPr>
          <w:rFonts w:ascii="Arial" w:hAnsi="Arial" w:cs="Arial"/>
          <w:sz w:val="22"/>
          <w:szCs w:val="22"/>
        </w:rPr>
        <w:t>based communication tools or electronic devices.</w:t>
      </w:r>
    </w:p>
    <w:p w14:paraId="271E561E" w14:textId="77777777" w:rsidR="008C7A5C" w:rsidRPr="008C7A5C" w:rsidRDefault="008C7A5C" w:rsidP="008C7A5C">
      <w:pPr>
        <w:spacing w:line="360" w:lineRule="auto"/>
        <w:rPr>
          <w:rFonts w:ascii="Arial" w:hAnsi="Arial" w:cs="Arial"/>
          <w:sz w:val="22"/>
          <w:szCs w:val="22"/>
        </w:rPr>
      </w:pPr>
    </w:p>
    <w:p w14:paraId="51DA7B2A"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Educational support plays a central role in intervention. Structured teaching approaches provide predictable routines, visual supports and clear expectations that can help autistic learners understand and navigate classroom environments. Occupational therapy may also be provided to support sensory processing differences and daily living skills.</w:t>
      </w:r>
    </w:p>
    <w:p w14:paraId="45B3D1ED" w14:textId="77777777" w:rsidR="008C7A5C" w:rsidRPr="008C7A5C" w:rsidRDefault="008C7A5C" w:rsidP="008C7A5C">
      <w:pPr>
        <w:spacing w:line="360" w:lineRule="auto"/>
        <w:rPr>
          <w:rFonts w:ascii="Arial" w:hAnsi="Arial" w:cs="Arial"/>
          <w:sz w:val="22"/>
          <w:szCs w:val="22"/>
        </w:rPr>
      </w:pPr>
    </w:p>
    <w:p w14:paraId="1E893882"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Increasingly, practitioners emphasise environmental adaptation rather than attempting to eliminate autistic behaviours. Adjustments such as sensory</w:t>
      </w:r>
      <w:r w:rsidRPr="008C7A5C">
        <w:rPr>
          <w:rFonts w:ascii="Cambria Math" w:hAnsi="Cambria Math" w:cs="Cambria Math"/>
          <w:sz w:val="22"/>
          <w:szCs w:val="22"/>
        </w:rPr>
        <w:t>‑</w:t>
      </w:r>
      <w:r w:rsidRPr="008C7A5C">
        <w:rPr>
          <w:rFonts w:ascii="Arial" w:hAnsi="Arial" w:cs="Arial"/>
          <w:sz w:val="22"/>
          <w:szCs w:val="22"/>
        </w:rPr>
        <w:t>friendly learning environments, flexible communication methods and structured routines can significantly reduce distress and improve participation.</w:t>
      </w:r>
    </w:p>
    <w:p w14:paraId="11498AAD" w14:textId="77777777" w:rsidR="008C7A5C" w:rsidRPr="008C7A5C" w:rsidRDefault="008C7A5C" w:rsidP="008C7A5C">
      <w:pPr>
        <w:spacing w:line="360" w:lineRule="auto"/>
        <w:rPr>
          <w:rFonts w:ascii="Arial" w:hAnsi="Arial" w:cs="Arial"/>
          <w:sz w:val="22"/>
          <w:szCs w:val="22"/>
        </w:rPr>
      </w:pPr>
    </w:p>
    <w:p w14:paraId="4D59D235"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Neurodiversity</w:t>
      </w:r>
      <w:r w:rsidRPr="008C7A5C">
        <w:rPr>
          <w:rFonts w:ascii="Cambria Math" w:hAnsi="Cambria Math" w:cs="Cambria Math"/>
          <w:sz w:val="22"/>
          <w:szCs w:val="22"/>
        </w:rPr>
        <w:t>‑</w:t>
      </w:r>
      <w:r w:rsidRPr="008C7A5C">
        <w:rPr>
          <w:rFonts w:ascii="Arial" w:hAnsi="Arial" w:cs="Arial"/>
          <w:sz w:val="22"/>
          <w:szCs w:val="22"/>
        </w:rPr>
        <w:t>affirming perspectives</w:t>
      </w:r>
    </w:p>
    <w:p w14:paraId="09E22069"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 xml:space="preserve">In recent years, there has been growing recognition that some traditional behavioural interventions may prioritise conformity to neurotypical norms rather than promoting wellbeing. Critics argue that approaches focused solely on reducing autistic behaviours may </w:t>
      </w:r>
      <w:r w:rsidRPr="008C7A5C">
        <w:rPr>
          <w:rFonts w:ascii="Arial" w:hAnsi="Arial" w:cs="Arial"/>
          <w:sz w:val="22"/>
          <w:szCs w:val="22"/>
        </w:rPr>
        <w:lastRenderedPageBreak/>
        <w:t>inadvertently encourage masking, which has been linked to increased anxiety, burnout and identity distress (Milton, 2012).</w:t>
      </w:r>
    </w:p>
    <w:p w14:paraId="430217DD" w14:textId="77777777" w:rsidR="008C7A5C" w:rsidRPr="008C7A5C" w:rsidRDefault="008C7A5C" w:rsidP="008C7A5C">
      <w:pPr>
        <w:spacing w:line="360" w:lineRule="auto"/>
        <w:rPr>
          <w:rFonts w:ascii="Arial" w:hAnsi="Arial" w:cs="Arial"/>
          <w:sz w:val="22"/>
          <w:szCs w:val="22"/>
        </w:rPr>
      </w:pPr>
    </w:p>
    <w:p w14:paraId="425A4A35"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The neurodiversity movement advocates for approaches that recognise autism as a difference rather than a defect. From this perspective, support should focus on enabling autistic individuals to thrive within society while respecting their identity and communication styles (Singer, 2017). For example, rather than discouraging repetitive behaviours such as stimming, practitioners may recognise that these behaviours can serve important self</w:t>
      </w:r>
      <w:r w:rsidRPr="008C7A5C">
        <w:rPr>
          <w:rFonts w:ascii="Cambria Math" w:hAnsi="Cambria Math" w:cs="Cambria Math"/>
          <w:sz w:val="22"/>
          <w:szCs w:val="22"/>
        </w:rPr>
        <w:t>‑</w:t>
      </w:r>
      <w:r w:rsidRPr="008C7A5C">
        <w:rPr>
          <w:rFonts w:ascii="Arial" w:hAnsi="Arial" w:cs="Arial"/>
          <w:sz w:val="22"/>
          <w:szCs w:val="22"/>
        </w:rPr>
        <w:t>regulation functions.</w:t>
      </w:r>
    </w:p>
    <w:p w14:paraId="1CDDB3B0" w14:textId="77777777" w:rsidR="008C7A5C" w:rsidRPr="008C7A5C" w:rsidRDefault="008C7A5C" w:rsidP="008C7A5C">
      <w:pPr>
        <w:spacing w:line="360" w:lineRule="auto"/>
        <w:rPr>
          <w:rFonts w:ascii="Arial" w:hAnsi="Arial" w:cs="Arial"/>
          <w:sz w:val="22"/>
          <w:szCs w:val="22"/>
        </w:rPr>
      </w:pPr>
    </w:p>
    <w:p w14:paraId="00433804"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Rehabilitation across the lifespan</w:t>
      </w:r>
    </w:p>
    <w:p w14:paraId="2DC89319"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Unlike many mental health conditions, autism is lifelong. Consequently, rehabilitation should be understood as ongoing support that promotes autonomy, participation and quality of life. Key areas of support include inclusive education, transition planning, employment assistance and community participation.</w:t>
      </w:r>
    </w:p>
    <w:p w14:paraId="02BFEEEB" w14:textId="77777777" w:rsidR="008C7A5C" w:rsidRPr="008C7A5C" w:rsidRDefault="008C7A5C" w:rsidP="008C7A5C">
      <w:pPr>
        <w:spacing w:line="360" w:lineRule="auto"/>
        <w:rPr>
          <w:rFonts w:ascii="Arial" w:hAnsi="Arial" w:cs="Arial"/>
          <w:sz w:val="22"/>
          <w:szCs w:val="22"/>
        </w:rPr>
      </w:pPr>
    </w:p>
    <w:p w14:paraId="183D5E27"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Education systems increasingly aim to provide inclusive learning environments in which autistic pupils can access mainstream schooling with appropriate adjustments. Under UK legislation such as the Equality Act 2010 and the Special Educational Needs and Disability (SEND) framework, schools are required to make reasonable adjustments to support students with disabilities.</w:t>
      </w:r>
    </w:p>
    <w:p w14:paraId="0551BB2A" w14:textId="77777777" w:rsidR="008C7A5C" w:rsidRPr="008C7A5C" w:rsidRDefault="008C7A5C" w:rsidP="008C7A5C">
      <w:pPr>
        <w:spacing w:line="360" w:lineRule="auto"/>
        <w:rPr>
          <w:rFonts w:ascii="Arial" w:hAnsi="Arial" w:cs="Arial"/>
          <w:sz w:val="22"/>
          <w:szCs w:val="22"/>
        </w:rPr>
      </w:pPr>
    </w:p>
    <w:p w14:paraId="2B85FF32"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Transition from school to adulthood remains a particularly challenging period. Many autistic young people encounter difficulties accessing higher education, employment or independent living opportunities (</w:t>
      </w:r>
      <w:proofErr w:type="spellStart"/>
      <w:r w:rsidRPr="008C7A5C">
        <w:rPr>
          <w:rFonts w:ascii="Arial" w:hAnsi="Arial" w:cs="Arial"/>
          <w:sz w:val="22"/>
          <w:szCs w:val="22"/>
        </w:rPr>
        <w:t>Howlin</w:t>
      </w:r>
      <w:proofErr w:type="spellEnd"/>
      <w:r w:rsidRPr="008C7A5C">
        <w:rPr>
          <w:rFonts w:ascii="Arial" w:hAnsi="Arial" w:cs="Arial"/>
          <w:sz w:val="22"/>
          <w:szCs w:val="22"/>
        </w:rPr>
        <w:t xml:space="preserve"> and Moss, 2012). Supported employment programmes and vocational training schemes have demonstrated promising outcomes in helping autistic adults access meaningful work.</w:t>
      </w:r>
    </w:p>
    <w:p w14:paraId="4E9BD8D6" w14:textId="77777777" w:rsidR="008C7A5C" w:rsidRPr="008C7A5C" w:rsidRDefault="008C7A5C" w:rsidP="008C7A5C">
      <w:pPr>
        <w:spacing w:line="360" w:lineRule="auto"/>
        <w:rPr>
          <w:rFonts w:ascii="Arial" w:hAnsi="Arial" w:cs="Arial"/>
          <w:sz w:val="22"/>
          <w:szCs w:val="22"/>
        </w:rPr>
      </w:pPr>
    </w:p>
    <w:p w14:paraId="4BDA6202"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However, services for adults remain significantly underdeveloped compared with those available for children. Adults without intellectual disability may struggle to access social care support despite experiencing significant difficulties in employment, housing or mental health. This reflects broader systemic issues in service provision, including fragmented funding and restrictive eligibility criteria.</w:t>
      </w:r>
    </w:p>
    <w:p w14:paraId="13EEBF85" w14:textId="77777777" w:rsidR="008C7A5C" w:rsidRPr="008C7A5C" w:rsidRDefault="008C7A5C" w:rsidP="008C7A5C">
      <w:pPr>
        <w:spacing w:line="360" w:lineRule="auto"/>
        <w:rPr>
          <w:rFonts w:ascii="Arial" w:hAnsi="Arial" w:cs="Arial"/>
          <w:sz w:val="22"/>
          <w:szCs w:val="22"/>
        </w:rPr>
      </w:pPr>
    </w:p>
    <w:p w14:paraId="49360E28"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c) Current debates and emerging issues</w:t>
      </w:r>
    </w:p>
    <w:p w14:paraId="39CA0141" w14:textId="77777777" w:rsidR="008C7A5C" w:rsidRPr="008C7A5C" w:rsidRDefault="008C7A5C" w:rsidP="008C7A5C">
      <w:pPr>
        <w:spacing w:line="360" w:lineRule="auto"/>
        <w:rPr>
          <w:rFonts w:ascii="Arial" w:hAnsi="Arial" w:cs="Arial"/>
          <w:sz w:val="22"/>
          <w:szCs w:val="22"/>
        </w:rPr>
      </w:pPr>
    </w:p>
    <w:p w14:paraId="159EE399"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Neurodiversity and the meaning of “disorder”</w:t>
      </w:r>
    </w:p>
    <w:p w14:paraId="0B8E14EA"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lastRenderedPageBreak/>
        <w:t>One of the most significant debates surrounding ASD concerns whether autism should be conceptualised primarily as a disorder or as a form of neurodiversity. Neurodiversity theory suggests that neurological differences such as autism, ADHD and dyslexia represent natural variations within the human population (Singer, 2017).</w:t>
      </w:r>
    </w:p>
    <w:p w14:paraId="64C50E8D" w14:textId="77777777" w:rsidR="008C7A5C" w:rsidRPr="008C7A5C" w:rsidRDefault="008C7A5C" w:rsidP="008C7A5C">
      <w:pPr>
        <w:spacing w:line="360" w:lineRule="auto"/>
        <w:rPr>
          <w:rFonts w:ascii="Arial" w:hAnsi="Arial" w:cs="Arial"/>
          <w:sz w:val="22"/>
          <w:szCs w:val="22"/>
        </w:rPr>
      </w:pPr>
    </w:p>
    <w:p w14:paraId="76CC243E"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Advocates argue that many challenges experienced by autistic individuals arise from social barriers rather than intrinsic deficits. For example, sensory overload in busy environments or communication difficulties in rigid social systems may reflect environmental incompatibility rather than pathology.</w:t>
      </w:r>
    </w:p>
    <w:p w14:paraId="10974361" w14:textId="77777777" w:rsidR="008C7A5C" w:rsidRPr="008C7A5C" w:rsidRDefault="008C7A5C" w:rsidP="008C7A5C">
      <w:pPr>
        <w:spacing w:line="360" w:lineRule="auto"/>
        <w:rPr>
          <w:rFonts w:ascii="Arial" w:hAnsi="Arial" w:cs="Arial"/>
          <w:sz w:val="22"/>
          <w:szCs w:val="22"/>
        </w:rPr>
      </w:pPr>
    </w:p>
    <w:p w14:paraId="1600A699"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However, critics caution that completely removing the concept of disorder may risk minimising the very real difficulties experienced by some autistic individuals, particularly those with significant support needs. The diagnostic label often plays an important role in securing legal protections, funding and access to specialised services (Lord et al., 2020). Consequently, many scholars argue for a balanced approach that recognises both the strengths and challenges associated with autism.</w:t>
      </w:r>
    </w:p>
    <w:p w14:paraId="32040490" w14:textId="77777777" w:rsidR="008C7A5C" w:rsidRPr="008C7A5C" w:rsidRDefault="008C7A5C" w:rsidP="008C7A5C">
      <w:pPr>
        <w:spacing w:line="360" w:lineRule="auto"/>
        <w:rPr>
          <w:rFonts w:ascii="Arial" w:hAnsi="Arial" w:cs="Arial"/>
          <w:sz w:val="22"/>
          <w:szCs w:val="22"/>
        </w:rPr>
      </w:pPr>
    </w:p>
    <w:p w14:paraId="5F2FDF01"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Heterogeneity within the spectrum</w:t>
      </w:r>
    </w:p>
    <w:p w14:paraId="4A8B0945"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Another ongoing debate concerns the increasing breadth of the autism spectrum. The shift to a single diagnostic category has improved recognition of previously overlooked groups, including women and individuals without intellectual disability. However, it has also created a highly heterogeneous diagnostic category encompassing individuals with vastly different abilities and support needs.</w:t>
      </w:r>
    </w:p>
    <w:p w14:paraId="52EF8916" w14:textId="77777777" w:rsidR="008C7A5C" w:rsidRPr="008C7A5C" w:rsidRDefault="008C7A5C" w:rsidP="008C7A5C">
      <w:pPr>
        <w:spacing w:line="360" w:lineRule="auto"/>
        <w:rPr>
          <w:rFonts w:ascii="Arial" w:hAnsi="Arial" w:cs="Arial"/>
          <w:sz w:val="22"/>
          <w:szCs w:val="22"/>
        </w:rPr>
      </w:pPr>
    </w:p>
    <w:p w14:paraId="4A6AF5D8"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Some researchers argue that this heterogeneity complicates scientific research into causes and interventions because participants may differ substantially in cognitive profile and developmental trajectory (</w:t>
      </w:r>
      <w:proofErr w:type="spellStart"/>
      <w:r w:rsidRPr="008C7A5C">
        <w:rPr>
          <w:rFonts w:ascii="Arial" w:hAnsi="Arial" w:cs="Arial"/>
          <w:sz w:val="22"/>
          <w:szCs w:val="22"/>
        </w:rPr>
        <w:t>Happé</w:t>
      </w:r>
      <w:proofErr w:type="spellEnd"/>
      <w:r w:rsidRPr="008C7A5C">
        <w:rPr>
          <w:rFonts w:ascii="Arial" w:hAnsi="Arial" w:cs="Arial"/>
          <w:sz w:val="22"/>
          <w:szCs w:val="22"/>
        </w:rPr>
        <w:t xml:space="preserve"> and Frith, 2020). Others maintain that autism genuinely represents a spectrum with shared underlying characteristics and that specifiers can capture relevant differences.</w:t>
      </w:r>
    </w:p>
    <w:p w14:paraId="04664C0B" w14:textId="77777777" w:rsidR="008C7A5C" w:rsidRPr="008C7A5C" w:rsidRDefault="008C7A5C" w:rsidP="008C7A5C">
      <w:pPr>
        <w:spacing w:line="360" w:lineRule="auto"/>
        <w:rPr>
          <w:rFonts w:ascii="Arial" w:hAnsi="Arial" w:cs="Arial"/>
          <w:sz w:val="22"/>
          <w:szCs w:val="22"/>
        </w:rPr>
      </w:pPr>
    </w:p>
    <w:p w14:paraId="637FFD0A"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Mental health comorbidity and service challenges</w:t>
      </w:r>
    </w:p>
    <w:p w14:paraId="401B4791"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Autistic individuals experience significantly higher rates of mental health difficulties compared with the general population. Anxiety, depression and obsessive</w:t>
      </w:r>
      <w:r w:rsidRPr="008C7A5C">
        <w:rPr>
          <w:rFonts w:ascii="Cambria Math" w:hAnsi="Cambria Math" w:cs="Cambria Math"/>
          <w:sz w:val="22"/>
          <w:szCs w:val="22"/>
        </w:rPr>
        <w:t>‑</w:t>
      </w:r>
      <w:r w:rsidRPr="008C7A5C">
        <w:rPr>
          <w:rFonts w:ascii="Arial" w:hAnsi="Arial" w:cs="Arial"/>
          <w:sz w:val="22"/>
          <w:szCs w:val="22"/>
        </w:rPr>
        <w:t>compulsive disorder are particularly common (Lai et al., 2019). Despite this, mental health services often lack the expertise required to support autistic patients effectively.</w:t>
      </w:r>
    </w:p>
    <w:p w14:paraId="719564D5" w14:textId="77777777" w:rsidR="008C7A5C" w:rsidRPr="008C7A5C" w:rsidRDefault="008C7A5C" w:rsidP="008C7A5C">
      <w:pPr>
        <w:spacing w:line="360" w:lineRule="auto"/>
        <w:rPr>
          <w:rFonts w:ascii="Arial" w:hAnsi="Arial" w:cs="Arial"/>
          <w:sz w:val="22"/>
          <w:szCs w:val="22"/>
        </w:rPr>
      </w:pPr>
    </w:p>
    <w:p w14:paraId="0B4A3372"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lastRenderedPageBreak/>
        <w:t>Historically, autistic individuals with intellectual disabilities were frequently placed in long</w:t>
      </w:r>
      <w:r w:rsidRPr="008C7A5C">
        <w:rPr>
          <w:rFonts w:ascii="Cambria Math" w:hAnsi="Cambria Math" w:cs="Cambria Math"/>
          <w:sz w:val="22"/>
          <w:szCs w:val="22"/>
        </w:rPr>
        <w:t>‑</w:t>
      </w:r>
      <w:r w:rsidRPr="008C7A5C">
        <w:rPr>
          <w:rFonts w:ascii="Arial" w:hAnsi="Arial" w:cs="Arial"/>
          <w:sz w:val="22"/>
          <w:szCs w:val="22"/>
        </w:rPr>
        <w:t>stay institutions. Although many countries have moved towards community</w:t>
      </w:r>
      <w:r w:rsidRPr="008C7A5C">
        <w:rPr>
          <w:rFonts w:ascii="Cambria Math" w:hAnsi="Cambria Math" w:cs="Cambria Math"/>
          <w:sz w:val="22"/>
          <w:szCs w:val="22"/>
        </w:rPr>
        <w:t>‑</w:t>
      </w:r>
      <w:r w:rsidRPr="008C7A5C">
        <w:rPr>
          <w:rFonts w:ascii="Arial" w:hAnsi="Arial" w:cs="Arial"/>
          <w:sz w:val="22"/>
          <w:szCs w:val="22"/>
        </w:rPr>
        <w:t>based support models, some autistic individuals still experience inappropriate hospital admissions or restrictive care settings. Ensuring that mental health services are accessible, autism</w:t>
      </w:r>
      <w:r w:rsidRPr="008C7A5C">
        <w:rPr>
          <w:rFonts w:ascii="Cambria Math" w:hAnsi="Cambria Math" w:cs="Cambria Math"/>
          <w:sz w:val="22"/>
          <w:szCs w:val="22"/>
        </w:rPr>
        <w:t>‑</w:t>
      </w:r>
      <w:r w:rsidRPr="008C7A5C">
        <w:rPr>
          <w:rFonts w:ascii="Arial" w:hAnsi="Arial" w:cs="Arial"/>
          <w:sz w:val="22"/>
          <w:szCs w:val="22"/>
        </w:rPr>
        <w:t>informed and sensory</w:t>
      </w:r>
      <w:r w:rsidRPr="008C7A5C">
        <w:rPr>
          <w:rFonts w:ascii="Cambria Math" w:hAnsi="Cambria Math" w:cs="Cambria Math"/>
          <w:sz w:val="22"/>
          <w:szCs w:val="22"/>
        </w:rPr>
        <w:t>‑</w:t>
      </w:r>
      <w:r w:rsidRPr="008C7A5C">
        <w:rPr>
          <w:rFonts w:ascii="Arial" w:hAnsi="Arial" w:cs="Arial"/>
          <w:sz w:val="22"/>
          <w:szCs w:val="22"/>
        </w:rPr>
        <w:t>sensitive remains a major policy challenge.</w:t>
      </w:r>
    </w:p>
    <w:p w14:paraId="38A45DD4" w14:textId="77777777" w:rsidR="008C7A5C" w:rsidRPr="008C7A5C" w:rsidRDefault="008C7A5C" w:rsidP="008C7A5C">
      <w:pPr>
        <w:spacing w:line="360" w:lineRule="auto"/>
        <w:rPr>
          <w:rFonts w:ascii="Arial" w:hAnsi="Arial" w:cs="Arial"/>
          <w:sz w:val="22"/>
          <w:szCs w:val="22"/>
        </w:rPr>
      </w:pPr>
    </w:p>
    <w:p w14:paraId="14B05773"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d) Recommendations</w:t>
      </w:r>
    </w:p>
    <w:p w14:paraId="4C178A8D" w14:textId="77777777" w:rsidR="008C7A5C" w:rsidRPr="008C7A5C" w:rsidRDefault="008C7A5C" w:rsidP="008C7A5C">
      <w:pPr>
        <w:spacing w:line="360" w:lineRule="auto"/>
        <w:rPr>
          <w:rFonts w:ascii="Arial" w:hAnsi="Arial" w:cs="Arial"/>
          <w:sz w:val="22"/>
          <w:szCs w:val="22"/>
        </w:rPr>
      </w:pPr>
    </w:p>
    <w:p w14:paraId="3E2B30C5"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Classification and diagnosis</w:t>
      </w:r>
    </w:p>
    <w:p w14:paraId="19FABE79"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 xml:space="preserve">Future revisions of diagnostic systems could consider adopting less </w:t>
      </w:r>
      <w:proofErr w:type="spellStart"/>
      <w:r w:rsidRPr="008C7A5C">
        <w:rPr>
          <w:rFonts w:ascii="Arial" w:hAnsi="Arial" w:cs="Arial"/>
          <w:sz w:val="22"/>
          <w:szCs w:val="22"/>
        </w:rPr>
        <w:t>pathologising</w:t>
      </w:r>
      <w:proofErr w:type="spellEnd"/>
      <w:r w:rsidRPr="008C7A5C">
        <w:rPr>
          <w:rFonts w:ascii="Arial" w:hAnsi="Arial" w:cs="Arial"/>
          <w:sz w:val="22"/>
          <w:szCs w:val="22"/>
        </w:rPr>
        <w:t xml:space="preserve"> terminology, such as “neurodevelopmental condition”, while retaining the practical benefits of diagnostic classification. Incorporating dimensional assessments alongside categorical diagnoses may also improve understanding of individual strengths, challenges and support needs.</w:t>
      </w:r>
    </w:p>
    <w:p w14:paraId="4369F7AE" w14:textId="77777777" w:rsidR="008C7A5C" w:rsidRPr="008C7A5C" w:rsidRDefault="008C7A5C" w:rsidP="008C7A5C">
      <w:pPr>
        <w:spacing w:line="360" w:lineRule="auto"/>
        <w:rPr>
          <w:rFonts w:ascii="Arial" w:hAnsi="Arial" w:cs="Arial"/>
          <w:sz w:val="22"/>
          <w:szCs w:val="22"/>
        </w:rPr>
      </w:pPr>
    </w:p>
    <w:p w14:paraId="534FB23D"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Greater attention should be paid to gender, cultural and lifespan differences in autism presentation. Diagnostic guidelines and professional training should include examples of masking behaviours and adult presentations to reduce under</w:t>
      </w:r>
      <w:r w:rsidRPr="008C7A5C">
        <w:rPr>
          <w:rFonts w:ascii="Cambria Math" w:hAnsi="Cambria Math" w:cs="Cambria Math"/>
          <w:sz w:val="22"/>
          <w:szCs w:val="22"/>
        </w:rPr>
        <w:t>‑</w:t>
      </w:r>
      <w:r w:rsidRPr="008C7A5C">
        <w:rPr>
          <w:rFonts w:ascii="Arial" w:hAnsi="Arial" w:cs="Arial"/>
          <w:sz w:val="22"/>
          <w:szCs w:val="22"/>
        </w:rPr>
        <w:t>recognition in marginalised groups.</w:t>
      </w:r>
    </w:p>
    <w:p w14:paraId="3375BACF" w14:textId="77777777" w:rsidR="008C7A5C" w:rsidRPr="008C7A5C" w:rsidRDefault="008C7A5C" w:rsidP="008C7A5C">
      <w:pPr>
        <w:spacing w:line="360" w:lineRule="auto"/>
        <w:rPr>
          <w:rFonts w:ascii="Arial" w:hAnsi="Arial" w:cs="Arial"/>
          <w:sz w:val="22"/>
          <w:szCs w:val="22"/>
        </w:rPr>
      </w:pPr>
    </w:p>
    <w:p w14:paraId="468C5936"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Treatment, rehabilitation and policy</w:t>
      </w:r>
    </w:p>
    <w:p w14:paraId="1147476F"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Intervention approaches should prioritise wellbeing, autonomy and quality of life rather than focusing solely on behavioural normalisation. Autistic individuals should be actively involved in designing and evaluating services to ensure that support reflects lived experiences.</w:t>
      </w:r>
    </w:p>
    <w:p w14:paraId="768C267E" w14:textId="77777777" w:rsidR="008C7A5C" w:rsidRPr="008C7A5C" w:rsidRDefault="008C7A5C" w:rsidP="008C7A5C">
      <w:pPr>
        <w:spacing w:line="360" w:lineRule="auto"/>
        <w:rPr>
          <w:rFonts w:ascii="Arial" w:hAnsi="Arial" w:cs="Arial"/>
          <w:sz w:val="22"/>
          <w:szCs w:val="22"/>
        </w:rPr>
      </w:pPr>
    </w:p>
    <w:p w14:paraId="79ADA050"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Policy development should prioritise sustained funding for inclusive education, employment support and accessible mental health services. Strengthening collaboration between health, education and social care systems could help reduce gaps in provision, particularly during key transitions such as adolescence and adulthood.</w:t>
      </w:r>
    </w:p>
    <w:p w14:paraId="14EC16AD" w14:textId="77777777" w:rsidR="008C7A5C" w:rsidRPr="008C7A5C" w:rsidRDefault="008C7A5C" w:rsidP="008C7A5C">
      <w:pPr>
        <w:spacing w:line="360" w:lineRule="auto"/>
        <w:rPr>
          <w:rFonts w:ascii="Arial" w:hAnsi="Arial" w:cs="Arial"/>
          <w:sz w:val="22"/>
          <w:szCs w:val="22"/>
        </w:rPr>
      </w:pPr>
    </w:p>
    <w:p w14:paraId="402E96D5"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Research agendas should also shift towards outcomes that matter to autistic individuals, including wellbeing, independence and community participation. Co</w:t>
      </w:r>
      <w:r w:rsidRPr="008C7A5C">
        <w:rPr>
          <w:rFonts w:ascii="Cambria Math" w:hAnsi="Cambria Math" w:cs="Cambria Math"/>
          <w:sz w:val="22"/>
          <w:szCs w:val="22"/>
        </w:rPr>
        <w:t>‑</w:t>
      </w:r>
      <w:r w:rsidRPr="008C7A5C">
        <w:rPr>
          <w:rFonts w:ascii="Arial" w:hAnsi="Arial" w:cs="Arial"/>
          <w:sz w:val="22"/>
          <w:szCs w:val="22"/>
        </w:rPr>
        <w:t>produced research involving autistic researchers and participants can contribute to more inclusive and meaningful knowledge development.</w:t>
      </w:r>
    </w:p>
    <w:p w14:paraId="565D34C1" w14:textId="704CE5CE" w:rsidR="008C7A5C" w:rsidRDefault="008C7A5C" w:rsidP="008C7A5C">
      <w:pPr>
        <w:spacing w:line="360" w:lineRule="auto"/>
        <w:rPr>
          <w:rFonts w:ascii="Arial" w:hAnsi="Arial" w:cs="Arial"/>
          <w:sz w:val="22"/>
          <w:szCs w:val="22"/>
        </w:rPr>
      </w:pPr>
    </w:p>
    <w:p w14:paraId="5118FFB4" w14:textId="47167D93" w:rsidR="00272B38" w:rsidRDefault="00272B38" w:rsidP="008C7A5C">
      <w:pPr>
        <w:spacing w:line="360" w:lineRule="auto"/>
        <w:rPr>
          <w:rFonts w:ascii="Arial" w:hAnsi="Arial" w:cs="Arial"/>
          <w:sz w:val="22"/>
          <w:szCs w:val="22"/>
        </w:rPr>
      </w:pPr>
    </w:p>
    <w:p w14:paraId="44DC3A6E" w14:textId="4FBA797B" w:rsidR="00272B38" w:rsidRDefault="00272B38" w:rsidP="008C7A5C">
      <w:pPr>
        <w:spacing w:line="360" w:lineRule="auto"/>
        <w:rPr>
          <w:rFonts w:ascii="Arial" w:hAnsi="Arial" w:cs="Arial"/>
          <w:sz w:val="22"/>
          <w:szCs w:val="22"/>
        </w:rPr>
      </w:pPr>
    </w:p>
    <w:p w14:paraId="3FD356A0" w14:textId="77777777" w:rsidR="00272B38" w:rsidRPr="008C7A5C" w:rsidRDefault="00272B38" w:rsidP="008C7A5C">
      <w:pPr>
        <w:spacing w:line="360" w:lineRule="auto"/>
        <w:rPr>
          <w:rFonts w:ascii="Arial" w:hAnsi="Arial" w:cs="Arial"/>
          <w:sz w:val="22"/>
          <w:szCs w:val="22"/>
        </w:rPr>
      </w:pPr>
    </w:p>
    <w:p w14:paraId="50BDC5FA"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References</w:t>
      </w:r>
    </w:p>
    <w:p w14:paraId="1B60D6F2" w14:textId="77777777" w:rsidR="008C7A5C" w:rsidRPr="008C7A5C" w:rsidRDefault="008C7A5C" w:rsidP="008C7A5C">
      <w:pPr>
        <w:spacing w:line="360" w:lineRule="auto"/>
        <w:rPr>
          <w:rFonts w:ascii="Arial" w:hAnsi="Arial" w:cs="Arial"/>
          <w:sz w:val="22"/>
          <w:szCs w:val="22"/>
        </w:rPr>
      </w:pPr>
    </w:p>
    <w:p w14:paraId="6D22D48F"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American Psychiatric Association (2013) Diagnostic and statistical manual of mental disorders (5th ed.). Washington, DC: APA.</w:t>
      </w:r>
    </w:p>
    <w:p w14:paraId="6C415933" w14:textId="77777777" w:rsidR="008C7A5C" w:rsidRPr="008C7A5C" w:rsidRDefault="008C7A5C" w:rsidP="008C7A5C">
      <w:pPr>
        <w:spacing w:line="360" w:lineRule="auto"/>
        <w:rPr>
          <w:rFonts w:ascii="Arial" w:hAnsi="Arial" w:cs="Arial"/>
          <w:sz w:val="22"/>
          <w:szCs w:val="22"/>
        </w:rPr>
      </w:pPr>
    </w:p>
    <w:p w14:paraId="2207DF0F"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 xml:space="preserve">Dawson, G. et al. (2010) ‘Randomized, controlled trial of an intervention for toddlers with autism: The Early Start Denver Model’, </w:t>
      </w:r>
      <w:proofErr w:type="spellStart"/>
      <w:r w:rsidRPr="008C7A5C">
        <w:rPr>
          <w:rFonts w:ascii="Arial" w:hAnsi="Arial" w:cs="Arial"/>
          <w:sz w:val="22"/>
          <w:szCs w:val="22"/>
        </w:rPr>
        <w:t>Pediatrics</w:t>
      </w:r>
      <w:proofErr w:type="spellEnd"/>
      <w:r w:rsidRPr="008C7A5C">
        <w:rPr>
          <w:rFonts w:ascii="Arial" w:hAnsi="Arial" w:cs="Arial"/>
          <w:sz w:val="22"/>
          <w:szCs w:val="22"/>
        </w:rPr>
        <w:t>, 125(1), pp. e17–e23.</w:t>
      </w:r>
    </w:p>
    <w:p w14:paraId="2304FAB9" w14:textId="77777777" w:rsidR="008C7A5C" w:rsidRPr="008C7A5C" w:rsidRDefault="008C7A5C" w:rsidP="008C7A5C">
      <w:pPr>
        <w:spacing w:line="360" w:lineRule="auto"/>
        <w:rPr>
          <w:rFonts w:ascii="Arial" w:hAnsi="Arial" w:cs="Arial"/>
          <w:sz w:val="22"/>
          <w:szCs w:val="22"/>
        </w:rPr>
      </w:pPr>
    </w:p>
    <w:p w14:paraId="11134E7F" w14:textId="77777777" w:rsidR="008C7A5C" w:rsidRPr="008C7A5C" w:rsidRDefault="008C7A5C" w:rsidP="008C7A5C">
      <w:pPr>
        <w:spacing w:line="360" w:lineRule="auto"/>
        <w:rPr>
          <w:rFonts w:ascii="Arial" w:hAnsi="Arial" w:cs="Arial"/>
          <w:sz w:val="22"/>
          <w:szCs w:val="22"/>
        </w:rPr>
      </w:pPr>
      <w:proofErr w:type="spellStart"/>
      <w:r w:rsidRPr="008C7A5C">
        <w:rPr>
          <w:rFonts w:ascii="Arial" w:hAnsi="Arial" w:cs="Arial"/>
          <w:sz w:val="22"/>
          <w:szCs w:val="22"/>
        </w:rPr>
        <w:t>Fombonne</w:t>
      </w:r>
      <w:proofErr w:type="spellEnd"/>
      <w:r w:rsidRPr="008C7A5C">
        <w:rPr>
          <w:rFonts w:ascii="Arial" w:hAnsi="Arial" w:cs="Arial"/>
          <w:sz w:val="22"/>
          <w:szCs w:val="22"/>
        </w:rPr>
        <w:t>, E. (2003) ‘Epidemiological surveys of autism and other pervasive developmental disorders’, Journal of Autism and Developmental Disorders, 33(4), pp. 365–382.</w:t>
      </w:r>
    </w:p>
    <w:p w14:paraId="2CB715F6" w14:textId="77777777" w:rsidR="008C7A5C" w:rsidRPr="008C7A5C" w:rsidRDefault="008C7A5C" w:rsidP="008C7A5C">
      <w:pPr>
        <w:spacing w:line="360" w:lineRule="auto"/>
        <w:rPr>
          <w:rFonts w:ascii="Arial" w:hAnsi="Arial" w:cs="Arial"/>
          <w:sz w:val="22"/>
          <w:szCs w:val="22"/>
        </w:rPr>
      </w:pPr>
    </w:p>
    <w:p w14:paraId="06D23E36" w14:textId="77777777" w:rsidR="008C7A5C" w:rsidRPr="008C7A5C" w:rsidRDefault="008C7A5C" w:rsidP="008C7A5C">
      <w:pPr>
        <w:spacing w:line="360" w:lineRule="auto"/>
        <w:rPr>
          <w:rFonts w:ascii="Arial" w:hAnsi="Arial" w:cs="Arial"/>
          <w:sz w:val="22"/>
          <w:szCs w:val="22"/>
        </w:rPr>
      </w:pPr>
      <w:proofErr w:type="spellStart"/>
      <w:r w:rsidRPr="008C7A5C">
        <w:rPr>
          <w:rFonts w:ascii="Arial" w:hAnsi="Arial" w:cs="Arial"/>
          <w:sz w:val="22"/>
          <w:szCs w:val="22"/>
        </w:rPr>
        <w:t>Happé</w:t>
      </w:r>
      <w:proofErr w:type="spellEnd"/>
      <w:r w:rsidRPr="008C7A5C">
        <w:rPr>
          <w:rFonts w:ascii="Arial" w:hAnsi="Arial" w:cs="Arial"/>
          <w:sz w:val="22"/>
          <w:szCs w:val="22"/>
        </w:rPr>
        <w:t>, F. and Frith, U. (2020) ‘Annual research review: Looking back to look forward – changes in the concept of autism and implications for future research’, Journal of Child Psychology and Psychiatry, 61(3), pp. 218–232.</w:t>
      </w:r>
    </w:p>
    <w:p w14:paraId="4AA947CD" w14:textId="77777777" w:rsidR="008C7A5C" w:rsidRPr="008C7A5C" w:rsidRDefault="008C7A5C" w:rsidP="008C7A5C">
      <w:pPr>
        <w:spacing w:line="360" w:lineRule="auto"/>
        <w:rPr>
          <w:rFonts w:ascii="Arial" w:hAnsi="Arial" w:cs="Arial"/>
          <w:sz w:val="22"/>
          <w:szCs w:val="22"/>
        </w:rPr>
      </w:pPr>
    </w:p>
    <w:p w14:paraId="5B34676D" w14:textId="77777777" w:rsidR="008C7A5C" w:rsidRPr="008C7A5C" w:rsidRDefault="008C7A5C" w:rsidP="008C7A5C">
      <w:pPr>
        <w:spacing w:line="360" w:lineRule="auto"/>
        <w:rPr>
          <w:rFonts w:ascii="Arial" w:hAnsi="Arial" w:cs="Arial"/>
          <w:sz w:val="22"/>
          <w:szCs w:val="22"/>
        </w:rPr>
      </w:pPr>
      <w:proofErr w:type="spellStart"/>
      <w:r w:rsidRPr="008C7A5C">
        <w:rPr>
          <w:rFonts w:ascii="Arial" w:hAnsi="Arial" w:cs="Arial"/>
          <w:sz w:val="22"/>
          <w:szCs w:val="22"/>
        </w:rPr>
        <w:t>Howlin</w:t>
      </w:r>
      <w:proofErr w:type="spellEnd"/>
      <w:r w:rsidRPr="008C7A5C">
        <w:rPr>
          <w:rFonts w:ascii="Arial" w:hAnsi="Arial" w:cs="Arial"/>
          <w:sz w:val="22"/>
          <w:szCs w:val="22"/>
        </w:rPr>
        <w:t>, P. and Moss, P. (2012) ‘Adults with autism spectrum disorders’, Canadian Journal of Psychiatry, 57(5), pp. 275–283.</w:t>
      </w:r>
    </w:p>
    <w:p w14:paraId="0470A648" w14:textId="77777777" w:rsidR="008C7A5C" w:rsidRPr="008C7A5C" w:rsidRDefault="008C7A5C" w:rsidP="008C7A5C">
      <w:pPr>
        <w:spacing w:line="360" w:lineRule="auto"/>
        <w:rPr>
          <w:rFonts w:ascii="Arial" w:hAnsi="Arial" w:cs="Arial"/>
          <w:sz w:val="22"/>
          <w:szCs w:val="22"/>
        </w:rPr>
      </w:pPr>
    </w:p>
    <w:p w14:paraId="70A7B7EC"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Hull, L. et al. (2020) ‘Gender differences in self</w:t>
      </w:r>
      <w:r w:rsidRPr="008C7A5C">
        <w:rPr>
          <w:rFonts w:ascii="Cambria Math" w:hAnsi="Cambria Math" w:cs="Cambria Math"/>
          <w:sz w:val="22"/>
          <w:szCs w:val="22"/>
        </w:rPr>
        <w:t>‑</w:t>
      </w:r>
      <w:r w:rsidRPr="008C7A5C">
        <w:rPr>
          <w:rFonts w:ascii="Arial" w:hAnsi="Arial" w:cs="Arial"/>
          <w:sz w:val="22"/>
          <w:szCs w:val="22"/>
        </w:rPr>
        <w:t>reported camouflaging in autistic and non</w:t>
      </w:r>
      <w:r w:rsidRPr="008C7A5C">
        <w:rPr>
          <w:rFonts w:ascii="Cambria Math" w:hAnsi="Cambria Math" w:cs="Cambria Math"/>
          <w:sz w:val="22"/>
          <w:szCs w:val="22"/>
        </w:rPr>
        <w:t>‑</w:t>
      </w:r>
      <w:r w:rsidRPr="008C7A5C">
        <w:rPr>
          <w:rFonts w:ascii="Arial" w:hAnsi="Arial" w:cs="Arial"/>
          <w:sz w:val="22"/>
          <w:szCs w:val="22"/>
        </w:rPr>
        <w:t>autistic adults’, Autism, 24(2), pp. 352–363.</w:t>
      </w:r>
    </w:p>
    <w:p w14:paraId="6D47D989" w14:textId="77777777" w:rsidR="008C7A5C" w:rsidRPr="008C7A5C" w:rsidRDefault="008C7A5C" w:rsidP="008C7A5C">
      <w:pPr>
        <w:spacing w:line="360" w:lineRule="auto"/>
        <w:rPr>
          <w:rFonts w:ascii="Arial" w:hAnsi="Arial" w:cs="Arial"/>
          <w:sz w:val="22"/>
          <w:szCs w:val="22"/>
        </w:rPr>
      </w:pPr>
    </w:p>
    <w:p w14:paraId="78713FE6"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Lai, M.</w:t>
      </w:r>
      <w:r w:rsidRPr="008C7A5C">
        <w:rPr>
          <w:rFonts w:ascii="Cambria Math" w:hAnsi="Cambria Math" w:cs="Cambria Math"/>
          <w:sz w:val="22"/>
          <w:szCs w:val="22"/>
        </w:rPr>
        <w:t>‑</w:t>
      </w:r>
      <w:r w:rsidRPr="008C7A5C">
        <w:rPr>
          <w:rFonts w:ascii="Arial" w:hAnsi="Arial" w:cs="Arial"/>
          <w:sz w:val="22"/>
          <w:szCs w:val="22"/>
        </w:rPr>
        <w:t>C. et al. (2015) ‘Sex/gender differences and autism: Setting the scene for future research’, Journal of the American Academy of Child and Adolescent Psychiatry, 54(1), pp. 11–24.</w:t>
      </w:r>
    </w:p>
    <w:p w14:paraId="2BAD4062" w14:textId="77777777" w:rsidR="008C7A5C" w:rsidRPr="008C7A5C" w:rsidRDefault="008C7A5C" w:rsidP="008C7A5C">
      <w:pPr>
        <w:spacing w:line="360" w:lineRule="auto"/>
        <w:rPr>
          <w:rFonts w:ascii="Arial" w:hAnsi="Arial" w:cs="Arial"/>
          <w:sz w:val="22"/>
          <w:szCs w:val="22"/>
        </w:rPr>
      </w:pPr>
    </w:p>
    <w:p w14:paraId="308BC3BF"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Lai, M.</w:t>
      </w:r>
      <w:r w:rsidRPr="008C7A5C">
        <w:rPr>
          <w:rFonts w:ascii="Cambria Math" w:hAnsi="Cambria Math" w:cs="Cambria Math"/>
          <w:sz w:val="22"/>
          <w:szCs w:val="22"/>
        </w:rPr>
        <w:t>‑</w:t>
      </w:r>
      <w:r w:rsidRPr="008C7A5C">
        <w:rPr>
          <w:rFonts w:ascii="Arial" w:hAnsi="Arial" w:cs="Arial"/>
          <w:sz w:val="22"/>
          <w:szCs w:val="22"/>
        </w:rPr>
        <w:t>C., Lombardo, M. and Baron</w:t>
      </w:r>
      <w:r w:rsidRPr="008C7A5C">
        <w:rPr>
          <w:rFonts w:ascii="Cambria Math" w:hAnsi="Cambria Math" w:cs="Cambria Math"/>
          <w:sz w:val="22"/>
          <w:szCs w:val="22"/>
        </w:rPr>
        <w:t>‑</w:t>
      </w:r>
      <w:r w:rsidRPr="008C7A5C">
        <w:rPr>
          <w:rFonts w:ascii="Arial" w:hAnsi="Arial" w:cs="Arial"/>
          <w:sz w:val="22"/>
          <w:szCs w:val="22"/>
        </w:rPr>
        <w:t>Cohen, S. (2019) ‘Autism’, The Lancet, 383(9920), pp. 896–910.</w:t>
      </w:r>
    </w:p>
    <w:p w14:paraId="7CE14F8C" w14:textId="77777777" w:rsidR="008C7A5C" w:rsidRPr="008C7A5C" w:rsidRDefault="008C7A5C" w:rsidP="008C7A5C">
      <w:pPr>
        <w:spacing w:line="360" w:lineRule="auto"/>
        <w:rPr>
          <w:rFonts w:ascii="Arial" w:hAnsi="Arial" w:cs="Arial"/>
          <w:sz w:val="22"/>
          <w:szCs w:val="22"/>
        </w:rPr>
      </w:pPr>
    </w:p>
    <w:p w14:paraId="6AB5B3E7"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Lord, C. et al. (2020) ‘Autism spectrum disorder’, Nature Reviews Disease Primers, 6(5), pp. 1–23.</w:t>
      </w:r>
    </w:p>
    <w:p w14:paraId="57C3A379" w14:textId="77777777" w:rsidR="008C7A5C" w:rsidRPr="008C7A5C" w:rsidRDefault="008C7A5C" w:rsidP="008C7A5C">
      <w:pPr>
        <w:spacing w:line="360" w:lineRule="auto"/>
        <w:rPr>
          <w:rFonts w:ascii="Arial" w:hAnsi="Arial" w:cs="Arial"/>
          <w:sz w:val="22"/>
          <w:szCs w:val="22"/>
        </w:rPr>
      </w:pPr>
    </w:p>
    <w:p w14:paraId="07632AC8"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Milton, D. (2012) ‘On the ontological status of autism: The “double empathy problem”’, Disability &amp; Society, 27(6), pp. 883–887.</w:t>
      </w:r>
    </w:p>
    <w:p w14:paraId="026CFBA0" w14:textId="77777777" w:rsidR="008C7A5C" w:rsidRPr="008C7A5C" w:rsidRDefault="008C7A5C" w:rsidP="008C7A5C">
      <w:pPr>
        <w:spacing w:line="360" w:lineRule="auto"/>
        <w:rPr>
          <w:rFonts w:ascii="Arial" w:hAnsi="Arial" w:cs="Arial"/>
          <w:sz w:val="22"/>
          <w:szCs w:val="22"/>
        </w:rPr>
      </w:pPr>
    </w:p>
    <w:p w14:paraId="29FDC8BF"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National Institute for Health and Care Excellence (2021) Autism spectrum disorder in under 19s: Recognition, referral and diagnosis. London: NICE.</w:t>
      </w:r>
    </w:p>
    <w:p w14:paraId="080B13E5" w14:textId="77777777" w:rsidR="008C7A5C" w:rsidRPr="008C7A5C" w:rsidRDefault="008C7A5C" w:rsidP="008C7A5C">
      <w:pPr>
        <w:spacing w:line="360" w:lineRule="auto"/>
        <w:rPr>
          <w:rFonts w:ascii="Arial" w:hAnsi="Arial" w:cs="Arial"/>
          <w:sz w:val="22"/>
          <w:szCs w:val="22"/>
        </w:rPr>
      </w:pPr>
    </w:p>
    <w:p w14:paraId="2C06EDC4"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Singer, J. (2017) Neurodiversity: The birth of an idea. Lexington, KY: Judy Singer.</w:t>
      </w:r>
    </w:p>
    <w:p w14:paraId="20DC4D2D" w14:textId="77777777" w:rsidR="008C7A5C" w:rsidRPr="008C7A5C" w:rsidRDefault="008C7A5C" w:rsidP="008C7A5C">
      <w:pPr>
        <w:spacing w:line="360" w:lineRule="auto"/>
        <w:rPr>
          <w:rFonts w:ascii="Arial" w:hAnsi="Arial" w:cs="Arial"/>
          <w:sz w:val="22"/>
          <w:szCs w:val="22"/>
        </w:rPr>
      </w:pPr>
    </w:p>
    <w:p w14:paraId="3E896A13" w14:textId="77777777" w:rsidR="008C7A5C" w:rsidRPr="008C7A5C" w:rsidRDefault="008C7A5C" w:rsidP="008C7A5C">
      <w:pPr>
        <w:spacing w:line="360" w:lineRule="auto"/>
        <w:rPr>
          <w:rFonts w:ascii="Arial" w:hAnsi="Arial" w:cs="Arial"/>
          <w:sz w:val="22"/>
          <w:szCs w:val="22"/>
        </w:rPr>
      </w:pPr>
      <w:r w:rsidRPr="008C7A5C">
        <w:rPr>
          <w:rFonts w:ascii="Arial" w:hAnsi="Arial" w:cs="Arial"/>
          <w:sz w:val="22"/>
          <w:szCs w:val="22"/>
        </w:rPr>
        <w:t>World Health Organization (2019) International classification of diseases for mortality and morbidity statistics (11th revision). Geneva: WHO.</w:t>
      </w:r>
    </w:p>
    <w:p w14:paraId="21722EB3" w14:textId="77777777" w:rsidR="00306CF3" w:rsidRDefault="00272B38"/>
    <w:sectPr w:rsidR="00306CF3" w:rsidSect="008C7A5C">
      <w:pgSz w:w="11900" w:h="16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A5C"/>
    <w:rsid w:val="00256D84"/>
    <w:rsid w:val="00272B38"/>
    <w:rsid w:val="003C1E1B"/>
    <w:rsid w:val="00520211"/>
    <w:rsid w:val="00817F04"/>
    <w:rsid w:val="008C7A5C"/>
    <w:rsid w:val="00CC2F2B"/>
    <w:rsid w:val="00D750CF"/>
    <w:rsid w:val="00F618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9D778"/>
  <w14:defaultImageDpi w14:val="32767"/>
  <w15:chartTrackingRefBased/>
  <w15:docId w15:val="{BD7F9ABE-F83F-8946-A53E-115A3CC920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C7A5C"/>
    <w:rPr>
      <w:rFonts w:eastAsiaTheme="minorEastAsia"/>
      <w:sz w:val="22"/>
      <w:szCs w:val="22"/>
      <w:lang w:val="en-US" w:eastAsia="zh-CN"/>
    </w:rPr>
  </w:style>
  <w:style w:type="character" w:customStyle="1" w:styleId="NoSpacingChar">
    <w:name w:val="No Spacing Char"/>
    <w:basedOn w:val="DefaultParagraphFont"/>
    <w:link w:val="NoSpacing"/>
    <w:uiPriority w:val="1"/>
    <w:rsid w:val="008C7A5C"/>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00906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10</Pages>
  <Words>2692</Words>
  <Characters>15346</Characters>
  <Application>Microsoft Office Word</Application>
  <DocSecurity>0</DocSecurity>
  <Lines>127</Lines>
  <Paragraphs>36</Paragraphs>
  <ScaleCrop>false</ScaleCrop>
  <Company/>
  <LinksUpToDate>false</LinksUpToDate>
  <CharactersWithSpaces>18002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Psychological Classifications and Provisions Component 2: Written Assignment (Report)</dc:title>
  <dc:subject>BMHP6029</dc:subject>
  <dc:creator>Shaukat sultan. 2309243</dc:creator>
  <cp:keywords/>
  <dc:description/>
  <cp:lastModifiedBy>kohinoor sultan</cp:lastModifiedBy>
  <cp:revision>3</cp:revision>
  <dcterms:created xsi:type="dcterms:W3CDTF">2026-03-12T11:30:00Z</dcterms:created>
  <dcterms:modified xsi:type="dcterms:W3CDTF">2026-03-12T11:34:00Z</dcterms:modified>
</cp:coreProperties>
</file>