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1">
      <w:pPr>
        <w:jc w:val="center"/>
        <w:rPr>
          <w:rFonts w:hint="default" w:ascii="Arial" w:hAnsi="Arial" w:eastAsia="Arial" w:cs="Arial"/>
          <w:b/>
          <w:bCs/>
          <w:sz w:val="28"/>
          <w:szCs w:val="28"/>
          <w:lang w:val="en-GB"/>
        </w:rPr>
      </w:pPr>
      <w:r>
        <w:rPr>
          <w:rFonts w:ascii="Arial" w:hAnsi="Arial" w:eastAsia="Arial" w:cs="Arial"/>
          <w:b/>
          <w:bCs/>
          <w:sz w:val="28"/>
          <w:szCs w:val="28"/>
        </w:rPr>
        <w:t>Module: Digital Transformation in the Health and Care Professio</w:t>
      </w:r>
      <w:r>
        <w:rPr>
          <w:rFonts w:hint="default" w:ascii="Arial" w:hAnsi="Arial" w:eastAsia="Arial" w:cs="Arial"/>
          <w:b/>
          <w:bCs/>
          <w:sz w:val="28"/>
          <w:szCs w:val="28"/>
          <w:lang w:val="en-GB"/>
        </w:rPr>
        <w:t>ns</w:t>
      </w:r>
    </w:p>
    <w:p w14:paraId="00000002">
      <w:pPr>
        <w:jc w:val="center"/>
        <w:rPr>
          <w:rFonts w:ascii="Arial" w:hAnsi="Arial" w:eastAsia="Arial" w:cs="Arial"/>
          <w:b/>
          <w:bCs/>
          <w:sz w:val="28"/>
          <w:szCs w:val="28"/>
        </w:rPr>
      </w:pPr>
      <w:r>
        <w:rPr>
          <w:rFonts w:ascii="Arial" w:hAnsi="Arial" w:eastAsia="Arial" w:cs="Arial"/>
          <w:b/>
          <w:bCs/>
          <w:sz w:val="28"/>
          <w:szCs w:val="28"/>
        </w:rPr>
        <w:t>Module code: BMHP6026</w:t>
      </w:r>
    </w:p>
    <w:p w14:paraId="00000003">
      <w:pPr>
        <w:jc w:val="center"/>
        <w:rPr>
          <w:rFonts w:hint="default" w:ascii="Arial" w:hAnsi="Arial" w:eastAsia="Arial" w:cs="Arial"/>
          <w:b/>
          <w:bCs/>
          <w:sz w:val="28"/>
          <w:szCs w:val="28"/>
          <w:lang w:val="en-GB"/>
        </w:rPr>
      </w:pPr>
      <w:r>
        <w:rPr>
          <w:rFonts w:ascii="Arial" w:hAnsi="Arial" w:eastAsia="Arial" w:cs="Arial"/>
          <w:b/>
          <w:bCs/>
          <w:sz w:val="28"/>
          <w:szCs w:val="28"/>
        </w:rPr>
        <w:t>Assignment Title: Component 1: Report</w:t>
      </w:r>
      <w:r>
        <w:rPr>
          <w:rFonts w:hint="default" w:ascii="Arial" w:hAnsi="Arial" w:eastAsia="Arial" w:cs="Arial"/>
          <w:b/>
          <w:bCs/>
          <w:sz w:val="28"/>
          <w:szCs w:val="28"/>
          <w:lang w:val="en-GB"/>
        </w:rPr>
        <w:t>(Freestyle Libre)</w:t>
      </w:r>
    </w:p>
    <w:p w14:paraId="00000004">
      <w:pPr>
        <w:jc w:val="center"/>
        <w:rPr>
          <w:rFonts w:hint="default" w:ascii="Arial" w:hAnsi="Arial" w:eastAsia="Arial" w:cs="Arial"/>
          <w:b/>
          <w:bCs/>
          <w:sz w:val="28"/>
          <w:szCs w:val="28"/>
          <w:lang w:val="en-GB"/>
        </w:rPr>
      </w:pPr>
      <w:r>
        <w:rPr>
          <w:rFonts w:ascii="Arial" w:hAnsi="Arial" w:eastAsia="Arial" w:cs="Arial"/>
          <w:b/>
          <w:bCs/>
          <w:sz w:val="28"/>
          <w:szCs w:val="28"/>
        </w:rPr>
        <w:t>Student Name:</w:t>
      </w:r>
      <w:r>
        <w:rPr>
          <w:rFonts w:hint="default" w:ascii="Arial" w:hAnsi="Arial" w:eastAsia="Arial" w:cs="Arial"/>
          <w:b/>
          <w:bCs/>
          <w:sz w:val="28"/>
          <w:szCs w:val="28"/>
          <w:lang w:val="en-GB"/>
        </w:rPr>
        <w:t>Habiba Mahmud Happy</w:t>
      </w:r>
    </w:p>
    <w:p w14:paraId="67CCFE0F">
      <w:pPr>
        <w:jc w:val="center"/>
        <w:rPr>
          <w:rFonts w:hint="default" w:ascii="Arial" w:hAnsi="Arial" w:eastAsia="Arial" w:cs="Arial"/>
          <w:b/>
          <w:bCs/>
          <w:sz w:val="28"/>
          <w:szCs w:val="28"/>
          <w:lang w:val="en-GB"/>
        </w:rPr>
      </w:pPr>
      <w:r>
        <w:rPr>
          <w:rFonts w:hint="default" w:ascii="Arial" w:hAnsi="Arial" w:eastAsia="Arial" w:cs="Arial"/>
          <w:b/>
          <w:bCs/>
          <w:sz w:val="28"/>
          <w:szCs w:val="28"/>
          <w:lang w:val="en-GB"/>
        </w:rPr>
        <w:t>Student id- 2409257</w:t>
      </w:r>
    </w:p>
    <w:p w14:paraId="00000006">
      <w:pPr>
        <w:jc w:val="center"/>
        <w:rPr>
          <w:rFonts w:ascii="Arial" w:hAnsi="Arial" w:eastAsia="Arial" w:cs="Arial"/>
          <w:color w:val="2F5496"/>
          <w:sz w:val="32"/>
          <w:szCs w:val="32"/>
        </w:rPr>
      </w:pPr>
      <w:r>
        <w:rPr>
          <w:rFonts w:ascii="Arial" w:hAnsi="Arial" w:eastAsia="Arial" w:cs="Arial"/>
          <w:color w:val="2F5496"/>
          <w:sz w:val="32"/>
          <w:szCs w:val="32"/>
        </w:rPr>
        <w:t>Table of Contents</w:t>
      </w:r>
    </w:p>
    <w:sdt>
      <w:sdtPr>
        <w:rPr>
          <w:rFonts w:ascii="Arial" w:hAnsi="Arial" w:cs="Arial"/>
          <w:sz w:val="22"/>
          <w:szCs w:val="22"/>
        </w:rPr>
        <w:id w:val="-616403002"/>
        <w:docPartObj>
          <w:docPartGallery w:val="Table of Contents"/>
          <w:docPartUnique/>
        </w:docPartObj>
      </w:sdtPr>
      <w:sdtEndPr>
        <w:rPr>
          <w:rFonts w:ascii="Arial" w:hAnsi="Arial" w:cs="Arial"/>
          <w:sz w:val="22"/>
          <w:szCs w:val="22"/>
        </w:rPr>
      </w:sdtEndPr>
      <w:sdtContent>
        <w:p w14:paraId="12416D82">
          <w:pPr>
            <w:pStyle w:val="18"/>
            <w:tabs>
              <w:tab w:val="right" w:leader="dot" w:pos="9350"/>
            </w:tabs>
            <w:rPr>
              <w:rFonts w:ascii="Arial" w:hAnsi="Arial" w:cs="Arial" w:eastAsiaTheme="minorEastAsia"/>
              <w:kern w:val="2"/>
              <w:sz w:val="22"/>
              <w:szCs w:val="22"/>
              <w14:ligatures w14:val="standardContextual"/>
            </w:rPr>
          </w:pPr>
          <w:r>
            <w:rPr>
              <w:rFonts w:ascii="Arial" w:hAnsi="Arial" w:cs="Arial"/>
              <w:sz w:val="22"/>
              <w:szCs w:val="22"/>
            </w:rPr>
            <w:fldChar w:fldCharType="begin"/>
          </w:r>
          <w:r>
            <w:rPr>
              <w:rFonts w:ascii="Arial" w:hAnsi="Arial" w:cs="Arial"/>
              <w:sz w:val="22"/>
              <w:szCs w:val="22"/>
            </w:rPr>
            <w:instrText xml:space="preserve"> TOC \h \u \z \t "Heading 1,1,Heading 2,2,Heading 3,3,"</w:instrText>
          </w:r>
          <w:r>
            <w:rPr>
              <w:rFonts w:ascii="Arial" w:hAnsi="Arial" w:cs="Arial"/>
              <w:sz w:val="22"/>
              <w:szCs w:val="22"/>
            </w:rPr>
            <w:fldChar w:fldCharType="separate"/>
          </w:r>
          <w:r>
            <w:fldChar w:fldCharType="begin"/>
          </w:r>
          <w:r>
            <w:instrText xml:space="preserve"> HYPERLINK \l "_Toc242717400" </w:instrText>
          </w:r>
          <w:r>
            <w:fldChar w:fldCharType="separate"/>
          </w:r>
          <w:r>
            <w:rPr>
              <w:rStyle w:val="15"/>
              <w:rFonts w:ascii="Arial" w:hAnsi="Arial" w:cs="Arial"/>
              <w:sz w:val="22"/>
              <w:szCs w:val="22"/>
            </w:rPr>
            <w:t>Introduction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_Toc242717400 \h </w:instrText>
          </w:r>
          <w:r>
            <w:rPr>
              <w:rFonts w:ascii="Arial" w:hAnsi="Arial" w:cs="Arial"/>
              <w:sz w:val="22"/>
              <w:szCs w:val="22"/>
            </w:rPr>
            <w:fldChar w:fldCharType="separate"/>
          </w:r>
          <w:r>
            <w:rPr>
              <w:rFonts w:ascii="Arial" w:hAnsi="Arial" w:cs="Arial"/>
              <w:sz w:val="22"/>
              <w:szCs w:val="22"/>
            </w:rPr>
            <w:t>1</w:t>
          </w:r>
          <w:r>
            <w:rPr>
              <w:rFonts w:ascii="Arial" w:hAnsi="Arial" w:cs="Arial"/>
              <w:sz w:val="22"/>
              <w:szCs w:val="22"/>
            </w:rPr>
            <w:fldChar w:fldCharType="end"/>
          </w:r>
          <w:r>
            <w:rPr>
              <w:rFonts w:ascii="Arial" w:hAnsi="Arial" w:cs="Arial"/>
              <w:sz w:val="22"/>
              <w:szCs w:val="22"/>
            </w:rPr>
            <w:fldChar w:fldCharType="end"/>
          </w:r>
        </w:p>
        <w:p w14:paraId="7312D689">
          <w:pPr>
            <w:pStyle w:val="18"/>
            <w:tabs>
              <w:tab w:val="right" w:leader="dot" w:pos="9350"/>
            </w:tabs>
            <w:rPr>
              <w:rFonts w:ascii="Arial" w:hAnsi="Arial" w:cs="Arial" w:eastAsiaTheme="minorEastAsia"/>
              <w:kern w:val="2"/>
              <w:sz w:val="22"/>
              <w:szCs w:val="22"/>
              <w14:ligatures w14:val="standardContextual"/>
            </w:rPr>
          </w:pPr>
          <w:r>
            <w:fldChar w:fldCharType="begin"/>
          </w:r>
          <w:r>
            <w:instrText xml:space="preserve"> HYPERLINK \l "_Toc242717401" </w:instrText>
          </w:r>
          <w:r>
            <w:fldChar w:fldCharType="separate"/>
          </w:r>
          <w:r>
            <w:rPr>
              <w:rStyle w:val="15"/>
              <w:rFonts w:ascii="Arial" w:hAnsi="Arial" w:cs="Arial"/>
              <w:sz w:val="22"/>
              <w:szCs w:val="22"/>
            </w:rPr>
            <w:t>Overview and Implementation of FreeStyle Libre</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_Toc242717401 \h </w:instrText>
          </w:r>
          <w:r>
            <w:rPr>
              <w:rFonts w:ascii="Arial" w:hAnsi="Arial" w:cs="Arial"/>
              <w:sz w:val="22"/>
              <w:szCs w:val="22"/>
            </w:rPr>
            <w:fldChar w:fldCharType="separate"/>
          </w:r>
          <w:r>
            <w:rPr>
              <w:rFonts w:ascii="Arial" w:hAnsi="Arial" w:cs="Arial"/>
              <w:sz w:val="22"/>
              <w:szCs w:val="22"/>
            </w:rPr>
            <w:t>1</w:t>
          </w:r>
          <w:r>
            <w:rPr>
              <w:rFonts w:ascii="Arial" w:hAnsi="Arial" w:cs="Arial"/>
              <w:sz w:val="22"/>
              <w:szCs w:val="22"/>
            </w:rPr>
            <w:fldChar w:fldCharType="end"/>
          </w:r>
          <w:r>
            <w:rPr>
              <w:rFonts w:ascii="Arial" w:hAnsi="Arial" w:cs="Arial"/>
              <w:sz w:val="22"/>
              <w:szCs w:val="22"/>
            </w:rPr>
            <w:fldChar w:fldCharType="end"/>
          </w:r>
        </w:p>
        <w:p w14:paraId="34BD3C75">
          <w:pPr>
            <w:pStyle w:val="18"/>
            <w:tabs>
              <w:tab w:val="right" w:leader="dot" w:pos="9350"/>
            </w:tabs>
            <w:rPr>
              <w:rFonts w:ascii="Arial" w:hAnsi="Arial" w:cs="Arial" w:eastAsiaTheme="minorEastAsia"/>
              <w:kern w:val="2"/>
              <w:sz w:val="22"/>
              <w:szCs w:val="22"/>
              <w14:ligatures w14:val="standardContextual"/>
            </w:rPr>
          </w:pPr>
          <w:r>
            <w:fldChar w:fldCharType="begin"/>
          </w:r>
          <w:r>
            <w:instrText xml:space="preserve"> HYPERLINK \l "_Toc242717402" </w:instrText>
          </w:r>
          <w:r>
            <w:fldChar w:fldCharType="separate"/>
          </w:r>
          <w:r>
            <w:rPr>
              <w:rStyle w:val="15"/>
              <w:rFonts w:ascii="Arial" w:hAnsi="Arial" w:cs="Arial"/>
              <w:sz w:val="22"/>
              <w:szCs w:val="22"/>
            </w:rPr>
            <w:t>Impact on the Workforce</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_Toc242717402 \h </w:instrText>
          </w:r>
          <w:r>
            <w:rPr>
              <w:rFonts w:ascii="Arial" w:hAnsi="Arial" w:cs="Arial"/>
              <w:sz w:val="22"/>
              <w:szCs w:val="22"/>
            </w:rPr>
            <w:fldChar w:fldCharType="separate"/>
          </w:r>
          <w:r>
            <w:rPr>
              <w:rFonts w:ascii="Arial" w:hAnsi="Arial" w:cs="Arial"/>
              <w:sz w:val="22"/>
              <w:szCs w:val="22"/>
            </w:rPr>
            <w:t>2</w:t>
          </w:r>
          <w:r>
            <w:rPr>
              <w:rFonts w:ascii="Arial" w:hAnsi="Arial" w:cs="Arial"/>
              <w:sz w:val="22"/>
              <w:szCs w:val="22"/>
            </w:rPr>
            <w:fldChar w:fldCharType="end"/>
          </w:r>
          <w:r>
            <w:rPr>
              <w:rFonts w:ascii="Arial" w:hAnsi="Arial" w:cs="Arial"/>
              <w:sz w:val="22"/>
              <w:szCs w:val="22"/>
            </w:rPr>
            <w:fldChar w:fldCharType="end"/>
          </w:r>
        </w:p>
        <w:p w14:paraId="5AC5238D">
          <w:pPr>
            <w:pStyle w:val="18"/>
            <w:tabs>
              <w:tab w:val="right" w:leader="dot" w:pos="9350"/>
            </w:tabs>
            <w:rPr>
              <w:rFonts w:ascii="Arial" w:hAnsi="Arial" w:cs="Arial" w:eastAsiaTheme="minorEastAsia"/>
              <w:kern w:val="2"/>
              <w:sz w:val="22"/>
              <w:szCs w:val="22"/>
              <w14:ligatures w14:val="standardContextual"/>
            </w:rPr>
          </w:pPr>
          <w:r>
            <w:fldChar w:fldCharType="begin"/>
          </w:r>
          <w:r>
            <w:instrText xml:space="preserve"> HYPERLINK \l "_Toc242717403" </w:instrText>
          </w:r>
          <w:r>
            <w:fldChar w:fldCharType="separate"/>
          </w:r>
          <w:r>
            <w:rPr>
              <w:rStyle w:val="15"/>
              <w:rFonts w:ascii="Arial" w:hAnsi="Arial" w:cs="Arial"/>
              <w:sz w:val="22"/>
              <w:szCs w:val="22"/>
            </w:rPr>
            <w:t>Impact on Service Delivery</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_Toc242717403 \h </w:instrText>
          </w:r>
          <w:r>
            <w:rPr>
              <w:rFonts w:ascii="Arial" w:hAnsi="Arial" w:cs="Arial"/>
              <w:sz w:val="22"/>
              <w:szCs w:val="22"/>
            </w:rPr>
            <w:fldChar w:fldCharType="separate"/>
          </w:r>
          <w:r>
            <w:rPr>
              <w:rFonts w:ascii="Arial" w:hAnsi="Arial" w:cs="Arial"/>
              <w:sz w:val="22"/>
              <w:szCs w:val="22"/>
            </w:rPr>
            <w:t>3</w:t>
          </w:r>
          <w:r>
            <w:rPr>
              <w:rFonts w:ascii="Arial" w:hAnsi="Arial" w:cs="Arial"/>
              <w:sz w:val="22"/>
              <w:szCs w:val="22"/>
            </w:rPr>
            <w:fldChar w:fldCharType="end"/>
          </w:r>
          <w:r>
            <w:rPr>
              <w:rFonts w:ascii="Arial" w:hAnsi="Arial" w:cs="Arial"/>
              <w:sz w:val="22"/>
              <w:szCs w:val="22"/>
            </w:rPr>
            <w:fldChar w:fldCharType="end"/>
          </w:r>
        </w:p>
        <w:p w14:paraId="57F1CA43">
          <w:pPr>
            <w:pStyle w:val="18"/>
            <w:tabs>
              <w:tab w:val="right" w:leader="dot" w:pos="9350"/>
            </w:tabs>
            <w:rPr>
              <w:rFonts w:ascii="Arial" w:hAnsi="Arial" w:cs="Arial" w:eastAsiaTheme="minorEastAsia"/>
              <w:kern w:val="2"/>
              <w:sz w:val="22"/>
              <w:szCs w:val="22"/>
              <w14:ligatures w14:val="standardContextual"/>
            </w:rPr>
          </w:pPr>
          <w:r>
            <w:fldChar w:fldCharType="begin"/>
          </w:r>
          <w:r>
            <w:instrText xml:space="preserve"> HYPERLINK \l "_Toc242717404" </w:instrText>
          </w:r>
          <w:r>
            <w:fldChar w:fldCharType="separate"/>
          </w:r>
          <w:r>
            <w:rPr>
              <w:rStyle w:val="15"/>
              <w:rFonts w:ascii="Arial" w:hAnsi="Arial" w:cs="Arial"/>
              <w:sz w:val="22"/>
              <w:szCs w:val="22"/>
            </w:rPr>
            <w:t>Impact on Patients and Service Users</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_Toc242717404 \h </w:instrText>
          </w:r>
          <w:r>
            <w:rPr>
              <w:rFonts w:ascii="Arial" w:hAnsi="Arial" w:cs="Arial"/>
              <w:sz w:val="22"/>
              <w:szCs w:val="22"/>
            </w:rPr>
            <w:fldChar w:fldCharType="separate"/>
          </w:r>
          <w:r>
            <w:rPr>
              <w:rFonts w:ascii="Arial" w:hAnsi="Arial" w:cs="Arial"/>
              <w:sz w:val="22"/>
              <w:szCs w:val="22"/>
            </w:rPr>
            <w:t>4</w:t>
          </w:r>
          <w:r>
            <w:rPr>
              <w:rFonts w:ascii="Arial" w:hAnsi="Arial" w:cs="Arial"/>
              <w:sz w:val="22"/>
              <w:szCs w:val="22"/>
            </w:rPr>
            <w:fldChar w:fldCharType="end"/>
          </w:r>
          <w:r>
            <w:rPr>
              <w:rFonts w:ascii="Arial" w:hAnsi="Arial" w:cs="Arial"/>
              <w:sz w:val="22"/>
              <w:szCs w:val="22"/>
            </w:rPr>
            <w:fldChar w:fldCharType="end"/>
          </w:r>
        </w:p>
        <w:p w14:paraId="71E957B6">
          <w:pPr>
            <w:pStyle w:val="18"/>
            <w:tabs>
              <w:tab w:val="right" w:leader="dot" w:pos="9350"/>
            </w:tabs>
            <w:rPr>
              <w:rFonts w:ascii="Arial" w:hAnsi="Arial" w:cs="Arial" w:eastAsiaTheme="minorEastAsia"/>
              <w:kern w:val="2"/>
              <w:sz w:val="22"/>
              <w:szCs w:val="22"/>
              <w14:ligatures w14:val="standardContextual"/>
            </w:rPr>
          </w:pPr>
          <w:r>
            <w:fldChar w:fldCharType="begin"/>
          </w:r>
          <w:r>
            <w:instrText xml:space="preserve"> HYPERLINK \l "_Toc242717405" </w:instrText>
          </w:r>
          <w:r>
            <w:fldChar w:fldCharType="separate"/>
          </w:r>
          <w:r>
            <w:rPr>
              <w:rStyle w:val="15"/>
              <w:rFonts w:ascii="Arial" w:hAnsi="Arial" w:cs="Arial"/>
              <w:sz w:val="22"/>
              <w:szCs w:val="22"/>
            </w:rPr>
            <w:t>Impact on the Community</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_Toc242717405 \h </w:instrText>
          </w:r>
          <w:r>
            <w:rPr>
              <w:rFonts w:ascii="Arial" w:hAnsi="Arial" w:cs="Arial"/>
              <w:sz w:val="22"/>
              <w:szCs w:val="22"/>
            </w:rPr>
            <w:fldChar w:fldCharType="separate"/>
          </w:r>
          <w:r>
            <w:rPr>
              <w:rFonts w:ascii="Arial" w:hAnsi="Arial" w:cs="Arial"/>
              <w:sz w:val="22"/>
              <w:szCs w:val="22"/>
            </w:rPr>
            <w:t>4</w:t>
          </w:r>
          <w:r>
            <w:rPr>
              <w:rFonts w:ascii="Arial" w:hAnsi="Arial" w:cs="Arial"/>
              <w:sz w:val="22"/>
              <w:szCs w:val="22"/>
            </w:rPr>
            <w:fldChar w:fldCharType="end"/>
          </w:r>
          <w:r>
            <w:rPr>
              <w:rFonts w:ascii="Arial" w:hAnsi="Arial" w:cs="Arial"/>
              <w:sz w:val="22"/>
              <w:szCs w:val="22"/>
            </w:rPr>
            <w:fldChar w:fldCharType="end"/>
          </w:r>
        </w:p>
        <w:p w14:paraId="1FD6C61F">
          <w:pPr>
            <w:pStyle w:val="18"/>
            <w:tabs>
              <w:tab w:val="right" w:leader="dot" w:pos="9350"/>
            </w:tabs>
            <w:rPr>
              <w:rFonts w:ascii="Arial" w:hAnsi="Arial" w:cs="Arial" w:eastAsiaTheme="minorEastAsia"/>
              <w:kern w:val="2"/>
              <w:sz w:val="22"/>
              <w:szCs w:val="22"/>
              <w14:ligatures w14:val="standardContextual"/>
            </w:rPr>
          </w:pPr>
          <w:r>
            <w:fldChar w:fldCharType="begin"/>
          </w:r>
          <w:r>
            <w:instrText xml:space="preserve"> HYPERLINK \l "_Toc242717406" </w:instrText>
          </w:r>
          <w:r>
            <w:fldChar w:fldCharType="separate"/>
          </w:r>
          <w:r>
            <w:rPr>
              <w:rStyle w:val="15"/>
              <w:rFonts w:ascii="Arial" w:hAnsi="Arial" w:cs="Arial"/>
              <w:sz w:val="22"/>
              <w:szCs w:val="22"/>
            </w:rPr>
            <w:t>Conclusion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_Toc242717406 \h </w:instrText>
          </w:r>
          <w:r>
            <w:rPr>
              <w:rFonts w:ascii="Arial" w:hAnsi="Arial" w:cs="Arial"/>
              <w:sz w:val="22"/>
              <w:szCs w:val="22"/>
            </w:rPr>
            <w:fldChar w:fldCharType="separate"/>
          </w:r>
          <w:r>
            <w:rPr>
              <w:rFonts w:ascii="Arial" w:hAnsi="Arial" w:cs="Arial"/>
              <w:sz w:val="22"/>
              <w:szCs w:val="22"/>
            </w:rPr>
            <w:t>5</w:t>
          </w:r>
          <w:r>
            <w:rPr>
              <w:rFonts w:ascii="Arial" w:hAnsi="Arial" w:cs="Arial"/>
              <w:sz w:val="22"/>
              <w:szCs w:val="22"/>
            </w:rPr>
            <w:fldChar w:fldCharType="end"/>
          </w:r>
          <w:r>
            <w:rPr>
              <w:rFonts w:ascii="Arial" w:hAnsi="Arial" w:cs="Arial"/>
              <w:sz w:val="22"/>
              <w:szCs w:val="22"/>
            </w:rPr>
            <w:fldChar w:fldCharType="end"/>
          </w:r>
        </w:p>
        <w:p w14:paraId="0D7B6769">
          <w:pPr>
            <w:pStyle w:val="18"/>
            <w:tabs>
              <w:tab w:val="right" w:leader="dot" w:pos="9350"/>
            </w:tabs>
            <w:rPr>
              <w:rFonts w:ascii="Arial" w:hAnsi="Arial" w:cs="Arial" w:eastAsiaTheme="minorEastAsia"/>
              <w:kern w:val="2"/>
              <w:sz w:val="22"/>
              <w:szCs w:val="22"/>
              <w14:ligatures w14:val="standardContextual"/>
            </w:rPr>
          </w:pPr>
          <w:r>
            <w:fldChar w:fldCharType="begin"/>
          </w:r>
          <w:r>
            <w:instrText xml:space="preserve"> HYPERLINK \l "_Toc242717407" </w:instrText>
          </w:r>
          <w:r>
            <w:fldChar w:fldCharType="separate"/>
          </w:r>
          <w:r>
            <w:rPr>
              <w:rStyle w:val="15"/>
              <w:rFonts w:ascii="Arial" w:hAnsi="Arial" w:cs="Arial"/>
              <w:sz w:val="22"/>
              <w:szCs w:val="22"/>
            </w:rPr>
            <w:t>References</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_Toc242717407 \h </w:instrText>
          </w:r>
          <w:r>
            <w:rPr>
              <w:rFonts w:ascii="Arial" w:hAnsi="Arial" w:cs="Arial"/>
              <w:sz w:val="22"/>
              <w:szCs w:val="22"/>
            </w:rPr>
            <w:fldChar w:fldCharType="separate"/>
          </w:r>
          <w:r>
            <w:rPr>
              <w:rFonts w:ascii="Arial" w:hAnsi="Arial" w:cs="Arial"/>
              <w:sz w:val="22"/>
              <w:szCs w:val="22"/>
            </w:rPr>
            <w:t>6</w:t>
          </w:r>
          <w:r>
            <w:rPr>
              <w:rFonts w:ascii="Arial" w:hAnsi="Arial" w:cs="Arial"/>
              <w:sz w:val="22"/>
              <w:szCs w:val="22"/>
            </w:rPr>
            <w:fldChar w:fldCharType="end"/>
          </w:r>
          <w:r>
            <w:rPr>
              <w:rFonts w:ascii="Arial" w:hAnsi="Arial" w:cs="Arial"/>
              <w:sz w:val="22"/>
              <w:szCs w:val="22"/>
            </w:rPr>
            <w:fldChar w:fldCharType="end"/>
          </w:r>
        </w:p>
        <w:p w14:paraId="0000000F">
          <w:pPr>
            <w:rPr>
              <w:rFonts w:ascii="Arial" w:hAnsi="Arial" w:eastAsia="Arial" w:cs="Arial"/>
              <w:sz w:val="22"/>
              <w:szCs w:val="22"/>
            </w:rPr>
          </w:pPr>
          <w:r>
            <w:rPr>
              <w:rFonts w:ascii="Arial" w:hAnsi="Arial" w:cs="Arial"/>
              <w:sz w:val="22"/>
              <w:szCs w:val="22"/>
            </w:rPr>
            <w:fldChar w:fldCharType="end"/>
          </w:r>
        </w:p>
      </w:sdtContent>
    </w:sdt>
    <w:p w14:paraId="00000010">
      <w:pPr>
        <w:sectPr>
          <w:footerReference r:id="rId5" w:type="default"/>
          <w:pgSz w:w="12240" w:h="15840"/>
          <w:pgMar w:top="1440" w:right="1440" w:bottom="1440" w:left="1440" w:header="720" w:footer="720" w:gutter="0"/>
          <w:cols w:space="720" w:num="1"/>
        </w:sectPr>
      </w:pPr>
    </w:p>
    <w:p w14:paraId="00000011">
      <w:pPr>
        <w:pStyle w:val="2"/>
      </w:pPr>
      <w:bookmarkStart w:id="0" w:name="_Toc242717400"/>
      <w:r>
        <w:t>Introduction</w:t>
      </w:r>
      <w:bookmarkEnd w:id="0"/>
      <w:r>
        <w:t xml:space="preserve"> </w:t>
      </w:r>
    </w:p>
    <w:p w14:paraId="00000012">
      <w:pPr>
        <w:rPr>
          <w:rFonts w:ascii="Arial" w:hAnsi="Arial" w:eastAsia="Arial" w:cs="Arial"/>
          <w:sz w:val="22"/>
          <w:szCs w:val="22"/>
        </w:rPr>
      </w:pPr>
      <w:r>
        <w:rPr>
          <w:rFonts w:ascii="Arial" w:hAnsi="Arial" w:eastAsia="Arial" w:cs="Arial"/>
          <w:sz w:val="22"/>
          <w:szCs w:val="22"/>
        </w:rPr>
        <w:t xml:space="preserve">Digital transformation in the health and care careers is the strategic incorporation of modern technologies. It also includes data analytics and automated plans in medical practice and healthcare procedures to advance patient outcomes and effectiveness (Guraya, 2026). Additionally, it helps reduce the use of paper charts with functionalised digital patient profiles for practical data management. Therefore, artificial intelligence and machine learning support medical decision-making through real-time analysis. The FreeStyle Libre is a continuous glucose monitoring (CGM) system. It was developed by Abbott and helps people with diabetes identify their blood sugar levels without the usual finger pricks (Demidov, 2021). This technology has immense use among people in the UK. This assessment aims to analyse the impact of digital transformation on health and social care. It will illustrate both the positive and negative impacts of FreeStyle Libre in the healthcare workforce. Furthermore, this assessment will demonstrate the impact of FreeStyle Libre on healthcare service delivery. It will also analyse the FreeStyle Libre impact on patients, service users, and the community. </w:t>
      </w:r>
    </w:p>
    <w:p w14:paraId="00000013">
      <w:pPr>
        <w:pStyle w:val="2"/>
      </w:pPr>
      <w:bookmarkStart w:id="1" w:name="_Toc242717401"/>
      <w:r>
        <w:t>Overview and Implementation of FreeStyle Libre</w:t>
      </w:r>
      <w:bookmarkEnd w:id="1"/>
    </w:p>
    <w:p w14:paraId="00000014">
      <w:pPr>
        <w:rPr>
          <w:rFonts w:ascii="Arial" w:hAnsi="Arial" w:eastAsia="Arial" w:cs="Arial"/>
          <w:sz w:val="22"/>
          <w:szCs w:val="22"/>
        </w:rPr>
      </w:pPr>
      <w:r>
        <w:rPr>
          <w:rFonts w:ascii="Arial" w:hAnsi="Arial" w:eastAsia="Arial" w:cs="Arial"/>
          <w:sz w:val="22"/>
          <w:szCs w:val="22"/>
        </w:rPr>
        <w:t>The FreeStyle Libre is a continuous glucose monitoring (CGM) and flash blood glucose monitoring system. It identifies sugar levels in the fluid adjacent to cells instead of directly in blood (Tikhonov, Khorunzhaya and Umarov, 2023). Additionally, it is a small, waterproof device that is inserted into the skin of the upper arm by employing a simple applicator. Furthermore, it is a small, flexible thread that sits just under the skin. Therefore, this is a wired, enzyme-based device technology that measures interstitial glucose levels regularly (Guraya, 2026). Moreover, the system is factory-configured, which means it does not require routine finger-prick blood tests to regulate it. This device works with an automatic glucose reading. It eliminates the necessity for regular, painful capillary blood sampling to test blood drops during the day and night. In addition, Abbott developed the FreeStyle Libre in 2014 (Demidov, 2021). It is a substitute for common tube blood glucose monitoring and real-time continuous glucose monitoring. Besides, the device was added to the NHS Drug Tariff in 2017 (Demidov et al., 2020). This device is initially manageable for a small unit that self-invests in it. To implement this device, prescriptions are usually introduced by hospital- or society-focused diabetes specialist teams during patient reviews. Moreover, healthcare workers have implemented the FreeStyle Libre system because it significantly advances patient diabetes management while streamlining medical systems. FreeStyle Libre effectively transformed diabetes management (Kukreti et al., 2024). It faces significant barriers in training and education, financial and cost barriers, accessibility and disparity and integration challenges.</w:t>
      </w:r>
    </w:p>
    <w:p w14:paraId="00000015">
      <w:pPr>
        <w:pStyle w:val="2"/>
      </w:pPr>
      <w:bookmarkStart w:id="2" w:name="_Toc242717402"/>
      <w:r>
        <w:t>Impact on the Workforce</w:t>
      </w:r>
      <w:bookmarkEnd w:id="2"/>
    </w:p>
    <w:p w14:paraId="00000016">
      <w:pPr>
        <w:rPr>
          <w:rFonts w:ascii="Arial" w:hAnsi="Arial" w:eastAsia="Arial" w:cs="Arial"/>
          <w:sz w:val="22"/>
          <w:szCs w:val="22"/>
        </w:rPr>
      </w:pPr>
      <w:r>
        <w:rPr>
          <w:rFonts w:ascii="Arial" w:hAnsi="Arial" w:eastAsia="Arial" w:cs="Arial"/>
          <w:sz w:val="22"/>
          <w:szCs w:val="22"/>
        </w:rPr>
        <w:t xml:space="preserve">The FreeStyle Libre flash and continuous glucose monitoring (CGM) system most importantly impacts healthcare professionals (HCPs). It helps by changing diabetes management from a scrappy, review-based procedure into a regular, data-focused cooperative system (Karonsky and Amirkhanov, 2023). For General Physicians, the </w:t>
      </w:r>
      <w:r>
        <w:rPr>
          <w:rFonts w:ascii="Arial" w:hAnsi="Arial" w:eastAsia="Arial" w:cs="Arial"/>
          <w:sz w:val="22"/>
          <w:szCs w:val="22"/>
          <w:lang w:val="en-GB"/>
        </w:rPr>
        <w:t>Free Style</w:t>
      </w:r>
      <w:r>
        <w:rPr>
          <w:rFonts w:ascii="Arial" w:hAnsi="Arial" w:eastAsia="Arial" w:cs="Arial"/>
          <w:sz w:val="22"/>
          <w:szCs w:val="22"/>
        </w:rPr>
        <w:t xml:space="preserve"> Libre moves the emphasis from handling remote HbA1c facts to dynamically identifying complete glycaemic profiles. Instead of just depending on intermittent, self-reported blood sugar test books, GPs get a complete "Ambulatory Glucose Profile" (AGP) via cloud platforms like LibreView (Demidov, 2021). This permits them to rapidly assess glucose inconsistency, classify instant hypoglycemia, and positively adjust therapies. Additionally, research specifies that the perceptibility of immediate data can intensify glucose awareness. This helps result in a provisional increase in treatment adherence. It also results in an organised spike in worker visits to steady glycemic regulation (Shanholtzer, 2026). Furthermore, nurses commonly manage the placement, technical arrangement, and real-world supervision of diabetes tech. Therefore, in community and ward settings, regular supervision reduces the manual pressure of regular blood sugar tests. This also gives nurses back treasured time while increasing patient security through present reports and immediate follow-up (Herberger and Dötsch, 2021). Besides, digital tools prepare general practice nurses (GPNs) to advise patients on how diet, exercise, and insulin medication directly impact their movements. Moreover, reliable support from devices and bilingual translation resources permits nurses to measure this technology across various cultural demographics efficiently. For specialists handling risky, hard and complicated cases, this technology transforms medical systems (Gyamerah et al., 2025). In addition, specialists can evaluate unified patient cloud information remotely. This empowers effective virtual doctor visits, where changes to complicated insulin doses and multi-dose treatments can be discussed over the phone. This digital change avoids the necessity for physical hospital visits (Equlinet Misganaw and Giletew Wondie, 2026). The positive impacts of FreeStyle Libre are that patients can effortlessly identify how precise meals, physical exercise, and medicines determine daytime highs or night lows. Therefore, it also helps patients and families feel less concerned and improves overall peace of mind concerning blood sugar instabilities. On the contrary, integrating FreeStyle Libre into a medical practice needs an organised, continuing investment in employee training (De Martinis and Ginaldi, 2024). Consequently, healthcare professionals (HCPs) need to be trained on in what manner the device functions, by what method to implement it, in what way to diagnose issues, and in what way to understand Ambulatory Glucose Profile (AGP) reports. Also, the change to digital diabetology necessitates both employees and patients to have a basic level of digital skills (Demidov et al., 2020). This can generate diverse barriers. </w:t>
      </w:r>
    </w:p>
    <w:p w14:paraId="00000017">
      <w:pPr>
        <w:pStyle w:val="2"/>
      </w:pPr>
      <w:bookmarkStart w:id="3" w:name="_Toc242717403"/>
      <w:r>
        <w:t>Impact on Service Delivery</w:t>
      </w:r>
      <w:bookmarkEnd w:id="3"/>
    </w:p>
    <w:p w14:paraId="00000018">
      <w:pPr>
        <w:rPr>
          <w:rFonts w:ascii="Arial" w:hAnsi="Arial" w:eastAsia="Arial" w:cs="Arial"/>
          <w:sz w:val="22"/>
          <w:szCs w:val="22"/>
        </w:rPr>
      </w:pPr>
      <w:r>
        <w:rPr>
          <w:rFonts w:ascii="Arial" w:hAnsi="Arial" w:eastAsia="Arial" w:cs="Arial"/>
          <w:sz w:val="22"/>
          <w:szCs w:val="22"/>
        </w:rPr>
        <w:t xml:space="preserve">The FreeStyle Libre transforms daily diabetes care by substituting regular, painful blood glucose monitoring tests with a regular device utilised on the back of the arm. Additionally, it has reflective medical and social benefits by moving diabetes care from late snaps to present, functional informational perceptions (Lawrence and Levine, 2024). Furthermore, common self-assessment depends on irregular blood drops, mislaid critical glycaemic points or missed drops. Therefore, the FreeStyle Libre uses a factory-supplied device under the skin to identify interstitial fluid glucose levels regularly. It regularly follows up on glucose during earlier unnoticed gaps. This device efficiently detects nighttime hypoglycemia and post-meal increases (Tikhonov, Khorunzhaya and Umarov, 2023). Besides, one of the fastest lifestyle benefits is the radical decrease in painful, physical finger-prick tests. Because the device necessitates no patient glucometer adjustment. It also decreases patients' feelings of an instant drop in blood sugar test distress. Therefore, research shows a usual 79% decrease in regular blood sugar testing (Demidov et al., 2020). Instead of studying uneven, handwritten reports and inadequate patient memory, physicians can investigate collective, consistent graphical profiles. Moreover, the Ambulatory Glucose Profile (AGP) system makes solid data planning into a single pictorial report. This permits healthcare employees to see consistent daily outlines and operational changes (Shanholtzer, 2026). By using cloud platforms like LibreView, patients can share reports regularly with their healthcare team effortlessly. On the other hand, patients regularly experience connectivity drops because of Bluetooth noise, distance restrictions, and software updates (Herberger and Dötsch, 2021). So, these update malfunctions can cause application conflicts and lead to an empty sort. This necessitates app restarts. Furthermore, patients regularly encounter Sensor Error or Scan Again in 10 Minutes notices. These are instigated by environmental illness excesses, supplement site shock, and fast glucose shifts throughout powerful physical workouts (Kukreti et al., 2024). Deprived of acceptable insurance support, the frequent financial pressure is significant. The cost of current retail prices for the device is usually around $400 to $600 for the primary setup. However, wide-ranging medical tests and practical evidence validate that the FreeStyle Libre portfolio substantially advances the value, competence and availability of healthcare for people dealing with diabetes (Lawrence and Levine, 2024). </w:t>
      </w:r>
    </w:p>
    <w:p w14:paraId="00000019">
      <w:pPr>
        <w:pStyle w:val="2"/>
      </w:pPr>
      <w:bookmarkStart w:id="4" w:name="_Toc242717404"/>
      <w:r>
        <w:t>Impact on Patients and Service Users</w:t>
      </w:r>
      <w:bookmarkEnd w:id="4"/>
    </w:p>
    <w:p w14:paraId="0000001A">
      <w:pPr>
        <w:rPr>
          <w:rFonts w:ascii="Arial" w:hAnsi="Arial" w:eastAsia="Arial" w:cs="Arial"/>
          <w:sz w:val="22"/>
          <w:szCs w:val="22"/>
        </w:rPr>
      </w:pPr>
      <w:r>
        <w:rPr>
          <w:rFonts w:ascii="Arial" w:hAnsi="Arial" w:eastAsia="Arial" w:cs="Arial"/>
          <w:sz w:val="22"/>
          <w:szCs w:val="22"/>
        </w:rPr>
        <w:t>The FreeStyle Libre directly changes how people manage diabetes through present data, movement perceptibility and lifestyle perceptions. The positive impact is greater independence. Patients can inconspicuously scan their device and check their smartphone app to rapidly see their current glucose level without requiring a blood sample (De Martinis and Ginaldi, 2024). Additionally, it permits people to participate in sports, travel, and social excursions without the continuous disruption of physical testing. Furthermore, immediate alarms alert patients or caregivers to nighttime hypoglycemia before they become risky. This encourages a perception of independence (Demidov, 2021). Therefore, it removes the uneasiness and physical bumps produced by everyday blood sugar tests. Moreover, the device automatically records glucose levels every few minutes. This follows up shifts even while the patient is asleep. Besides, blood sugar level information can be routinely shared through cloud-based apps with family members, caregivers, and healthcare professionals (Equlinet Misganaw and Giletew Wondie, 2026). This helps decrease the necessity for physical sorting. On the contrary, the adhesive is used to retain the FreeStyle Libre device close to the skin for 14 days. This can cause dermatological problems. Many patients experience hypersensitivity or aggravated contact eczema. Therefore, this can cause inflammation, severe burning, swelling, and itching when the adhesive touches the skin (Tikhonov, Khorunzhaya and Umarov, 2023). Factually, chemicals like isobornyl acrylate (IBOA) in the paste have been recognised as common offenders for these allergic responses. Consequently, detaching the strongly adhered device every two weeks can damage the upper layers of skin. This can result in raw spots, micro-tears, and the possibility of infection. Moreover, the comfort of inspecting glucose levels can result in using the device lots of times a day (Shanholtzer, 2026). Also, patients frequently become obsessed with minor changes, which results in continuous concern. However, medical inspections and qualitative research reliably focus on high satisfaction across four key pillars of the patient experience</w:t>
      </w:r>
    </w:p>
    <w:p w14:paraId="0000001B">
      <w:pPr>
        <w:pStyle w:val="2"/>
      </w:pPr>
      <w:bookmarkStart w:id="5" w:name="_Toc242717405"/>
      <w:r>
        <w:t>Impact on the Community</w:t>
      </w:r>
      <w:bookmarkEnd w:id="5"/>
    </w:p>
    <w:p w14:paraId="0000001C">
      <w:pPr>
        <w:rPr>
          <w:rFonts w:ascii="Arial" w:hAnsi="Arial" w:eastAsia="Arial" w:cs="Arial"/>
          <w:sz w:val="22"/>
          <w:szCs w:val="22"/>
        </w:rPr>
      </w:pPr>
      <w:r>
        <w:rPr>
          <w:rFonts w:ascii="Arial" w:hAnsi="Arial" w:eastAsia="Arial" w:cs="Arial"/>
          <w:sz w:val="22"/>
          <w:szCs w:val="22"/>
        </w:rPr>
        <w:t>The FreeStyle Libre system determines mechanical changes that encompass different patients. This generates flowing advantages for families, caregivers, and regional healthcare services. Additionally, dealing with diabetes is frequently a shared family struggle (De Martinis and Ginaldi, 2024). The FreeStyle Libre changes this dynamic by decreasing daily resistance and concern. Furthermore, family members can assess actual glucose information and movements without having to continuously ask the patient to pierce their finger (Herberger and Dötsch, 2021). Therefore, this changes the family's responsibilities from diabetes tester to a conversant, helpful partner. Moreover, for people living in rural areas, travelling often and being far from particular medical centres, silent supervision acts as an important connector. Besides, doctors and professional nurses can appraise data remotely, regulate insulin treatments and provide medicines through telehealth (Guraya, 2026). In addition, this stops negligible glycaemic changes from becoming medical emergencies. On the other hand, strict treatment and insurance support rules frequently require patients to meet precise standards, such as the minimum number of daily insulin injections. Furthermore, the high cost of devices and readers generates a blunt separation (Equlinet Misganaw and Giletew Wondie, 2026). Therefore, people without full insurance or those living in working-class demographics are often beyond budget. This leaves the technology generally manageable only to richer populations. Moreover, the FreeStyle Libre depend profoundly on smartphone apps, cloud-based data allocation, and digital boundaries (De Martinis and Ginaldi, 2024). Therefore, patients who lack computer literacy, steady internet access, or recent smartphones face substantial obstacles in accepting and implementing the device efficiently. However, implementing the FreeStyle Libre continuous glucose monitoring (CGM) system functions greatly as a cooperative partnership between patients, families and healthcare professionals (HCPs) (Demidov, 2021).</w:t>
      </w:r>
    </w:p>
    <w:p w14:paraId="0000001D">
      <w:pPr>
        <w:pStyle w:val="2"/>
      </w:pPr>
      <w:bookmarkStart w:id="6" w:name="_Toc242717406"/>
      <w:r>
        <w:t>Conclusion</w:t>
      </w:r>
      <w:bookmarkEnd w:id="6"/>
    </w:p>
    <w:p w14:paraId="0000001E">
      <w:pPr>
        <w:rPr>
          <w:rFonts w:ascii="Arial" w:hAnsi="Arial" w:eastAsia="Arial" w:cs="Arial"/>
          <w:sz w:val="22"/>
          <w:szCs w:val="22"/>
        </w:rPr>
      </w:pPr>
      <w:r>
        <w:rPr>
          <w:rFonts w:ascii="Arial" w:hAnsi="Arial" w:eastAsia="Arial" w:cs="Arial"/>
          <w:sz w:val="22"/>
          <w:szCs w:val="22"/>
        </w:rPr>
        <w:t>In conclusion, this assessment has been prepared based on digital transformation in the health and care sector. Additionally, this assessment discussed the FreeStyle Libre, which is a continuous glucose monitoring (CGM) system that assesses blood sugar without piercing fingers. This digital sensor works very impressively, and people in the UK with diabetes have used it successfully for around 10 years. Furthermore, the FreeStyle Libre influences healthcare professionals, such as nurses, GPs and diabetes specialists. Moreover, this report describes how FreeStyle Libre changes day-to-day diabetes care among patients to provide satisfactory service. Besides, this assessment evaluates how FreeStyle Libre affects people living with diabetes with greater independence. Also, it illustrates how FreeStyle Libre has wider effects on families, carers and regional healthcare services effectively.</w:t>
      </w:r>
      <w:r>
        <w:br w:type="page"/>
      </w:r>
    </w:p>
    <w:p w14:paraId="0000001F">
      <w:pPr>
        <w:pStyle w:val="2"/>
      </w:pPr>
      <w:bookmarkStart w:id="7" w:name="_Toc242717407"/>
      <w:r>
        <w:t>References</w:t>
      </w:r>
      <w:bookmarkEnd w:id="7"/>
      <w:r>
        <w:t xml:space="preserve"> </w:t>
      </w:r>
    </w:p>
    <w:p w14:paraId="00000020">
      <w:pPr>
        <w:ind w:left="720" w:hanging="720"/>
        <w:rPr>
          <w:rFonts w:ascii="Arial" w:hAnsi="Arial" w:eastAsia="Arial" w:cs="Arial"/>
          <w:sz w:val="22"/>
          <w:szCs w:val="22"/>
        </w:rPr>
      </w:pPr>
      <w:r>
        <w:rPr>
          <w:rFonts w:ascii="Arial" w:hAnsi="Arial" w:eastAsia="Arial" w:cs="Arial"/>
          <w:sz w:val="22"/>
          <w:szCs w:val="22"/>
        </w:rPr>
        <w:t xml:space="preserve">De Martinis, M. and Ginaldi, L. (2024). Digital skills to improve levels of care and renew health care professions. </w:t>
      </w:r>
      <w:r>
        <w:rPr>
          <w:rFonts w:ascii="Arial" w:hAnsi="Arial" w:eastAsia="Arial" w:cs="Arial"/>
          <w:i/>
          <w:iCs/>
          <w:sz w:val="22"/>
          <w:szCs w:val="22"/>
        </w:rPr>
        <w:t>JMIR Medical Education</w:t>
      </w:r>
      <w:r>
        <w:rPr>
          <w:rFonts w:ascii="Arial" w:hAnsi="Arial" w:eastAsia="Arial" w:cs="Arial"/>
          <w:sz w:val="22"/>
          <w:szCs w:val="22"/>
        </w:rPr>
        <w:t>, 10.</w:t>
      </w:r>
    </w:p>
    <w:p w14:paraId="00000021">
      <w:pPr>
        <w:ind w:left="720" w:hanging="720"/>
        <w:rPr>
          <w:rFonts w:ascii="Arial" w:hAnsi="Arial" w:eastAsia="Arial" w:cs="Arial"/>
          <w:sz w:val="22"/>
          <w:szCs w:val="22"/>
        </w:rPr>
      </w:pPr>
      <w:r>
        <w:rPr>
          <w:rFonts w:ascii="Arial" w:hAnsi="Arial" w:eastAsia="Arial" w:cs="Arial"/>
          <w:sz w:val="22"/>
          <w:szCs w:val="22"/>
        </w:rPr>
        <w:t xml:space="preserve">Demidov, N.A.D. (2021). New possibilities of using the FreeStyle libre flash-glucose monitoring system. FreeStyle libre software ecosystem in Russia. </w:t>
      </w:r>
      <w:r>
        <w:rPr>
          <w:rFonts w:ascii="Arial" w:hAnsi="Arial" w:eastAsia="Arial" w:cs="Arial"/>
          <w:i/>
          <w:iCs/>
          <w:sz w:val="22"/>
          <w:szCs w:val="22"/>
        </w:rPr>
        <w:t>Pharmateca</w:t>
      </w:r>
      <w:r>
        <w:rPr>
          <w:rFonts w:ascii="Arial" w:hAnsi="Arial" w:eastAsia="Arial" w:cs="Arial"/>
          <w:sz w:val="22"/>
          <w:szCs w:val="22"/>
        </w:rPr>
        <w:t>.</w:t>
      </w:r>
    </w:p>
    <w:p w14:paraId="00000022">
      <w:pPr>
        <w:ind w:left="720" w:hanging="720"/>
        <w:rPr>
          <w:rFonts w:ascii="Arial" w:hAnsi="Arial" w:eastAsia="Arial" w:cs="Arial"/>
          <w:sz w:val="22"/>
          <w:szCs w:val="22"/>
        </w:rPr>
      </w:pPr>
      <w:r>
        <w:rPr>
          <w:rFonts w:ascii="Arial" w:hAnsi="Arial" w:eastAsia="Arial" w:cs="Arial"/>
          <w:sz w:val="22"/>
          <w:szCs w:val="22"/>
        </w:rPr>
        <w:t xml:space="preserve">Demidov, N.A.D., Koteshkova, O.M.K., Antsiferov, M.B.A., Moskovsky City Hospital of the Moscow Healthcare Department, Moscow, Russia and Endocrinological Dispensary of the Moscow Healthcare Department, Moscow, Russia (2020). Modern approaches to using the FreeStyle libre flash glucose monitoring system. </w:t>
      </w:r>
      <w:r>
        <w:rPr>
          <w:rFonts w:ascii="Arial" w:hAnsi="Arial" w:eastAsia="Arial" w:cs="Arial"/>
          <w:i/>
          <w:iCs/>
          <w:sz w:val="22"/>
          <w:szCs w:val="22"/>
        </w:rPr>
        <w:t>Pharmateca</w:t>
      </w:r>
      <w:r>
        <w:rPr>
          <w:rFonts w:ascii="Arial" w:hAnsi="Arial" w:eastAsia="Arial" w:cs="Arial"/>
          <w:sz w:val="22"/>
          <w:szCs w:val="22"/>
        </w:rPr>
        <w:t>, 12_2020.</w:t>
      </w:r>
    </w:p>
    <w:p w14:paraId="00000023">
      <w:pPr>
        <w:ind w:left="720" w:hanging="720"/>
        <w:rPr>
          <w:rFonts w:ascii="Arial" w:hAnsi="Arial" w:eastAsia="Arial" w:cs="Arial"/>
          <w:sz w:val="22"/>
          <w:szCs w:val="22"/>
        </w:rPr>
      </w:pPr>
      <w:r>
        <w:rPr>
          <w:rFonts w:ascii="Arial" w:hAnsi="Arial" w:eastAsia="Arial" w:cs="Arial"/>
          <w:sz w:val="22"/>
          <w:szCs w:val="22"/>
        </w:rPr>
        <w:t xml:space="preserve">Equlinet Misganaw, A. and Giletew Wondie, A. (2026). Digital competence in managing Digital Resources among Health Professions faculty in Ethiopian public universities: Implications for CME/CPD digital transformation. </w:t>
      </w:r>
      <w:r>
        <w:rPr>
          <w:rFonts w:ascii="Arial" w:hAnsi="Arial" w:eastAsia="Arial" w:cs="Arial"/>
          <w:i/>
          <w:iCs/>
          <w:sz w:val="22"/>
          <w:szCs w:val="22"/>
        </w:rPr>
        <w:t>Journal of CME</w:t>
      </w:r>
      <w:r>
        <w:rPr>
          <w:rFonts w:ascii="Arial" w:hAnsi="Arial" w:eastAsia="Arial" w:cs="Arial"/>
          <w:sz w:val="22"/>
          <w:szCs w:val="22"/>
        </w:rPr>
        <w:t>, 15(1).</w:t>
      </w:r>
    </w:p>
    <w:p w14:paraId="00000024">
      <w:pPr>
        <w:ind w:left="720" w:hanging="720"/>
        <w:rPr>
          <w:rFonts w:ascii="Arial" w:hAnsi="Arial" w:eastAsia="Arial" w:cs="Arial"/>
          <w:sz w:val="22"/>
          <w:szCs w:val="22"/>
        </w:rPr>
      </w:pPr>
      <w:r>
        <w:rPr>
          <w:rFonts w:ascii="Arial" w:hAnsi="Arial" w:eastAsia="Arial" w:cs="Arial"/>
          <w:sz w:val="22"/>
          <w:szCs w:val="22"/>
        </w:rPr>
        <w:t xml:space="preserve">Guraya, S.Y. (2026). When digital health transformation outpaces educational capacity in health professions education: A policy-practice gap. </w:t>
      </w:r>
      <w:r>
        <w:rPr>
          <w:rFonts w:ascii="Arial" w:hAnsi="Arial" w:eastAsia="Arial" w:cs="Arial"/>
          <w:i/>
          <w:iCs/>
          <w:sz w:val="22"/>
          <w:szCs w:val="22"/>
        </w:rPr>
        <w:t>Khyber Medical University Journal</w:t>
      </w:r>
      <w:r>
        <w:rPr>
          <w:rFonts w:ascii="Arial" w:hAnsi="Arial" w:eastAsia="Arial" w:cs="Arial"/>
          <w:sz w:val="22"/>
          <w:szCs w:val="22"/>
        </w:rPr>
        <w:t>, 18(2).</w:t>
      </w:r>
    </w:p>
    <w:p w14:paraId="00000025">
      <w:pPr>
        <w:ind w:left="720" w:hanging="720"/>
        <w:rPr>
          <w:rFonts w:ascii="Arial" w:hAnsi="Arial" w:eastAsia="Arial" w:cs="Arial"/>
          <w:sz w:val="22"/>
          <w:szCs w:val="22"/>
        </w:rPr>
      </w:pPr>
      <w:r>
        <w:rPr>
          <w:rFonts w:ascii="Arial" w:hAnsi="Arial" w:eastAsia="Arial" w:cs="Arial"/>
          <w:sz w:val="22"/>
          <w:szCs w:val="22"/>
        </w:rPr>
        <w:t xml:space="preserve">Gyamerah, S., Afshari, L., Hallam, K. and Cook, J. (2025). Leading responsibly in the digital age: A framework for health care digital workplace transformation. </w:t>
      </w:r>
      <w:r>
        <w:rPr>
          <w:rFonts w:ascii="Arial" w:hAnsi="Arial" w:eastAsia="Arial" w:cs="Arial"/>
          <w:i/>
          <w:iCs/>
          <w:sz w:val="22"/>
          <w:szCs w:val="22"/>
        </w:rPr>
        <w:t>Health Care Management Review</w:t>
      </w:r>
      <w:r>
        <w:rPr>
          <w:rFonts w:ascii="Arial" w:hAnsi="Arial" w:eastAsia="Arial" w:cs="Arial"/>
          <w:sz w:val="22"/>
          <w:szCs w:val="22"/>
        </w:rPr>
        <w:t>, 51(2).</w:t>
      </w:r>
    </w:p>
    <w:p w14:paraId="00000026">
      <w:pPr>
        <w:ind w:left="720" w:hanging="720"/>
        <w:rPr>
          <w:rFonts w:ascii="Arial" w:hAnsi="Arial" w:eastAsia="Arial" w:cs="Arial"/>
          <w:sz w:val="22"/>
          <w:szCs w:val="22"/>
        </w:rPr>
      </w:pPr>
      <w:r>
        <w:rPr>
          <w:rFonts w:ascii="Arial" w:hAnsi="Arial" w:eastAsia="Arial" w:cs="Arial"/>
          <w:sz w:val="22"/>
          <w:szCs w:val="22"/>
        </w:rPr>
        <w:t xml:space="preserve">Herberger, T.A. and Dötsch, J.J. (2021). </w:t>
      </w:r>
      <w:r>
        <w:rPr>
          <w:rFonts w:ascii="Arial" w:hAnsi="Arial" w:eastAsia="Arial" w:cs="Arial"/>
          <w:i/>
          <w:iCs/>
          <w:sz w:val="22"/>
          <w:szCs w:val="22"/>
        </w:rPr>
        <w:t>Digitalization, digital transformation and sustainability in the global economy</w:t>
      </w:r>
      <w:r>
        <w:rPr>
          <w:rFonts w:ascii="Arial" w:hAnsi="Arial" w:eastAsia="Arial" w:cs="Arial"/>
          <w:sz w:val="22"/>
          <w:szCs w:val="22"/>
        </w:rPr>
        <w:t>. Springer Nature.</w:t>
      </w:r>
    </w:p>
    <w:p w14:paraId="707FCB93">
      <w:pPr>
        <w:ind w:left="720" w:hanging="720"/>
        <w:rPr>
          <w:rFonts w:ascii="Arial" w:hAnsi="Arial" w:eastAsia="Arial" w:cs="Arial"/>
          <w:sz w:val="22"/>
          <w:szCs w:val="22"/>
        </w:rPr>
      </w:pPr>
      <w:r>
        <w:rPr>
          <w:rFonts w:ascii="Arial" w:hAnsi="Arial" w:eastAsia="Arial" w:cs="Arial"/>
          <w:sz w:val="22"/>
          <w:szCs w:val="22"/>
        </w:rPr>
        <w:t>Karonsky</w:t>
      </w:r>
    </w:p>
    <w:p w14:paraId="00000027">
      <w:pPr>
        <w:ind w:left="720" w:hanging="720"/>
        <w:rPr>
          <w:rFonts w:ascii="Arial" w:hAnsi="Arial" w:eastAsia="Arial" w:cs="Arial"/>
          <w:sz w:val="22"/>
          <w:szCs w:val="22"/>
        </w:rPr>
      </w:pPr>
      <w:r>
        <w:rPr>
          <w:rFonts w:ascii="Arial" w:hAnsi="Arial" w:eastAsia="Arial" w:cs="Arial"/>
          <w:sz w:val="22"/>
          <w:szCs w:val="22"/>
        </w:rPr>
        <w:t xml:space="preserve">nsequences of the digital transformation of the pharmaceutical industry. </w:t>
      </w:r>
      <w:r>
        <w:rPr>
          <w:rFonts w:ascii="Arial" w:hAnsi="Arial" w:eastAsia="Arial" w:cs="Arial"/>
          <w:i/>
          <w:iCs/>
          <w:sz w:val="22"/>
          <w:szCs w:val="22"/>
        </w:rPr>
        <w:t xml:space="preserve">Теоретическая и </w:t>
      </w:r>
      <w:bookmarkStart w:id="8" w:name="_GoBack"/>
      <w:bookmarkEnd w:id="8"/>
      <w:r>
        <w:rPr>
          <w:rFonts w:ascii="Arial" w:hAnsi="Arial" w:eastAsia="Arial" w:cs="Arial"/>
          <w:i/>
          <w:iCs/>
          <w:sz w:val="22"/>
          <w:szCs w:val="22"/>
        </w:rPr>
        <w:t>прикладная экономика</w:t>
      </w:r>
      <w:r>
        <w:rPr>
          <w:rFonts w:ascii="Arial" w:hAnsi="Arial" w:eastAsia="Arial" w:cs="Arial"/>
          <w:sz w:val="22"/>
          <w:szCs w:val="22"/>
        </w:rPr>
        <w:t>, (1).</w:t>
      </w:r>
    </w:p>
    <w:p w14:paraId="00000028">
      <w:pPr>
        <w:ind w:left="720" w:hanging="720"/>
        <w:rPr>
          <w:rFonts w:ascii="Arial" w:hAnsi="Arial" w:eastAsia="Arial" w:cs="Arial"/>
          <w:sz w:val="22"/>
          <w:szCs w:val="22"/>
        </w:rPr>
      </w:pPr>
      <w:r>
        <w:rPr>
          <w:rFonts w:ascii="Arial" w:hAnsi="Arial" w:eastAsia="Arial" w:cs="Arial"/>
          <w:sz w:val="22"/>
          <w:szCs w:val="22"/>
        </w:rPr>
        <w:t xml:space="preserve">Kukreti, M., Sehajpal, S., Rajesh, T. and Kiran, S. (2024). </w:t>
      </w:r>
      <w:r>
        <w:rPr>
          <w:rFonts w:ascii="Arial" w:hAnsi="Arial" w:eastAsia="Arial" w:cs="Arial"/>
          <w:i/>
          <w:iCs/>
          <w:sz w:val="22"/>
          <w:szCs w:val="22"/>
        </w:rPr>
        <w:t>Driving global health and sustainable development goals with smart technology</w:t>
      </w:r>
      <w:r>
        <w:rPr>
          <w:rFonts w:ascii="Arial" w:hAnsi="Arial" w:eastAsia="Arial" w:cs="Arial"/>
          <w:sz w:val="22"/>
          <w:szCs w:val="22"/>
        </w:rPr>
        <w:t>. IGI Global.</w:t>
      </w:r>
    </w:p>
    <w:p w14:paraId="00000029">
      <w:pPr>
        <w:ind w:left="720" w:hanging="720"/>
        <w:rPr>
          <w:rFonts w:ascii="Arial" w:hAnsi="Arial" w:eastAsia="Arial" w:cs="Arial"/>
          <w:sz w:val="22"/>
          <w:szCs w:val="22"/>
        </w:rPr>
      </w:pPr>
      <w:r>
        <w:rPr>
          <w:rFonts w:ascii="Arial" w:hAnsi="Arial" w:eastAsia="Arial" w:cs="Arial"/>
          <w:sz w:val="22"/>
          <w:szCs w:val="22"/>
        </w:rPr>
        <w:t xml:space="preserve">Lawrence, K. and Levine, D.L. (2024). The Digital Determinants of Health: A guide for competency development in digital care delivery for health professions trainees (Preprint). </w:t>
      </w:r>
      <w:r>
        <w:rPr>
          <w:rFonts w:ascii="Arial" w:hAnsi="Arial" w:eastAsia="Arial" w:cs="Arial"/>
          <w:i/>
          <w:iCs/>
          <w:sz w:val="22"/>
          <w:szCs w:val="22"/>
        </w:rPr>
        <w:t>JMIR Medical Education</w:t>
      </w:r>
      <w:r>
        <w:rPr>
          <w:rFonts w:ascii="Arial" w:hAnsi="Arial" w:eastAsia="Arial" w:cs="Arial"/>
          <w:sz w:val="22"/>
          <w:szCs w:val="22"/>
        </w:rPr>
        <w:t>, 10.</w:t>
      </w:r>
    </w:p>
    <w:p w14:paraId="0000002A">
      <w:pPr>
        <w:ind w:left="720" w:hanging="720"/>
        <w:rPr>
          <w:rFonts w:ascii="Arial" w:hAnsi="Arial" w:eastAsia="Arial" w:cs="Arial"/>
          <w:sz w:val="22"/>
          <w:szCs w:val="22"/>
        </w:rPr>
      </w:pPr>
      <w:r>
        <w:rPr>
          <w:rFonts w:ascii="Arial" w:hAnsi="Arial" w:eastAsia="Arial" w:cs="Arial"/>
          <w:sz w:val="22"/>
          <w:szCs w:val="22"/>
        </w:rPr>
        <w:t xml:space="preserve">Shanholtzer, M.B. (2026). </w:t>
      </w:r>
      <w:r>
        <w:rPr>
          <w:rFonts w:ascii="Arial" w:hAnsi="Arial" w:eastAsia="Arial" w:cs="Arial"/>
          <w:i/>
          <w:iCs/>
          <w:sz w:val="22"/>
          <w:szCs w:val="22"/>
        </w:rPr>
        <w:t>Health Information Management and Technology: 2026 Release</w:t>
      </w:r>
      <w:r>
        <w:rPr>
          <w:rFonts w:ascii="Arial" w:hAnsi="Arial" w:eastAsia="Arial" w:cs="Arial"/>
          <w:sz w:val="22"/>
          <w:szCs w:val="22"/>
        </w:rPr>
        <w:t>. McGraw-Hill Higher Education (US).</w:t>
      </w:r>
    </w:p>
    <w:p w14:paraId="0000002B">
      <w:pPr>
        <w:ind w:left="720" w:hanging="720"/>
        <w:rPr>
          <w:rFonts w:ascii="Arial" w:hAnsi="Arial" w:eastAsia="Arial" w:cs="Arial"/>
          <w:sz w:val="22"/>
          <w:szCs w:val="22"/>
        </w:rPr>
      </w:pPr>
      <w:r>
        <w:rPr>
          <w:rFonts w:ascii="Arial" w:hAnsi="Arial" w:eastAsia="Arial" w:cs="Arial"/>
          <w:sz w:val="22"/>
          <w:szCs w:val="22"/>
        </w:rPr>
        <w:t xml:space="preserve">Tikhonov, A.V., Khorunzhaya, A.A. and Umarov, S.Z. (2023). Analysis of the pharmaceutical industry digital transformation: Positive and negative consequences. </w:t>
      </w:r>
      <w:r>
        <w:rPr>
          <w:rFonts w:ascii="Arial" w:hAnsi="Arial" w:eastAsia="Arial" w:cs="Arial"/>
          <w:i/>
          <w:iCs/>
          <w:sz w:val="22"/>
          <w:szCs w:val="22"/>
        </w:rPr>
        <w:t>Pharmacoeconomics: Theory and Practice</w:t>
      </w:r>
      <w:r>
        <w:rPr>
          <w:rFonts w:ascii="Arial" w:hAnsi="Arial" w:eastAsia="Arial" w:cs="Arial"/>
          <w:sz w:val="22"/>
          <w:szCs w:val="22"/>
        </w:rPr>
        <w:t>, 11(2).</w:t>
      </w:r>
    </w:p>
    <w:sectPr>
      <w:footerReference r:id="rId6" w:type="default"/>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embedRegular r:id="rId1" w:fontKey="{175B6C88-89A8-4C46-89C7-5B745A1958B2}"/>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1F34D688-29F4-42EE-8AA4-6D37A5F121F2}"/>
  </w:font>
  <w:font w:name="Wingdings">
    <w:panose1 w:val="05000000000000000000"/>
    <w:charset w:val="02"/>
    <w:family w:val="auto"/>
    <w:pitch w:val="default"/>
    <w:sig w:usb0="00000000" w:usb1="00000000" w:usb2="00000000" w:usb3="00000000" w:csb0="80000000" w:csb1="00000000"/>
    <w:embedRegular r:id="rId3" w:fontKey="{F0C3551D-C09D-4EDE-9E54-9C382E534EDE}"/>
  </w:font>
  <w:font w:name="Calibri">
    <w:panose1 w:val="020F0502020204030204"/>
    <w:charset w:val="00"/>
    <w:family w:val="swiss"/>
    <w:pitch w:val="default"/>
    <w:sig w:usb0="E4002EFF" w:usb1="C200247B" w:usb2="00000009" w:usb3="00000000" w:csb0="200001FF" w:csb1="00000000"/>
    <w:embedRegular r:id="rId4" w:fontKey="{02298C0E-C5B9-4766-9448-B8B022399B24}"/>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embedRegular r:id="rId5" w:fontKey="{90939EA0-1DEE-429B-9E9C-D9B4888E0012}"/>
  </w:font>
  <w:font w:name="Arial MT">
    <w:altName w:val="Arial"/>
    <w:panose1 w:val="00000000000000000000"/>
    <w:charset w:val="00"/>
    <w:family w:val="roman"/>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embedRegular r:id="rId6" w:fontKey="{FCC3345B-9F0D-4AA0-B2B1-406EAC01263C}"/>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2C">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jc w:val="right"/>
      <w:rPr>
        <w:color w:val="000000"/>
      </w:rPr>
    </w:pPr>
  </w:p>
  <w:p w14:paraId="0000002D">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2E">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jc w:val="right"/>
      <w:rPr>
        <w:color w:val="000000"/>
      </w:rPr>
    </w:pPr>
    <w:r>
      <w:rPr>
        <w:color w:val="000000"/>
      </w:rPr>
      <w:fldChar w:fldCharType="begin"/>
    </w:r>
    <w:r>
      <w:rPr>
        <w:color w:val="000000"/>
      </w:rPr>
      <w:instrText xml:space="preserve">PAGE</w:instrText>
    </w:r>
    <w:r>
      <w:rPr>
        <w:color w:val="000000"/>
      </w:rPr>
      <w:fldChar w:fldCharType="separate"/>
    </w:r>
    <w:r>
      <w:rPr>
        <w:color w:val="000000"/>
      </w:rPr>
      <w:t>1</w:t>
    </w:r>
    <w:r>
      <w:rPr>
        <w:color w:val="000000"/>
      </w:rPr>
      <w:fldChar w:fldCharType="end"/>
    </w:r>
  </w:p>
  <w:p w14:paraId="0000002F">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1C4D"/>
    <w:rsid w:val="00011C4D"/>
    <w:rsid w:val="00037D01"/>
    <w:rsid w:val="000A1E96"/>
    <w:rsid w:val="000F1D44"/>
    <w:rsid w:val="001E79F0"/>
    <w:rsid w:val="0023439D"/>
    <w:rsid w:val="008B6FFA"/>
    <w:rsid w:val="00C62C27"/>
    <w:rsid w:val="04B26DBD"/>
    <w:rsid w:val="1A9914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GB" w:eastAsia="en-GB" w:bidi="ar-SA"/>
    </w:rPr>
  </w:style>
  <w:style w:type="paragraph" w:styleId="2">
    <w:name w:val="heading 1"/>
    <w:basedOn w:val="1"/>
    <w:next w:val="1"/>
    <w:link w:val="21"/>
    <w:qFormat/>
    <w:uiPriority w:val="9"/>
    <w:pPr>
      <w:keepNext/>
      <w:keepLines/>
      <w:spacing w:before="240"/>
      <w:outlineLvl w:val="0"/>
    </w:pPr>
    <w:rPr>
      <w:rFonts w:ascii="Arial" w:hAnsi="Arial" w:eastAsia="Arial" w:cs="Arial"/>
      <w:color w:val="2F5496"/>
      <w:sz w:val="32"/>
      <w:szCs w:val="32"/>
    </w:rPr>
  </w:style>
  <w:style w:type="paragraph" w:styleId="3">
    <w:name w:val="heading 2"/>
    <w:basedOn w:val="1"/>
    <w:next w:val="1"/>
    <w:link w:val="20"/>
    <w:semiHidden/>
    <w:unhideWhenUsed/>
    <w:qFormat/>
    <w:uiPriority w:val="9"/>
    <w:pPr>
      <w:keepNext/>
      <w:keepLines/>
      <w:spacing w:before="40"/>
      <w:outlineLvl w:val="1"/>
    </w:pPr>
    <w:rPr>
      <w:rFonts w:ascii="Arial" w:hAnsi="Arial" w:eastAsia="Arial" w:cs="Arial"/>
      <w:b/>
      <w:bCs/>
      <w:color w:val="2F5496"/>
      <w:sz w:val="26"/>
      <w:szCs w:val="26"/>
    </w:rPr>
  </w:style>
  <w:style w:type="paragraph" w:styleId="4">
    <w:name w:val="heading 3"/>
    <w:basedOn w:val="1"/>
    <w:next w:val="1"/>
    <w:link w:val="22"/>
    <w:semiHidden/>
    <w:unhideWhenUsed/>
    <w:qFormat/>
    <w:uiPriority w:val="9"/>
    <w:pPr>
      <w:keepNext/>
      <w:keepLines/>
      <w:spacing w:before="40"/>
      <w:outlineLvl w:val="2"/>
    </w:pPr>
    <w:rPr>
      <w:b/>
      <w:bCs/>
      <w:color w:val="1F3863"/>
    </w:rPr>
  </w:style>
  <w:style w:type="paragraph" w:styleId="5">
    <w:name w:val="heading 4"/>
    <w:basedOn w:val="1"/>
    <w:next w:val="1"/>
    <w:link w:val="24"/>
    <w:semiHidden/>
    <w:unhideWhenUsed/>
    <w:qFormat/>
    <w:uiPriority w:val="9"/>
    <w:pPr>
      <w:keepNext/>
      <w:keepLines/>
      <w:spacing w:before="80" w:after="40"/>
      <w:outlineLvl w:val="3"/>
    </w:pPr>
    <w:rPr>
      <w:rFonts w:ascii="Calibri" w:hAnsi="Calibri" w:eastAsia="Calibri" w:cs="Calibri"/>
      <w:i/>
      <w:iCs/>
      <w:color w:val="2F5496"/>
    </w:rPr>
  </w:style>
  <w:style w:type="paragraph" w:styleId="6">
    <w:name w:val="heading 5"/>
    <w:basedOn w:val="1"/>
    <w:next w:val="1"/>
    <w:link w:val="25"/>
    <w:semiHidden/>
    <w:unhideWhenUsed/>
    <w:qFormat/>
    <w:uiPriority w:val="9"/>
    <w:pPr>
      <w:keepNext/>
      <w:keepLines/>
      <w:spacing w:before="80" w:after="40"/>
      <w:outlineLvl w:val="4"/>
    </w:pPr>
    <w:rPr>
      <w:rFonts w:ascii="Calibri" w:hAnsi="Calibri" w:eastAsia="Calibri" w:cs="Calibri"/>
      <w:color w:val="2F5496"/>
    </w:rPr>
  </w:style>
  <w:style w:type="paragraph" w:styleId="7">
    <w:name w:val="heading 6"/>
    <w:basedOn w:val="1"/>
    <w:next w:val="1"/>
    <w:link w:val="26"/>
    <w:semiHidden/>
    <w:unhideWhenUsed/>
    <w:qFormat/>
    <w:uiPriority w:val="9"/>
    <w:pPr>
      <w:keepNext/>
      <w:keepLines/>
      <w:spacing w:before="40"/>
      <w:outlineLvl w:val="5"/>
    </w:pPr>
    <w:rPr>
      <w:rFonts w:ascii="Calibri" w:hAnsi="Calibri" w:eastAsia="Calibri" w:cs="Calibri"/>
      <w:i/>
      <w:iCs/>
      <w:color w:val="595959"/>
    </w:rPr>
  </w:style>
  <w:style w:type="paragraph" w:styleId="8">
    <w:name w:val="heading 7"/>
    <w:basedOn w:val="1"/>
    <w:next w:val="1"/>
    <w:link w:val="27"/>
    <w:semiHidden/>
    <w:unhideWhenUsed/>
    <w:qFormat/>
    <w:uiPriority w:val="9"/>
    <w:pPr>
      <w:keepNext/>
      <w:keepLines/>
      <w:spacing w:before="4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link w:val="40"/>
    <w:unhideWhenUsed/>
    <w:qFormat/>
    <w:uiPriority w:val="99"/>
    <w:pPr>
      <w:tabs>
        <w:tab w:val="center" w:pos="4680"/>
        <w:tab w:val="right" w:pos="9360"/>
      </w:tabs>
      <w:spacing w:line="240" w:lineRule="auto"/>
    </w:pPr>
  </w:style>
  <w:style w:type="paragraph" w:styleId="14">
    <w:name w:val="header"/>
    <w:basedOn w:val="1"/>
    <w:link w:val="39"/>
    <w:unhideWhenUsed/>
    <w:qFormat/>
    <w:uiPriority w:val="99"/>
    <w:pPr>
      <w:tabs>
        <w:tab w:val="center" w:pos="4680"/>
        <w:tab w:val="right" w:pos="9360"/>
      </w:tabs>
      <w:spacing w:line="240" w:lineRule="auto"/>
    </w:pPr>
  </w:style>
  <w:style w:type="character" w:styleId="15">
    <w:name w:val="Hyperlink"/>
    <w:basedOn w:val="11"/>
    <w:unhideWhenUsed/>
    <w:qFormat/>
    <w:uiPriority w:val="99"/>
    <w:rPr>
      <w:color w:val="0563C1" w:themeColor="hyperlink"/>
      <w:u w:val="single"/>
      <w14:textFill>
        <w14:solidFill>
          <w14:schemeClr w14:val="hlink"/>
        </w14:solidFill>
      </w14:textFill>
    </w:rPr>
  </w:style>
  <w:style w:type="paragraph" w:styleId="16">
    <w:name w:val="Subtitle"/>
    <w:basedOn w:val="1"/>
    <w:next w:val="1"/>
    <w:link w:val="31"/>
    <w:qFormat/>
    <w:uiPriority w:val="11"/>
    <w:pPr>
      <w:spacing w:after="160"/>
    </w:pPr>
    <w:rPr>
      <w:rFonts w:ascii="Calibri" w:hAnsi="Calibri" w:eastAsia="Calibri" w:cs="Calibri"/>
      <w:color w:val="595959"/>
      <w:sz w:val="28"/>
      <w:szCs w:val="28"/>
    </w:rPr>
  </w:style>
  <w:style w:type="paragraph" w:styleId="17">
    <w:name w:val="Title"/>
    <w:basedOn w:val="1"/>
    <w:next w:val="1"/>
    <w:link w:val="30"/>
    <w:qFormat/>
    <w:uiPriority w:val="10"/>
    <w:pPr>
      <w:spacing w:after="80" w:line="240" w:lineRule="auto"/>
    </w:pPr>
    <w:rPr>
      <w:rFonts w:ascii="Calibri" w:hAnsi="Calibri" w:eastAsia="Calibri" w:cs="Calibri"/>
      <w:sz w:val="56"/>
      <w:szCs w:val="56"/>
    </w:rPr>
  </w:style>
  <w:style w:type="paragraph" w:styleId="18">
    <w:name w:val="toc 1"/>
    <w:basedOn w:val="1"/>
    <w:next w:val="1"/>
    <w:autoRedefine/>
    <w:unhideWhenUsed/>
    <w:uiPriority w:val="39"/>
    <w:pPr>
      <w:spacing w:after="100"/>
    </w:pPr>
  </w:style>
  <w:style w:type="table" w:customStyle="1" w:styleId="19">
    <w:name w:val="TableNormal"/>
    <w:uiPriority w:val="0"/>
    <w:tblPr>
      <w:tblCellMar>
        <w:top w:w="100" w:type="dxa"/>
        <w:left w:w="100" w:type="dxa"/>
        <w:bottom w:w="100" w:type="dxa"/>
        <w:right w:w="100" w:type="dxa"/>
      </w:tblCellMar>
    </w:tblPr>
  </w:style>
  <w:style w:type="character" w:customStyle="1" w:styleId="20">
    <w:name w:val="Heading 2 Char"/>
    <w:basedOn w:val="11"/>
    <w:link w:val="3"/>
    <w:qFormat/>
    <w:uiPriority w:val="9"/>
    <w:rPr>
      <w:rFonts w:ascii="Arial" w:hAnsi="Arial" w:eastAsiaTheme="majorEastAsia" w:cstheme="majorBidi"/>
      <w:b/>
      <w:color w:val="2F5597" w:themeColor="accent1" w:themeShade="BF"/>
      <w:sz w:val="26"/>
      <w:szCs w:val="26"/>
      <w:lang w:val="en-GB"/>
    </w:rPr>
  </w:style>
  <w:style w:type="character" w:customStyle="1" w:styleId="21">
    <w:name w:val="Heading 1 Char"/>
    <w:basedOn w:val="11"/>
    <w:link w:val="2"/>
    <w:qFormat/>
    <w:uiPriority w:val="9"/>
    <w:rPr>
      <w:rFonts w:ascii="Arial" w:hAnsi="Arial" w:eastAsiaTheme="majorEastAsia" w:cstheme="majorBidi"/>
      <w:color w:val="2F5597" w:themeColor="accent1" w:themeShade="BF"/>
      <w:sz w:val="32"/>
      <w:szCs w:val="32"/>
      <w:lang w:val="en-GB"/>
    </w:rPr>
  </w:style>
  <w:style w:type="character" w:customStyle="1" w:styleId="22">
    <w:name w:val="Heading 3 Char"/>
    <w:basedOn w:val="11"/>
    <w:link w:val="4"/>
    <w:qFormat/>
    <w:uiPriority w:val="9"/>
    <w:rPr>
      <w:rFonts w:ascii="Times New Roman" w:hAnsi="Times New Roman" w:eastAsiaTheme="majorEastAsia" w:cstheme="majorBidi"/>
      <w:b/>
      <w:color w:val="203864" w:themeColor="accent1" w:themeShade="80"/>
      <w:sz w:val="24"/>
      <w:szCs w:val="24"/>
      <w:lang w:val="en-GB"/>
    </w:rPr>
  </w:style>
  <w:style w:type="paragraph" w:customStyle="1" w:styleId="23">
    <w:name w:val="Table Paragraph"/>
    <w:basedOn w:val="1"/>
    <w:qFormat/>
    <w:uiPriority w:val="1"/>
    <w:pPr>
      <w:widowControl w:val="0"/>
      <w:autoSpaceDE w:val="0"/>
      <w:autoSpaceDN w:val="0"/>
      <w:spacing w:before="52" w:line="240" w:lineRule="auto"/>
      <w:ind w:left="57"/>
    </w:pPr>
    <w:rPr>
      <w:rFonts w:eastAsia="Arial MT" w:cs="Arial MT"/>
      <w:lang w:val="en-US"/>
    </w:rPr>
  </w:style>
  <w:style w:type="character" w:customStyle="1" w:styleId="24">
    <w:name w:val="Heading 4 Char"/>
    <w:basedOn w:val="11"/>
    <w:link w:val="5"/>
    <w:semiHidden/>
    <w:qFormat/>
    <w:uiPriority w:val="9"/>
    <w:rPr>
      <w:rFonts w:eastAsiaTheme="majorEastAsia" w:cstheme="majorBidi"/>
      <w:i/>
      <w:iCs/>
      <w:color w:val="2F5597" w:themeColor="accent1" w:themeShade="BF"/>
      <w:sz w:val="24"/>
      <w:lang w:val="en-GB"/>
    </w:rPr>
  </w:style>
  <w:style w:type="character" w:customStyle="1" w:styleId="25">
    <w:name w:val="Heading 5 Char"/>
    <w:basedOn w:val="11"/>
    <w:link w:val="6"/>
    <w:semiHidden/>
    <w:uiPriority w:val="9"/>
    <w:rPr>
      <w:rFonts w:eastAsiaTheme="majorEastAsia" w:cstheme="majorBidi"/>
      <w:color w:val="2F5597" w:themeColor="accent1" w:themeShade="BF"/>
      <w:sz w:val="24"/>
      <w:lang w:val="en-GB"/>
    </w:rPr>
  </w:style>
  <w:style w:type="character" w:customStyle="1" w:styleId="26">
    <w:name w:val="Heading 6 Char"/>
    <w:basedOn w:val="11"/>
    <w:link w:val="7"/>
    <w:semiHidden/>
    <w:qFormat/>
    <w:uiPriority w:val="9"/>
    <w:rPr>
      <w:rFonts w:eastAsiaTheme="majorEastAsia" w:cstheme="majorBidi"/>
      <w:i/>
      <w:iCs/>
      <w:color w:val="595959" w:themeColor="text1" w:themeTint="A6"/>
      <w:sz w:val="24"/>
      <w:lang w:val="en-GB"/>
      <w14:textFill>
        <w14:solidFill>
          <w14:schemeClr w14:val="tx1">
            <w14:lumMod w14:val="65000"/>
            <w14:lumOff w14:val="35000"/>
          </w14:schemeClr>
        </w14:solidFill>
      </w14:textFill>
    </w:rPr>
  </w:style>
  <w:style w:type="character" w:customStyle="1" w:styleId="27">
    <w:name w:val="Heading 7 Char"/>
    <w:basedOn w:val="11"/>
    <w:link w:val="8"/>
    <w:semiHidden/>
    <w:uiPriority w:val="9"/>
    <w:rPr>
      <w:rFonts w:eastAsiaTheme="majorEastAsia" w:cstheme="majorBidi"/>
      <w:color w:val="595959" w:themeColor="text1" w:themeTint="A6"/>
      <w:sz w:val="24"/>
      <w:lang w:val="en-GB"/>
      <w14:textFill>
        <w14:solidFill>
          <w14:schemeClr w14:val="tx1">
            <w14:lumMod w14:val="65000"/>
            <w14:lumOff w14:val="35000"/>
          </w14:schemeClr>
        </w14:solidFill>
      </w14:textFill>
    </w:rPr>
  </w:style>
  <w:style w:type="character" w:customStyle="1" w:styleId="28">
    <w:name w:val="Heading 8 Char"/>
    <w:basedOn w:val="11"/>
    <w:link w:val="9"/>
    <w:semiHidden/>
    <w:qFormat/>
    <w:uiPriority w:val="9"/>
    <w:rPr>
      <w:rFonts w:eastAsiaTheme="majorEastAsia" w:cstheme="majorBidi"/>
      <w:i/>
      <w:iCs/>
      <w:color w:val="262626" w:themeColor="text1" w:themeTint="D9"/>
      <w:sz w:val="24"/>
      <w:lang w:val="en-GB"/>
      <w14:textFill>
        <w14:solidFill>
          <w14:schemeClr w14:val="tx1">
            <w14:lumMod w14:val="85000"/>
            <w14:lumOff w14:val="15000"/>
          </w14:schemeClr>
        </w14:solidFill>
      </w14:textFill>
    </w:rPr>
  </w:style>
  <w:style w:type="character" w:customStyle="1" w:styleId="29">
    <w:name w:val="Heading 9 Char"/>
    <w:basedOn w:val="11"/>
    <w:link w:val="10"/>
    <w:semiHidden/>
    <w:qFormat/>
    <w:uiPriority w:val="9"/>
    <w:rPr>
      <w:rFonts w:eastAsiaTheme="majorEastAsia" w:cstheme="majorBidi"/>
      <w:color w:val="262626" w:themeColor="text1" w:themeTint="D9"/>
      <w:sz w:val="24"/>
      <w:lang w:val="en-GB"/>
      <w14:textFill>
        <w14:solidFill>
          <w14:schemeClr w14:val="tx1">
            <w14:lumMod w14:val="85000"/>
            <w14:lumOff w14:val="15000"/>
          </w14:schemeClr>
        </w14:solidFill>
      </w14:textFill>
    </w:rPr>
  </w:style>
  <w:style w:type="character" w:customStyle="1" w:styleId="30">
    <w:name w:val="Title Char"/>
    <w:basedOn w:val="11"/>
    <w:link w:val="17"/>
    <w:qFormat/>
    <w:uiPriority w:val="10"/>
    <w:rPr>
      <w:rFonts w:asciiTheme="majorHAnsi" w:hAnsiTheme="majorHAnsi" w:eastAsiaTheme="majorEastAsia" w:cstheme="majorBidi"/>
      <w:spacing w:val="-10"/>
      <w:kern w:val="28"/>
      <w:sz w:val="56"/>
      <w:szCs w:val="56"/>
      <w:lang w:val="en-GB"/>
    </w:rPr>
  </w:style>
  <w:style w:type="character" w:customStyle="1" w:styleId="31">
    <w:name w:val="Subtitle Char"/>
    <w:basedOn w:val="11"/>
    <w:link w:val="16"/>
    <w:qFormat/>
    <w:uiPriority w:val="11"/>
    <w:rPr>
      <w:rFonts w:eastAsiaTheme="majorEastAsia" w:cstheme="majorBidi"/>
      <w:color w:val="595959" w:themeColor="text1" w:themeTint="A6"/>
      <w:spacing w:val="15"/>
      <w:sz w:val="28"/>
      <w:szCs w:val="28"/>
      <w:lang w:val="en-GB"/>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qFormat/>
    <w:uiPriority w:val="29"/>
    <w:rPr>
      <w:rFonts w:ascii="Times New Roman" w:hAnsi="Times New Roman"/>
      <w:i/>
      <w:iCs/>
      <w:color w:val="404040" w:themeColor="text1" w:themeTint="BF"/>
      <w:sz w:val="24"/>
      <w:lang w:val="en-GB"/>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1"/>
    <w:qFormat/>
    <w:uiPriority w:val="21"/>
    <w:rPr>
      <w:i/>
      <w:iCs/>
      <w:color w:val="2F5597" w:themeColor="accent1" w:themeShade="BF"/>
    </w:rPr>
  </w:style>
  <w:style w:type="paragraph" w:styleId="36">
    <w:name w:val="Intense Quote"/>
    <w:basedOn w:val="1"/>
    <w:next w:val="1"/>
    <w:link w:val="37"/>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7">
    <w:name w:val="Intense Quote Char"/>
    <w:basedOn w:val="11"/>
    <w:link w:val="36"/>
    <w:qFormat/>
    <w:uiPriority w:val="30"/>
    <w:rPr>
      <w:rFonts w:ascii="Times New Roman" w:hAnsi="Times New Roman"/>
      <w:i/>
      <w:iCs/>
      <w:color w:val="2F5597" w:themeColor="accent1" w:themeShade="BF"/>
      <w:sz w:val="24"/>
      <w:lang w:val="en-GB"/>
    </w:rPr>
  </w:style>
  <w:style w:type="character" w:customStyle="1" w:styleId="38">
    <w:name w:val="Intense Reference"/>
    <w:basedOn w:val="11"/>
    <w:qFormat/>
    <w:uiPriority w:val="32"/>
    <w:rPr>
      <w:b/>
      <w:bCs/>
      <w:smallCaps/>
      <w:color w:val="2F5597" w:themeColor="accent1" w:themeShade="BF"/>
      <w:spacing w:val="5"/>
    </w:rPr>
  </w:style>
  <w:style w:type="character" w:customStyle="1" w:styleId="39">
    <w:name w:val="Header Char"/>
    <w:basedOn w:val="11"/>
    <w:link w:val="14"/>
    <w:uiPriority w:val="99"/>
    <w:rPr>
      <w:rFonts w:ascii="Times New Roman" w:hAnsi="Times New Roman"/>
      <w:sz w:val="24"/>
      <w:lang w:val="en-GB"/>
    </w:rPr>
  </w:style>
  <w:style w:type="character" w:customStyle="1" w:styleId="40">
    <w:name w:val="Footer Char"/>
    <w:basedOn w:val="11"/>
    <w:link w:val="13"/>
    <w:qFormat/>
    <w:uiPriority w:val="99"/>
    <w:rPr>
      <w:rFonts w:ascii="Times New Roman" w:hAnsi="Times New Roman"/>
      <w:sz w:val="24"/>
      <w:lang w:val="en-GB"/>
    </w:rPr>
  </w:style>
  <w:style w:type="paragraph" w:customStyle="1" w:styleId="41">
    <w:name w:val="TOC Heading"/>
    <w:basedOn w:val="2"/>
    <w:next w:val="1"/>
    <w:unhideWhenUsed/>
    <w:qFormat/>
    <w:uiPriority w:val="39"/>
    <w:pPr>
      <w:spacing w:line="259" w:lineRule="auto"/>
      <w:jc w:val="left"/>
      <w:outlineLvl w:val="9"/>
    </w:pPr>
    <w:rPr>
      <w:rFonts w:asciiTheme="majorHAnsi" w:hAnsiTheme="majorHAnsi"/>
      <w:lang w:val="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aKoIkoDL0Q1gFeHrX4eK95hTYA==">CgMxLjAyDmguaWoxNW9xdG83OTBpMg5oLnQ5azNkOHNlOWsyejINaC56Zjh5dXk5aTk3azIOaC41YTYwNWU4cTQ4ZHoyDmguZzBtc20xYmVrcHhsMg5oLjM0c3prdTlqbDF3aDINaC54cmN5bmlsMmpyeTIOaC5saWRxc2RrN212eTM4AHIhMU9aOFlPbnBpR09nNnR3Yjk3RWZiaVA1YkJEQ1M2dUR3</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7</Pages>
  <Words>2307</Words>
  <Characters>14489</Characters>
  <Lines>122</Lines>
  <Paragraphs>34</Paragraphs>
  <TotalTime>124</TotalTime>
  <ScaleCrop>false</ScaleCrop>
  <LinksUpToDate>false</LinksUpToDate>
  <CharactersWithSpaces>16776</CharactersWithSpaces>
  <Application>WPS Office_12.1.0.29162_F1E327BC-269C-435d-A152-05C5408002CA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2026-10-12T11:09:00Z</dcterms:created>
  <dcterms:modified xsi:type="dcterms:W3CDTF">2026-10-16T14:31:33Z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eyJoZGlkIjoiZmQ4NTc4ZDJjYjIxZmE3NGY3MzI3MDc3OGQ2MTg3Y2YifQ==</vt:lpwstr>
  </property>
  <property fmtid="{D5CDD505-2E9C-101B-9397-08002B2CF9AE}" pid="3" name="KSOProductBuildVer">
    <vt:lpwstr>1033-12.1.0.29162</vt:lpwstr>
  </property>
  <property fmtid="{D5CDD505-2E9C-101B-9397-08002B2CF9AE}" pid="4" name="ICV">
    <vt:lpwstr>F655C18C59594DD3818498FF0A9FB5CC_12</vt:lpwstr>
  </property>
</Properties>
</file>