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5DA37" w14:textId="77777777" w:rsidR="00494CC7" w:rsidRDefault="00494CC7" w:rsidP="00494CC7">
      <w:pPr>
        <w:spacing w:line="480" w:lineRule="auto"/>
        <w:jc w:val="both"/>
        <w:rPr>
          <w:rFonts w:ascii="Arial" w:hAnsi="Arial" w:cs="Arial"/>
          <w:sz w:val="22"/>
          <w:szCs w:val="22"/>
        </w:rPr>
      </w:pPr>
      <w:r>
        <w:rPr>
          <w:rFonts w:ascii="Arial" w:hAnsi="Arial" w:cs="Arial"/>
          <w:sz w:val="22"/>
          <w:szCs w:val="22"/>
        </w:rPr>
        <w:t xml:space="preserve">The age of criminal responsibility (ACR) was replaced by the Children and Young Persons Act (1963) which amended the age from eight to ten and a legal presumption of doli incapax (DI) up until 1998. The DI according to Goldson (2013) gave some shielding for child offenders aged ten to fourteen, due to the presumption that children of this age were unable to differentiate between right and legally wrong. According to Gibbson (2016) in 1998 the UK Government established that to confront youth crime the correct tactic was to abolish the DI. The purpose of abolishing the legal presumption was to broadcast to England and Wales that children will be held responsible for their actions. However, the abolishment of the DI did not only change a legal understanding but also changed the perception of the child offender, following the murder of James Bulger in 1993. The James Bulger case gained national coverage and uproar due to the deliberate and violent nature of the crime committed by two ten-year-old boys, which criminologist Phil Scaton describes as a defining moment in youth justice history (Torney, 2011). </w:t>
      </w:r>
    </w:p>
    <w:p w14:paraId="36314A56" w14:textId="77777777" w:rsidR="00494CC7" w:rsidRDefault="00494CC7" w:rsidP="00494CC7">
      <w:pPr>
        <w:spacing w:line="480" w:lineRule="auto"/>
        <w:jc w:val="both"/>
        <w:rPr>
          <w:rFonts w:ascii="Arial" w:hAnsi="Arial" w:cs="Arial"/>
          <w:sz w:val="22"/>
          <w:szCs w:val="22"/>
        </w:rPr>
      </w:pPr>
      <w:r>
        <w:rPr>
          <w:rFonts w:ascii="Arial" w:hAnsi="Arial" w:cs="Arial"/>
          <w:sz w:val="22"/>
          <w:szCs w:val="22"/>
        </w:rPr>
        <w:t xml:space="preserve">The discussion surrounding the ACR is still relevant within today’s society, with the United Nations Convention on the Rights of the Child (UNCRC) announcing that for any ACR that is below twelve is unacceptable, and specifically encouraged the United Kingdom (UK) to increase the age (Equality and Human Rights Commission, 2015). Both England and Scotland responded very differently to the UNCRC. According to the Cabinet Secretary for Justice Veterans (2022) as of December 2021, The Age of Criminal Responsibility (Scotland) Act 2019 changed the minimum ACR so that children under twelve could no longer be criminalised. However, the UK Government rejected the statement and claimed that ten-year-old children are able to distinguish mischief from severe delinquency (Brown and Charles, 2019). With varying legislation, a child living in Carlisle in the north of England and a child living in Gretna Green in the south of Scotland may commit the same crime at the age of 10 but will be treated very differently. This inequality in treatment to children, is the incentive for this study to be conducted. There have been many attempts to raise the ACR within England and Wales, the most recent being a private members bill which had it’s first reading in the House of Lords in February 2020 (Parliamentary Bills, 2021). </w:t>
      </w:r>
    </w:p>
    <w:p w14:paraId="1BFD920C" w14:textId="77777777" w:rsidR="00494CC7" w:rsidRDefault="00494CC7" w:rsidP="00494CC7">
      <w:pPr>
        <w:spacing w:line="480" w:lineRule="auto"/>
        <w:jc w:val="both"/>
        <w:rPr>
          <w:rFonts w:ascii="Arial" w:hAnsi="Arial" w:cs="Arial"/>
          <w:sz w:val="22"/>
          <w:szCs w:val="22"/>
        </w:rPr>
      </w:pPr>
    </w:p>
    <w:p w14:paraId="69D890CD" w14:textId="77777777" w:rsidR="00494CC7" w:rsidRDefault="00494CC7" w:rsidP="00494CC7">
      <w:pPr>
        <w:spacing w:line="480" w:lineRule="auto"/>
        <w:jc w:val="both"/>
        <w:rPr>
          <w:rFonts w:ascii="Arial" w:hAnsi="Arial" w:cs="Arial"/>
          <w:sz w:val="22"/>
          <w:szCs w:val="22"/>
        </w:rPr>
      </w:pPr>
      <w:r>
        <w:rPr>
          <w:rFonts w:ascii="Arial" w:hAnsi="Arial" w:cs="Arial"/>
          <w:sz w:val="22"/>
          <w:szCs w:val="22"/>
        </w:rPr>
        <w:t>This study aims to evaluate the ACR in England and Wales, discussing grounds for raising the age and the purpose for it to remain unchanged. This study will aim to analyse policies and programmes which targets to prevent children from offending and reoffending. To reach these aims, there will need to be objectives that will be vital for the success of the research. The first objective in the study will be to identify why the ACR is an issue that not only affects the children involved but also society as a whole. This study will also examine the media’s portrayal of child criminals and how this influences the public’s perception. This study’s final objective will be to investigate sentencing options that are currently available for children and young people.</w:t>
      </w:r>
    </w:p>
    <w:p w14:paraId="3437FC63" w14:textId="77777777" w:rsidR="00494CC7" w:rsidRDefault="00494CC7" w:rsidP="00494CC7">
      <w:pPr>
        <w:spacing w:line="480" w:lineRule="auto"/>
        <w:jc w:val="both"/>
        <w:rPr>
          <w:rFonts w:ascii="Arial" w:hAnsi="Arial" w:cs="Arial"/>
          <w:sz w:val="22"/>
          <w:szCs w:val="22"/>
        </w:rPr>
      </w:pPr>
    </w:p>
    <w:p w14:paraId="62DA3BBA" w14:textId="77777777" w:rsidR="00494CC7" w:rsidRDefault="00494CC7" w:rsidP="00494CC7">
      <w:pPr>
        <w:spacing w:line="480" w:lineRule="auto"/>
        <w:jc w:val="both"/>
        <w:rPr>
          <w:rFonts w:ascii="Arial" w:hAnsi="Arial" w:cs="Arial"/>
          <w:sz w:val="22"/>
          <w:szCs w:val="22"/>
        </w:rPr>
      </w:pPr>
      <w:r>
        <w:rPr>
          <w:rFonts w:ascii="Arial" w:hAnsi="Arial" w:cs="Arial"/>
          <w:sz w:val="22"/>
          <w:szCs w:val="22"/>
        </w:rPr>
        <w:t>This study will include secondary research which will be covered within the literature review. This study, through a questionnaire, will also include primary research which will investigate the public’s perception of the ACR. Due to the beliefs and opinions of the public being a subjective topic, this section of the research will be qualitative data. According to Tewksbury (2009) the use of qualitative data in research can provide thorough and extensive findings that can be analysed effectively. This indicates that the findings of the research would make a substantial difference if the data collected was solely quantitative data. However, this research will have a combined findings of qualitative and quantitative data to compare the opinions of individuals with children, without children, the ages and gender of these individuals. The purpose of collecting this data is to find a correlation between the participants opinion and variables such as the previously mentioned.</w:t>
      </w:r>
    </w:p>
    <w:p w14:paraId="7A3C4294" w14:textId="77777777" w:rsidR="003E68A3" w:rsidRDefault="003E68A3"/>
    <w:sectPr w:rsidR="003E6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8A3"/>
    <w:rsid w:val="003E68A3"/>
    <w:rsid w:val="00494CC7"/>
    <w:rsid w:val="00B74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66ECCE"/>
  <w15:chartTrackingRefBased/>
  <w15:docId w15:val="{B1161519-ABBE-2E4A-A25F-60D9A3BA4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C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626</Words>
  <Characters>3570</Characters>
  <Application>Microsoft Office Word</Application>
  <DocSecurity>0</DocSecurity>
  <Lines>29</Lines>
  <Paragraphs>8</Paragraphs>
  <ScaleCrop>false</ScaleCrop>
  <Company/>
  <LinksUpToDate>false</LinksUpToDate>
  <CharactersWithSpaces>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Jacey Punter (2004350)</dc:creator>
  <cp:keywords/>
  <dc:description/>
  <cp:lastModifiedBy>Jacey Punter (2004350)</cp:lastModifiedBy>
  <cp:revision>3</cp:revision>
  <dcterms:created xsi:type="dcterms:W3CDTF">2022-10-28T14:15:00Z</dcterms:created>
  <dcterms:modified xsi:type="dcterms:W3CDTF">2022-10-28T14:19:00Z</dcterms:modified>
</cp:coreProperties>
</file>