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C2640F" w14:textId="17CB478B" w:rsidR="009E7CED" w:rsidRDefault="00567F94" w:rsidP="0078048A">
      <w:pPr>
        <w:spacing w:line="360" w:lineRule="auto"/>
        <w:jc w:val="center"/>
        <w:rPr>
          <w:rFonts w:ascii="Arial" w:hAnsi="Arial" w:cs="Arial"/>
          <w:b/>
          <w:bCs/>
          <w:sz w:val="24"/>
          <w:szCs w:val="24"/>
        </w:rPr>
      </w:pPr>
      <w:r>
        <w:rPr>
          <w:rFonts w:ascii="Arial" w:hAnsi="Arial" w:cs="Arial"/>
          <w:b/>
          <w:bCs/>
          <w:sz w:val="24"/>
          <w:szCs w:val="24"/>
        </w:rPr>
        <w:t>Community engagement</w:t>
      </w:r>
    </w:p>
    <w:p w14:paraId="2B252F7E" w14:textId="77777777" w:rsidR="0078048A" w:rsidRDefault="0078048A" w:rsidP="0078048A">
      <w:pPr>
        <w:spacing w:line="360" w:lineRule="auto"/>
        <w:jc w:val="center"/>
        <w:rPr>
          <w:rFonts w:ascii="Arial" w:hAnsi="Arial" w:cs="Arial"/>
          <w:b/>
          <w:bCs/>
          <w:sz w:val="24"/>
          <w:szCs w:val="24"/>
        </w:rPr>
      </w:pPr>
    </w:p>
    <w:p w14:paraId="0F103D32" w14:textId="77777777" w:rsidR="0078048A" w:rsidRDefault="0078048A" w:rsidP="0078048A">
      <w:pPr>
        <w:spacing w:line="360" w:lineRule="auto"/>
        <w:jc w:val="center"/>
        <w:rPr>
          <w:rFonts w:ascii="Arial" w:hAnsi="Arial" w:cs="Arial"/>
          <w:b/>
          <w:bCs/>
          <w:sz w:val="24"/>
          <w:szCs w:val="24"/>
        </w:rPr>
      </w:pPr>
    </w:p>
    <w:p w14:paraId="44A6D5F5" w14:textId="77777777" w:rsidR="0078048A" w:rsidRDefault="0078048A" w:rsidP="0078048A">
      <w:pPr>
        <w:spacing w:line="360" w:lineRule="auto"/>
        <w:jc w:val="center"/>
        <w:rPr>
          <w:rFonts w:ascii="Arial" w:hAnsi="Arial" w:cs="Arial"/>
          <w:b/>
          <w:bCs/>
          <w:sz w:val="24"/>
          <w:szCs w:val="24"/>
        </w:rPr>
      </w:pPr>
    </w:p>
    <w:p w14:paraId="663A2AFC" w14:textId="7DB4AFDA" w:rsidR="00567F94" w:rsidRDefault="0078048A" w:rsidP="0078048A">
      <w:pPr>
        <w:spacing w:line="360" w:lineRule="auto"/>
        <w:jc w:val="center"/>
        <w:rPr>
          <w:rFonts w:ascii="Arial" w:hAnsi="Arial" w:cs="Arial"/>
          <w:b/>
          <w:bCs/>
          <w:sz w:val="24"/>
          <w:szCs w:val="24"/>
        </w:rPr>
      </w:pPr>
      <w:r>
        <w:rPr>
          <w:rFonts w:ascii="Arial" w:hAnsi="Arial" w:cs="Arial"/>
          <w:b/>
          <w:bCs/>
          <w:sz w:val="24"/>
          <w:szCs w:val="24"/>
        </w:rPr>
        <w:t xml:space="preserve">Component </w:t>
      </w:r>
      <w:r w:rsidR="00352E94">
        <w:rPr>
          <w:rFonts w:ascii="Arial" w:hAnsi="Arial" w:cs="Arial"/>
          <w:b/>
          <w:bCs/>
          <w:sz w:val="24"/>
          <w:szCs w:val="24"/>
        </w:rPr>
        <w:t>2</w:t>
      </w:r>
    </w:p>
    <w:p w14:paraId="1930F0A8" w14:textId="77777777" w:rsidR="00F663CB" w:rsidRDefault="00F663CB" w:rsidP="00521495">
      <w:pPr>
        <w:spacing w:line="360" w:lineRule="auto"/>
        <w:jc w:val="both"/>
        <w:rPr>
          <w:rFonts w:ascii="Arial" w:hAnsi="Arial" w:cs="Arial"/>
          <w:b/>
          <w:bCs/>
          <w:sz w:val="24"/>
          <w:szCs w:val="24"/>
        </w:rPr>
      </w:pPr>
    </w:p>
    <w:p w14:paraId="0FC4DCA5" w14:textId="77777777" w:rsidR="00F663CB" w:rsidRDefault="00F663CB" w:rsidP="00521495">
      <w:pPr>
        <w:spacing w:line="360" w:lineRule="auto"/>
        <w:jc w:val="both"/>
        <w:rPr>
          <w:rFonts w:ascii="Arial" w:hAnsi="Arial" w:cs="Arial"/>
          <w:b/>
          <w:bCs/>
          <w:sz w:val="24"/>
          <w:szCs w:val="24"/>
        </w:rPr>
      </w:pPr>
    </w:p>
    <w:p w14:paraId="643C3B2B" w14:textId="1AFBBF51" w:rsidR="00F663CB" w:rsidRPr="00D25560" w:rsidRDefault="0078048A" w:rsidP="00521495">
      <w:pPr>
        <w:spacing w:line="360" w:lineRule="auto"/>
        <w:jc w:val="both"/>
        <w:rPr>
          <w:rFonts w:ascii="Arial" w:hAnsi="Arial" w:cs="Arial"/>
          <w:b/>
          <w:bCs/>
          <w:sz w:val="24"/>
          <w:szCs w:val="24"/>
          <w:lang w:val="ro-RO"/>
        </w:rPr>
      </w:pPr>
      <w:r>
        <w:rPr>
          <w:rFonts w:ascii="Arial" w:hAnsi="Arial" w:cs="Arial"/>
          <w:b/>
          <w:bCs/>
          <w:sz w:val="24"/>
          <w:szCs w:val="24"/>
        </w:rPr>
        <w:t>Student id</w:t>
      </w:r>
      <w:r w:rsidR="008B3FDE">
        <w:rPr>
          <w:rFonts w:ascii="Arial" w:hAnsi="Arial" w:cs="Arial"/>
          <w:b/>
          <w:bCs/>
          <w:sz w:val="24"/>
          <w:szCs w:val="24"/>
        </w:rPr>
        <w:t>:</w:t>
      </w:r>
      <w:r w:rsidR="0002111C">
        <w:rPr>
          <w:rFonts w:ascii="Arial" w:hAnsi="Arial" w:cs="Arial"/>
          <w:b/>
          <w:bCs/>
          <w:sz w:val="24"/>
          <w:szCs w:val="24"/>
        </w:rPr>
        <w:t>224</w:t>
      </w:r>
      <w:r w:rsidR="00D25560">
        <w:rPr>
          <w:rFonts w:ascii="Arial" w:hAnsi="Arial" w:cs="Arial"/>
          <w:b/>
          <w:bCs/>
          <w:sz w:val="24"/>
          <w:szCs w:val="24"/>
          <w:lang w:val="ro-RO"/>
        </w:rPr>
        <w:t>7229</w:t>
      </w:r>
    </w:p>
    <w:p w14:paraId="6B26BF7F" w14:textId="5F9F16F6" w:rsidR="0078048A" w:rsidRDefault="0078048A" w:rsidP="00521495">
      <w:pPr>
        <w:spacing w:line="360" w:lineRule="auto"/>
        <w:jc w:val="both"/>
        <w:rPr>
          <w:rFonts w:ascii="Arial" w:hAnsi="Arial" w:cs="Arial"/>
          <w:b/>
          <w:bCs/>
          <w:sz w:val="24"/>
          <w:szCs w:val="24"/>
        </w:rPr>
      </w:pPr>
      <w:r>
        <w:rPr>
          <w:rFonts w:ascii="Arial" w:hAnsi="Arial" w:cs="Arial"/>
          <w:b/>
          <w:bCs/>
          <w:sz w:val="24"/>
          <w:szCs w:val="24"/>
        </w:rPr>
        <w:t>Student name</w:t>
      </w:r>
      <w:r w:rsidR="00D25560">
        <w:rPr>
          <w:rFonts w:ascii="Arial" w:hAnsi="Arial" w:cs="Arial"/>
          <w:b/>
          <w:bCs/>
          <w:sz w:val="24"/>
          <w:szCs w:val="24"/>
        </w:rPr>
        <w:t xml:space="preserve">: Cristina Raya </w:t>
      </w:r>
      <w:proofErr w:type="spellStart"/>
      <w:r w:rsidR="00D25560">
        <w:rPr>
          <w:rFonts w:ascii="Arial" w:hAnsi="Arial" w:cs="Arial"/>
          <w:b/>
          <w:bCs/>
          <w:sz w:val="24"/>
          <w:szCs w:val="24"/>
        </w:rPr>
        <w:t>Plesa</w:t>
      </w:r>
      <w:proofErr w:type="spellEnd"/>
    </w:p>
    <w:p w14:paraId="2811D2BD" w14:textId="136D43F1" w:rsidR="0078048A" w:rsidRDefault="0078048A" w:rsidP="00521495">
      <w:pPr>
        <w:spacing w:line="360" w:lineRule="auto"/>
        <w:jc w:val="both"/>
        <w:rPr>
          <w:rFonts w:ascii="Arial" w:hAnsi="Arial" w:cs="Arial"/>
          <w:b/>
          <w:bCs/>
          <w:sz w:val="24"/>
          <w:szCs w:val="24"/>
        </w:rPr>
      </w:pPr>
      <w:r>
        <w:rPr>
          <w:rFonts w:ascii="Arial" w:hAnsi="Arial" w:cs="Arial"/>
          <w:b/>
          <w:bCs/>
          <w:sz w:val="24"/>
          <w:szCs w:val="24"/>
        </w:rPr>
        <w:t xml:space="preserve">Module Leader: </w:t>
      </w:r>
      <w:r w:rsidR="004D1BFC">
        <w:rPr>
          <w:rFonts w:ascii="Arial" w:hAnsi="Arial" w:cs="Arial"/>
          <w:b/>
          <w:bCs/>
          <w:sz w:val="24"/>
          <w:szCs w:val="24"/>
        </w:rPr>
        <w:t>Dr.</w:t>
      </w:r>
      <w:r w:rsidR="00D25560">
        <w:rPr>
          <w:rFonts w:ascii="Arial" w:hAnsi="Arial" w:cs="Arial"/>
          <w:b/>
          <w:bCs/>
          <w:sz w:val="24"/>
          <w:szCs w:val="24"/>
        </w:rPr>
        <w:t>Molly Jack</w:t>
      </w:r>
    </w:p>
    <w:p w14:paraId="7FB9FFEA" w14:textId="77777777" w:rsidR="00F663CB" w:rsidRDefault="00F663CB" w:rsidP="00521495">
      <w:pPr>
        <w:spacing w:line="360" w:lineRule="auto"/>
        <w:jc w:val="both"/>
        <w:rPr>
          <w:rFonts w:ascii="Arial" w:hAnsi="Arial" w:cs="Arial"/>
          <w:b/>
          <w:bCs/>
          <w:sz w:val="24"/>
          <w:szCs w:val="24"/>
        </w:rPr>
      </w:pPr>
    </w:p>
    <w:p w14:paraId="3C969A63" w14:textId="77777777" w:rsidR="009E7CED" w:rsidRDefault="009E7CED" w:rsidP="00521495">
      <w:pPr>
        <w:spacing w:line="360" w:lineRule="auto"/>
        <w:jc w:val="both"/>
        <w:rPr>
          <w:rFonts w:ascii="Arial" w:hAnsi="Arial" w:cs="Arial"/>
          <w:b/>
          <w:bCs/>
          <w:sz w:val="24"/>
          <w:szCs w:val="24"/>
        </w:rPr>
      </w:pPr>
    </w:p>
    <w:p w14:paraId="35EC071E" w14:textId="2B6E2C2D" w:rsidR="009E7CED" w:rsidRDefault="009E7CED" w:rsidP="00521495">
      <w:pPr>
        <w:spacing w:line="360" w:lineRule="auto"/>
        <w:jc w:val="both"/>
        <w:rPr>
          <w:rFonts w:ascii="Arial" w:hAnsi="Arial" w:cs="Arial"/>
          <w:b/>
          <w:bCs/>
          <w:sz w:val="24"/>
          <w:szCs w:val="24"/>
        </w:rPr>
      </w:pPr>
      <w:r>
        <w:rPr>
          <w:rFonts w:ascii="Arial" w:hAnsi="Arial" w:cs="Arial"/>
          <w:b/>
          <w:bCs/>
          <w:sz w:val="24"/>
          <w:szCs w:val="24"/>
        </w:rPr>
        <w:t>Table of content</w:t>
      </w:r>
    </w:p>
    <w:p w14:paraId="1CD311B7" w14:textId="77777777" w:rsidR="009E7CED" w:rsidRDefault="009E7CED" w:rsidP="00521495">
      <w:pPr>
        <w:spacing w:line="360" w:lineRule="auto"/>
        <w:jc w:val="both"/>
        <w:rPr>
          <w:rFonts w:ascii="Arial" w:hAnsi="Arial" w:cs="Arial"/>
          <w:b/>
          <w:bCs/>
          <w:sz w:val="24"/>
          <w:szCs w:val="24"/>
        </w:rPr>
      </w:pPr>
    </w:p>
    <w:p w14:paraId="1638EFEA" w14:textId="08B24B17" w:rsidR="009E7CED" w:rsidRDefault="009E7CED" w:rsidP="009E7CED">
      <w:pPr>
        <w:pStyle w:val="ListParagraph"/>
        <w:numPr>
          <w:ilvl w:val="0"/>
          <w:numId w:val="2"/>
        </w:numPr>
        <w:spacing w:line="360" w:lineRule="auto"/>
        <w:jc w:val="both"/>
        <w:rPr>
          <w:rFonts w:ascii="Arial" w:hAnsi="Arial" w:cs="Arial"/>
          <w:b/>
          <w:bCs/>
          <w:sz w:val="24"/>
          <w:szCs w:val="24"/>
        </w:rPr>
      </w:pPr>
      <w:r>
        <w:rPr>
          <w:rFonts w:ascii="Arial" w:hAnsi="Arial" w:cs="Arial"/>
          <w:b/>
          <w:bCs/>
          <w:sz w:val="24"/>
          <w:szCs w:val="24"/>
        </w:rPr>
        <w:t>Introduction</w:t>
      </w:r>
    </w:p>
    <w:p w14:paraId="421A5793" w14:textId="56D46256" w:rsidR="009E7CED" w:rsidRDefault="009E7CED" w:rsidP="009E7CED">
      <w:pPr>
        <w:pStyle w:val="ListParagraph"/>
        <w:numPr>
          <w:ilvl w:val="0"/>
          <w:numId w:val="2"/>
        </w:numPr>
        <w:spacing w:line="360" w:lineRule="auto"/>
        <w:jc w:val="both"/>
        <w:rPr>
          <w:rFonts w:ascii="Arial" w:hAnsi="Arial" w:cs="Arial"/>
          <w:b/>
          <w:bCs/>
          <w:sz w:val="24"/>
          <w:szCs w:val="24"/>
        </w:rPr>
      </w:pPr>
      <w:proofErr w:type="spellStart"/>
      <w:r>
        <w:rPr>
          <w:rFonts w:ascii="Arial" w:hAnsi="Arial" w:cs="Arial"/>
          <w:b/>
          <w:bCs/>
          <w:sz w:val="24"/>
          <w:szCs w:val="24"/>
        </w:rPr>
        <w:t>Mainbody</w:t>
      </w:r>
      <w:proofErr w:type="spellEnd"/>
    </w:p>
    <w:p w14:paraId="5C05B8A3" w14:textId="30C5256B" w:rsidR="009E7CED" w:rsidRDefault="00F663CB" w:rsidP="009E7CED">
      <w:pPr>
        <w:pStyle w:val="ListParagraph"/>
        <w:numPr>
          <w:ilvl w:val="0"/>
          <w:numId w:val="2"/>
        </w:numPr>
        <w:spacing w:line="360" w:lineRule="auto"/>
        <w:jc w:val="both"/>
        <w:rPr>
          <w:rFonts w:ascii="Arial" w:hAnsi="Arial" w:cs="Arial"/>
          <w:b/>
          <w:bCs/>
          <w:sz w:val="24"/>
          <w:szCs w:val="24"/>
        </w:rPr>
      </w:pPr>
      <w:r>
        <w:rPr>
          <w:rFonts w:ascii="Arial" w:hAnsi="Arial" w:cs="Arial"/>
          <w:b/>
          <w:bCs/>
          <w:sz w:val="24"/>
          <w:szCs w:val="24"/>
        </w:rPr>
        <w:t>Conclusion</w:t>
      </w:r>
    </w:p>
    <w:p w14:paraId="2CC6A766" w14:textId="3286D11C" w:rsidR="00F663CB" w:rsidRPr="009E7CED" w:rsidRDefault="00F663CB" w:rsidP="009E7CED">
      <w:pPr>
        <w:pStyle w:val="ListParagraph"/>
        <w:numPr>
          <w:ilvl w:val="0"/>
          <w:numId w:val="2"/>
        </w:numPr>
        <w:spacing w:line="360" w:lineRule="auto"/>
        <w:jc w:val="both"/>
        <w:rPr>
          <w:rFonts w:ascii="Arial" w:hAnsi="Arial" w:cs="Arial"/>
          <w:b/>
          <w:bCs/>
          <w:sz w:val="24"/>
          <w:szCs w:val="24"/>
        </w:rPr>
      </w:pPr>
      <w:r>
        <w:rPr>
          <w:rFonts w:ascii="Arial" w:hAnsi="Arial" w:cs="Arial"/>
          <w:b/>
          <w:bCs/>
          <w:sz w:val="24"/>
          <w:szCs w:val="24"/>
        </w:rPr>
        <w:t>References</w:t>
      </w:r>
    </w:p>
    <w:p w14:paraId="4FBE4C7A" w14:textId="77777777" w:rsidR="009E7CED" w:rsidRDefault="009E7CED" w:rsidP="00521495">
      <w:pPr>
        <w:spacing w:line="360" w:lineRule="auto"/>
        <w:jc w:val="both"/>
        <w:rPr>
          <w:rFonts w:ascii="Arial" w:hAnsi="Arial" w:cs="Arial"/>
          <w:b/>
          <w:bCs/>
          <w:sz w:val="24"/>
          <w:szCs w:val="24"/>
        </w:rPr>
      </w:pPr>
    </w:p>
    <w:p w14:paraId="3E332508" w14:textId="3AD9C744" w:rsidR="00521495" w:rsidRPr="00521495" w:rsidRDefault="00521495" w:rsidP="00521495">
      <w:pPr>
        <w:spacing w:line="360" w:lineRule="auto"/>
        <w:jc w:val="both"/>
        <w:rPr>
          <w:rFonts w:ascii="Arial" w:hAnsi="Arial" w:cs="Arial"/>
          <w:b/>
          <w:bCs/>
          <w:sz w:val="24"/>
          <w:szCs w:val="24"/>
        </w:rPr>
      </w:pPr>
      <w:r w:rsidRPr="00521495">
        <w:rPr>
          <w:rFonts w:ascii="Arial" w:hAnsi="Arial" w:cs="Arial"/>
          <w:b/>
          <w:bCs/>
          <w:sz w:val="24"/>
          <w:szCs w:val="24"/>
        </w:rPr>
        <w:t>Introduction</w:t>
      </w:r>
    </w:p>
    <w:p w14:paraId="35A7DB0A" w14:textId="77777777" w:rsidR="00521495" w:rsidRDefault="00521495" w:rsidP="00521495">
      <w:pPr>
        <w:spacing w:line="360" w:lineRule="auto"/>
        <w:jc w:val="both"/>
        <w:rPr>
          <w:rFonts w:ascii="Arial" w:hAnsi="Arial" w:cs="Arial"/>
          <w:sz w:val="24"/>
          <w:szCs w:val="24"/>
        </w:rPr>
      </w:pPr>
    </w:p>
    <w:p w14:paraId="61AFD730" w14:textId="77777777" w:rsidR="00521495" w:rsidRDefault="00521495" w:rsidP="00521495">
      <w:pPr>
        <w:spacing w:line="360" w:lineRule="auto"/>
        <w:jc w:val="both"/>
        <w:rPr>
          <w:rFonts w:ascii="Arial" w:hAnsi="Arial" w:cs="Arial"/>
          <w:sz w:val="24"/>
          <w:szCs w:val="24"/>
        </w:rPr>
      </w:pPr>
      <w:r w:rsidRPr="00521495">
        <w:rPr>
          <w:rFonts w:ascii="Arial" w:hAnsi="Arial" w:cs="Arial"/>
          <w:sz w:val="24"/>
          <w:szCs w:val="24"/>
        </w:rPr>
        <w:t xml:space="preserve">The idea of being involved in one's community is made up of a large variety of different components, each of which is individually distinct from the others. All of these aspects are incorporated into the overarching concept of community engagement. One example of a characteristic that falls under this category is the ability to participate in social interactions, to accept responsibilities that are shared with other individuals, and to work together with other people to discover solutions to problems. </w:t>
      </w:r>
    </w:p>
    <w:p w14:paraId="2C1B1C82" w14:textId="77777777" w:rsidR="00521495" w:rsidRPr="00436352" w:rsidRDefault="00521495" w:rsidP="00521495">
      <w:pPr>
        <w:spacing w:line="360" w:lineRule="auto"/>
        <w:jc w:val="both"/>
        <w:rPr>
          <w:rFonts w:ascii="Arial" w:hAnsi="Arial" w:cs="Arial"/>
          <w:b/>
          <w:bCs/>
          <w:sz w:val="24"/>
          <w:szCs w:val="24"/>
        </w:rPr>
      </w:pPr>
    </w:p>
    <w:p w14:paraId="521B67C5" w14:textId="5029BE7D" w:rsidR="00521495" w:rsidRPr="00436352" w:rsidRDefault="00521495" w:rsidP="00521495">
      <w:pPr>
        <w:spacing w:line="360" w:lineRule="auto"/>
        <w:jc w:val="both"/>
        <w:rPr>
          <w:rFonts w:ascii="Arial" w:hAnsi="Arial" w:cs="Arial"/>
          <w:b/>
          <w:bCs/>
          <w:sz w:val="24"/>
          <w:szCs w:val="24"/>
        </w:rPr>
      </w:pPr>
      <w:proofErr w:type="spellStart"/>
      <w:r w:rsidRPr="00436352">
        <w:rPr>
          <w:rFonts w:ascii="Arial" w:hAnsi="Arial" w:cs="Arial"/>
          <w:b/>
          <w:bCs/>
          <w:sz w:val="24"/>
          <w:szCs w:val="24"/>
        </w:rPr>
        <w:t>Mainbody</w:t>
      </w:r>
      <w:proofErr w:type="spellEnd"/>
    </w:p>
    <w:p w14:paraId="4FE780EB" w14:textId="77777777" w:rsidR="00521495" w:rsidRDefault="00521495" w:rsidP="00521495">
      <w:pPr>
        <w:spacing w:line="360" w:lineRule="auto"/>
        <w:jc w:val="both"/>
        <w:rPr>
          <w:rFonts w:ascii="Arial" w:hAnsi="Arial" w:cs="Arial"/>
          <w:sz w:val="24"/>
          <w:szCs w:val="24"/>
        </w:rPr>
      </w:pPr>
    </w:p>
    <w:p w14:paraId="7E8180BD" w14:textId="21C1B376" w:rsidR="00521495" w:rsidRPr="00521495" w:rsidRDefault="00521495" w:rsidP="00521495">
      <w:pPr>
        <w:spacing w:line="360" w:lineRule="auto"/>
        <w:jc w:val="both"/>
        <w:rPr>
          <w:rFonts w:ascii="Arial" w:hAnsi="Arial" w:cs="Arial"/>
          <w:sz w:val="24"/>
          <w:szCs w:val="24"/>
        </w:rPr>
      </w:pPr>
      <w:r w:rsidRPr="00521495">
        <w:rPr>
          <w:rFonts w:ascii="Arial" w:hAnsi="Arial" w:cs="Arial"/>
          <w:sz w:val="24"/>
          <w:szCs w:val="24"/>
        </w:rPr>
        <w:t>According to the social contract theory, individuals are under a reciprocal responsibility to contribute to the well-being of society in exchange for the benefits that they obtain as a result of their involvement in the society. This responsibility is based on the principles of the social contract. The concept that individuals are entitled to advantages in exchange for their participation in society is the foundation upon which this obligation is structured. This theory holds that people are connected to one another by the necessity of carrying out the commitments that they have in common with</w:t>
      </w:r>
      <w:r w:rsidR="00CE18D3">
        <w:rPr>
          <w:rFonts w:ascii="Arial" w:hAnsi="Arial" w:cs="Arial"/>
          <w:sz w:val="24"/>
          <w:szCs w:val="24"/>
        </w:rPr>
        <w:t xml:space="preserve"> another one</w:t>
      </w:r>
      <w:r w:rsidRPr="00521495">
        <w:rPr>
          <w:rFonts w:ascii="Arial" w:hAnsi="Arial" w:cs="Arial"/>
          <w:sz w:val="24"/>
          <w:szCs w:val="24"/>
        </w:rPr>
        <w:t>. This principle serves as the foundation for this theory. This concept may be traced all the way back to social theory, which served as the foundation for its further growth. It is conceivable to trace its roots all the way back to society. In light of the fact that the hypothesis is the primary subject of the inquiry that is currently being carried out, the investigation is currently being carried out. The inquiry will primarily concentrate on the relationship between individuals and the community in order to gain a deeper comprehension of the interaction that takes place between a community and its members. When this theoretical framework is taken into consideration, it becomes abundantly evident that the participation of the community is an essential component that is equally valuable to both of the parties concerned. This is because the community is a part of the community. Because of this, the participation of the community serves as an extremely important component. The fact that this is the case is due to the fact that the community represents a component of the community. There are a number of things that contribute to the development of this relationship, and one of those factors is active involvement. The reason for this is that it contributes to the formation of a robust sense of collective responsibility and shared identity among the members of the group. This is because it helps to foster a sense of shared responsibility, which is a factor that contributes to the growth of society. The growth of the connection is made easier to perform when it is accomplished using this method. This makes it more straightforward to accomplish.</w:t>
      </w:r>
    </w:p>
    <w:p w14:paraId="0CA3C1C7" w14:textId="7B0B6D63" w:rsidR="00521495" w:rsidRPr="00521495" w:rsidRDefault="00521495" w:rsidP="00521495">
      <w:pPr>
        <w:spacing w:line="360" w:lineRule="auto"/>
        <w:jc w:val="both"/>
        <w:rPr>
          <w:rFonts w:ascii="Arial" w:hAnsi="Arial" w:cs="Arial"/>
          <w:sz w:val="24"/>
          <w:szCs w:val="24"/>
        </w:rPr>
      </w:pPr>
      <w:r w:rsidRPr="00521495">
        <w:rPr>
          <w:rFonts w:ascii="Arial" w:hAnsi="Arial" w:cs="Arial"/>
          <w:sz w:val="24"/>
          <w:szCs w:val="24"/>
        </w:rPr>
        <w:t xml:space="preserve">I came to the understanding that </w:t>
      </w:r>
      <w:proofErr w:type="spellStart"/>
      <w:r w:rsidRPr="00521495">
        <w:rPr>
          <w:rFonts w:ascii="Arial" w:hAnsi="Arial" w:cs="Arial"/>
          <w:sz w:val="24"/>
          <w:szCs w:val="24"/>
        </w:rPr>
        <w:t>Mezirow's</w:t>
      </w:r>
      <w:proofErr w:type="spellEnd"/>
      <w:r w:rsidRPr="00521495">
        <w:rPr>
          <w:rFonts w:ascii="Arial" w:hAnsi="Arial" w:cs="Arial"/>
          <w:sz w:val="24"/>
          <w:szCs w:val="24"/>
        </w:rPr>
        <w:t xml:space="preserve"> concept of transformative learning is pretty consistent with my frame of reference as a result of reflecting on my previous experiences in which I participated in community activities. This realisation came about as a consequence of my thinking about those experiences. Having gone through the experiences that I had in the past, I was able to arrive at this realisation. I am able to comprehend this viewpoint due to the fact that I have personally experienced events that are comparable to the one that is being discussed in this article. By virtue of the fact that I come from a comparable background, I am able to do so. As a consequence of the fact that I have been given the opportunity to engage in conversation with members of the community who come from a broad variety of diverse backgrounds, I have been given the opportunity to study the standards that I consider to be of the utmost importance. My preconceived concepts and assumptions have both been brought into question as a result of these exchanges. In addition, my preconceived notions have been called into question. My preconceived notions have been thrown into question as a result of these interactions. As a consequence of the process of in-depth study and analysis that I have been going through for the past few years, my perspective on social issues and the dynamics of the community has developed in a manner that is both meaningful and constructive. This is because of the fact that I have been going through this process repeatedly. This is because I have actually participated in the process that is being described, which is the reason why this is the case. My thinking and comprehension have both been profoundly impacted by this life-changing experience, which has had a major impact on the development of my thinking and comprehension. This experience has greatly influenced the growth of my thinking and comprehension. As a result of gaining a substantially more in-depth grasp of the dynamics that are present inside the society, my perspective has undergone a significant transformation. This has transpired as a result of the</w:t>
      </w:r>
      <w:r w:rsidR="00A90C21">
        <w:rPr>
          <w:rFonts w:ascii="Arial" w:hAnsi="Arial" w:cs="Arial"/>
          <w:sz w:val="24"/>
          <w:szCs w:val="24"/>
        </w:rPr>
        <w:t xml:space="preserve"> </w:t>
      </w:r>
      <w:r w:rsidRPr="00521495">
        <w:rPr>
          <w:rFonts w:ascii="Arial" w:hAnsi="Arial" w:cs="Arial"/>
          <w:sz w:val="24"/>
          <w:szCs w:val="24"/>
        </w:rPr>
        <w:t>fact that I am in possession of this knowledge.</w:t>
      </w:r>
    </w:p>
    <w:p w14:paraId="19D797D6" w14:textId="00705ADE" w:rsidR="00521495" w:rsidRPr="00521495" w:rsidRDefault="00521495" w:rsidP="00521495">
      <w:pPr>
        <w:spacing w:line="360" w:lineRule="auto"/>
        <w:jc w:val="both"/>
        <w:rPr>
          <w:rFonts w:ascii="Arial" w:hAnsi="Arial" w:cs="Arial"/>
          <w:sz w:val="24"/>
          <w:szCs w:val="24"/>
        </w:rPr>
      </w:pPr>
      <w:r w:rsidRPr="00521495">
        <w:rPr>
          <w:rFonts w:ascii="Arial" w:hAnsi="Arial" w:cs="Arial"/>
          <w:sz w:val="24"/>
          <w:szCs w:val="24"/>
        </w:rPr>
        <w:t>As a result of my utilisation of Dewey's model of reflective thought as a directing framework, I have developed a more profound awareness for the iterative process of community connection that occurs within me. It was only through the utilisation of this framework that I was able to fulfil this particular objective. In order to achieve success, it is necessary to engage in a never-ending cycle of experiencing, reflecting, and taking action. If one wishes to achieve success, it is necessary to participate in this cycle. To ensure that this cycle is repeated over and over again, it is necessary to make sure that it is done in order to attain success. There is beyond a shadow of a doubt that this cycle must continue on indefinitely; it is an essential criterion that must be taken into consideration. One is able to obtain a more thorough understanding of the requirements that have been set by the community; this is made possible via the utilisation of this iterative technique, which makes it possible to accomplish this. In addition to this, it enables the issuance of instructions for jobs that are more effective and are in accordance with the circumstances. This constitutes a substantial advantage.</w:t>
      </w:r>
    </w:p>
    <w:p w14:paraId="4006629C" w14:textId="715A9956" w:rsidR="00521495" w:rsidRPr="00521495" w:rsidRDefault="00521495" w:rsidP="00521495">
      <w:pPr>
        <w:spacing w:line="360" w:lineRule="auto"/>
        <w:jc w:val="both"/>
        <w:rPr>
          <w:rFonts w:ascii="Arial" w:hAnsi="Arial" w:cs="Arial"/>
          <w:sz w:val="24"/>
          <w:szCs w:val="24"/>
        </w:rPr>
      </w:pPr>
      <w:r w:rsidRPr="00521495">
        <w:rPr>
          <w:rFonts w:ascii="Arial" w:hAnsi="Arial" w:cs="Arial"/>
          <w:sz w:val="24"/>
          <w:szCs w:val="24"/>
        </w:rPr>
        <w:t>Habermas's theory of communicative activity places an emphasis on the significance of generating discussions that are both open and inclusive. This is done with the goal of increasing the amount of community engagement among individuals. Taking this action is done with the intention of encouraging people of the community to take part. There is an additional item of interest that should be brought to the notice of everyone, and this is something that ought to be done. That is something that should be done. It is of the utmost importance for individuals to participate in autonomous thought while simultaneously building a discourse within society that transcends power imbalances and welcomes the opinions of groups who have been historically marginalised. This is something that should be done concurrently. Concurrently carrying out this task is something that ought to be done. For you to be able to make a contribution that is of tremendous significance, it is essential to provide evidence that you have fulfilled this incredibly vital criterion. Because this is a requirement, it is necessary to provide evidence. My dedication to the establishment of inclusive spaces within communities, with the intention of fostering intercultural conversation, has been significantly strengthened as a result of my acceptance of this theoretical approach, which I obtained via my own personal experience. I have been able to greatly strengthen my dedication as a result of the adoption of this plan that I have implemented. I was able to develop a strong commitment on my own side of the equation by putting this technique into action, which allowed me to establish a strong commitment.</w:t>
      </w:r>
    </w:p>
    <w:p w14:paraId="55E12407" w14:textId="39300CE4" w:rsidR="00A90C21" w:rsidRPr="00521495" w:rsidRDefault="00521495" w:rsidP="00521495">
      <w:pPr>
        <w:spacing w:line="360" w:lineRule="auto"/>
        <w:jc w:val="both"/>
        <w:rPr>
          <w:rFonts w:ascii="Arial" w:hAnsi="Arial" w:cs="Arial"/>
          <w:sz w:val="24"/>
          <w:szCs w:val="24"/>
        </w:rPr>
      </w:pPr>
      <w:r w:rsidRPr="00521495">
        <w:rPr>
          <w:rFonts w:ascii="Arial" w:hAnsi="Arial" w:cs="Arial"/>
          <w:sz w:val="24"/>
          <w:szCs w:val="24"/>
        </w:rPr>
        <w:t>A person must be aware of the inherent difficulties that are associated with actively participating in the community in order to be able to have an analytical viewpoint on the issue. This is a prerequisite for having the ability to have such a perspective. It is absolutely necessary to put this into action in order to choose a different strategy. In addition to the existence of power imbalances and cultural quirks, there is also the risk that tokenism will take place. There are many more problems on the list, but these are just some of the ones that stick out from the rest. Furthermore, in addition to this, there are a great many other difficulties that need to be dealt with as well. The vast majority of the time, these challenges are encountered on a daily basis, on a constant level, and again and over again. As an illustration of the disparities that occur within communities with regard to the distribution of resources, Bourdieu's social capital hypothesis, which was created by Bourdieu, is shown below. The proposed theory of Bourdieu sheds light on these differences that have been previously hidden. For the purpose of achieving the primary objective of this theory, it is essential to carry out an investigation and analysis of the current circumstance. This phase is carried out in order to ensure that it is capable of carrying out critical analysis. This step is carried out in order to guarantee that it is able to carry out critical analysis. When performing an analysis of the effects of engagement initiatives, it is of the utmost significance to take into consideration the potential consequences that these engagement initiatives may have on the existing inequities as well as the possibility of democratising social capital. This is because it takes into account the potential for social capital to be democratised. It is of the utmost importance that this be done. This is because these projects have the potential to have a significant impact on the challenges that are now being confronted by inequality. This is the reason why this particular situation has arisen. When engaging in these activities, it is of the utmost importance to take into consideration the myriad of potential outcomes that may be experienced as a result of doing so. With the fact that this component is of the utmost significance being taken into consideration, it is of the utmost requirement that it get special attention. Due to the substantial part that it plays in the process by which we arrive at our judgements, it is of the utmost relevance that we take this into consideration on a frequent basis.</w:t>
      </w:r>
    </w:p>
    <w:p w14:paraId="692634BD" w14:textId="26757F5D" w:rsidR="004406F8" w:rsidRDefault="00521495" w:rsidP="00521495">
      <w:pPr>
        <w:spacing w:line="360" w:lineRule="auto"/>
        <w:jc w:val="both"/>
        <w:rPr>
          <w:rFonts w:ascii="Arial" w:hAnsi="Arial" w:cs="Arial"/>
          <w:sz w:val="24"/>
          <w:szCs w:val="24"/>
        </w:rPr>
      </w:pPr>
      <w:r w:rsidRPr="00521495">
        <w:rPr>
          <w:rFonts w:ascii="Arial" w:hAnsi="Arial" w:cs="Arial"/>
          <w:sz w:val="24"/>
          <w:szCs w:val="24"/>
        </w:rPr>
        <w:t>It is possible that, in a nutshell, the building of an all-encompassing framework that is aimed at comprehending the complexity of community involvement could be the consequence of employing a theoretical approach to the study of community engagement. The purpose of this framework, to put it another way, is to get an understanding of the complexity involved in community involvement. Utilisation of the research framework through its utilisation is one of the strategies that can be utilised to complete the acquisition of this framework. This is one of the alternatives that can be utilised. The addition of a significant number of additional suggestions, which would be advantageous, would be beneficial to this question and would make it better. A number of other ideas, including the social contract theory, transformational learning, reflective thinking, and communicative action, are all deserving of further investigation. There are many different hypotheses that might be considered, but these are just few of them. With the help of this study, the need of regularly evaluating oneself, engaging in conversations that are receptive to all points of view, and making proactive attempts to fix possible power imbalances will be brought to light. A self-reflective study is being conducted with the intention of highlighting the significance of engagement in activities of this kind. These are the kinds of efforts that need to be done in order to guarantee that community involvement will continue to act as a driving force for positive social development. Taking these steps is absolutely necessary at this point</w:t>
      </w:r>
      <w:r w:rsidR="004406F8">
        <w:rPr>
          <w:rFonts w:ascii="Arial" w:hAnsi="Arial" w:cs="Arial"/>
          <w:sz w:val="24"/>
          <w:szCs w:val="24"/>
        </w:rPr>
        <w:t>.</w:t>
      </w:r>
    </w:p>
    <w:p w14:paraId="1A1C4876" w14:textId="77777777" w:rsidR="004406F8" w:rsidRDefault="004406F8" w:rsidP="00521495">
      <w:pPr>
        <w:spacing w:line="360" w:lineRule="auto"/>
        <w:jc w:val="both"/>
        <w:rPr>
          <w:rFonts w:ascii="Arial" w:hAnsi="Arial" w:cs="Arial"/>
          <w:sz w:val="24"/>
          <w:szCs w:val="24"/>
        </w:rPr>
      </w:pPr>
    </w:p>
    <w:p w14:paraId="2843CD74" w14:textId="0B8A9856" w:rsidR="00AC75EC" w:rsidRPr="004406F8" w:rsidRDefault="004406F8" w:rsidP="00521495">
      <w:pPr>
        <w:spacing w:line="360" w:lineRule="auto"/>
        <w:jc w:val="both"/>
        <w:rPr>
          <w:rFonts w:ascii="Arial" w:hAnsi="Arial" w:cs="Arial"/>
          <w:b/>
          <w:bCs/>
          <w:sz w:val="24"/>
          <w:szCs w:val="24"/>
        </w:rPr>
      </w:pPr>
      <w:r w:rsidRPr="004406F8">
        <w:rPr>
          <w:rFonts w:ascii="Arial" w:hAnsi="Arial" w:cs="Arial"/>
          <w:b/>
          <w:bCs/>
          <w:sz w:val="24"/>
          <w:szCs w:val="24"/>
        </w:rPr>
        <w:t>Conclusion</w:t>
      </w:r>
    </w:p>
    <w:p w14:paraId="0B6207C4" w14:textId="77777777" w:rsidR="004406F8" w:rsidRDefault="004406F8" w:rsidP="00521495">
      <w:pPr>
        <w:spacing w:line="360" w:lineRule="auto"/>
        <w:jc w:val="both"/>
        <w:rPr>
          <w:rFonts w:ascii="Arial" w:hAnsi="Arial" w:cs="Arial"/>
          <w:sz w:val="24"/>
          <w:szCs w:val="24"/>
        </w:rPr>
      </w:pPr>
    </w:p>
    <w:p w14:paraId="429C7298" w14:textId="5AD6DC59" w:rsidR="004406F8" w:rsidRDefault="004406F8" w:rsidP="00521495">
      <w:pPr>
        <w:spacing w:line="360" w:lineRule="auto"/>
        <w:jc w:val="both"/>
        <w:rPr>
          <w:rFonts w:ascii="Arial" w:hAnsi="Arial" w:cs="Arial"/>
          <w:sz w:val="24"/>
          <w:szCs w:val="24"/>
        </w:rPr>
      </w:pPr>
      <w:r w:rsidRPr="004406F8">
        <w:rPr>
          <w:rFonts w:ascii="Arial" w:hAnsi="Arial" w:cs="Arial"/>
          <w:sz w:val="24"/>
          <w:szCs w:val="24"/>
        </w:rPr>
        <w:t>Community involvement is an organised way for organisations and the public to discuss issues, gather input, and make choices. To integrate multiple perspectives in decision-making, it usually involves information sharing, consultation, and collaboration. Effective community engagement promotes transparency, trust, and well-being.</w:t>
      </w:r>
    </w:p>
    <w:p w14:paraId="15113558" w14:textId="77777777" w:rsidR="004406F8" w:rsidRDefault="004406F8" w:rsidP="00521495">
      <w:pPr>
        <w:spacing w:line="360" w:lineRule="auto"/>
        <w:jc w:val="both"/>
        <w:rPr>
          <w:rFonts w:ascii="Arial" w:hAnsi="Arial" w:cs="Arial"/>
          <w:sz w:val="24"/>
          <w:szCs w:val="24"/>
        </w:rPr>
      </w:pPr>
    </w:p>
    <w:p w14:paraId="17E8D7E9" w14:textId="3FCB7905" w:rsidR="004406F8" w:rsidRDefault="004406F8" w:rsidP="00521495">
      <w:pPr>
        <w:spacing w:line="360" w:lineRule="auto"/>
        <w:jc w:val="both"/>
        <w:rPr>
          <w:rFonts w:ascii="Arial" w:hAnsi="Arial" w:cs="Arial"/>
          <w:b/>
          <w:bCs/>
          <w:sz w:val="24"/>
          <w:szCs w:val="24"/>
        </w:rPr>
      </w:pPr>
      <w:r w:rsidRPr="004406F8">
        <w:rPr>
          <w:rFonts w:ascii="Arial" w:hAnsi="Arial" w:cs="Arial"/>
          <w:b/>
          <w:bCs/>
          <w:sz w:val="24"/>
          <w:szCs w:val="24"/>
        </w:rPr>
        <w:t>References:</w:t>
      </w:r>
    </w:p>
    <w:p w14:paraId="0C3979CF" w14:textId="69F08C96" w:rsidR="004406F8" w:rsidRDefault="005045FA" w:rsidP="005045FA">
      <w:pPr>
        <w:pStyle w:val="ListParagraph"/>
        <w:numPr>
          <w:ilvl w:val="0"/>
          <w:numId w:val="1"/>
        </w:numPr>
        <w:spacing w:line="360" w:lineRule="auto"/>
        <w:jc w:val="both"/>
        <w:rPr>
          <w:rFonts w:ascii="Arial" w:hAnsi="Arial" w:cs="Arial"/>
          <w:sz w:val="24"/>
          <w:szCs w:val="24"/>
        </w:rPr>
      </w:pPr>
      <w:r w:rsidRPr="005045FA">
        <w:rPr>
          <w:rFonts w:ascii="Arial" w:hAnsi="Arial" w:cs="Arial"/>
          <w:sz w:val="24"/>
          <w:szCs w:val="24"/>
        </w:rPr>
        <w:t xml:space="preserve">Sheila </w:t>
      </w:r>
      <w:proofErr w:type="spellStart"/>
      <w:r w:rsidRPr="005045FA">
        <w:rPr>
          <w:rFonts w:ascii="Arial" w:hAnsi="Arial" w:cs="Arial"/>
          <w:sz w:val="24"/>
          <w:szCs w:val="24"/>
        </w:rPr>
        <w:t>Slesser</w:t>
      </w:r>
      <w:proofErr w:type="spellEnd"/>
      <w:r w:rsidRPr="005045FA">
        <w:rPr>
          <w:rFonts w:ascii="Arial" w:hAnsi="Arial" w:cs="Arial"/>
          <w:sz w:val="24"/>
          <w:szCs w:val="24"/>
        </w:rPr>
        <w:t xml:space="preserve">, P. M. (n.d.). What is reflective practice?. Reflective Practice. </w:t>
      </w:r>
      <w:hyperlink r:id="rId5" w:history="1">
        <w:r w:rsidR="00040934" w:rsidRPr="003F19C1">
          <w:rPr>
            <w:rStyle w:val="Hyperlink"/>
            <w:rFonts w:ascii="Arial" w:hAnsi="Arial" w:cs="Arial"/>
            <w:sz w:val="24"/>
            <w:szCs w:val="24"/>
          </w:rPr>
          <w:t>https://content.iriss.org.uk/reflectivepractice/what.html</w:t>
        </w:r>
      </w:hyperlink>
    </w:p>
    <w:p w14:paraId="4A9C7A9A" w14:textId="4E182A63" w:rsidR="00040934" w:rsidRPr="00D63403" w:rsidRDefault="00040934" w:rsidP="00AB28CD">
      <w:pPr>
        <w:pStyle w:val="NormalWeb"/>
        <w:numPr>
          <w:ilvl w:val="0"/>
          <w:numId w:val="1"/>
        </w:numPr>
        <w:spacing w:line="360" w:lineRule="auto"/>
        <w:jc w:val="both"/>
        <w:rPr>
          <w:rFonts w:ascii="Arial" w:hAnsi="Arial" w:cs="Arial"/>
        </w:rPr>
      </w:pPr>
      <w:r w:rsidRPr="00D63403">
        <w:rPr>
          <w:color w:val="000000"/>
        </w:rPr>
        <w:t xml:space="preserve">The critical theory of Jurgen Habermas. (n.d.). </w:t>
      </w:r>
      <w:hyperlink r:id="rId6" w:history="1">
        <w:r w:rsidR="00D63403" w:rsidRPr="003F19C1">
          <w:rPr>
            <w:rStyle w:val="Hyperlink"/>
          </w:rPr>
          <w:t>http://physicsed.buffalostate.edu/danowner/habcritthy.html</w:t>
        </w:r>
      </w:hyperlink>
      <w:r w:rsidRPr="00D63403">
        <w:rPr>
          <w:rStyle w:val="apple-converted-space"/>
          <w:color w:val="000000"/>
        </w:rPr>
        <w:t> </w:t>
      </w:r>
    </w:p>
    <w:p w14:paraId="29ADAECC" w14:textId="42E42557" w:rsidR="00D63403" w:rsidRDefault="00FB4759" w:rsidP="009E7CED">
      <w:pPr>
        <w:pStyle w:val="NormalWeb"/>
        <w:numPr>
          <w:ilvl w:val="0"/>
          <w:numId w:val="1"/>
        </w:numPr>
        <w:divId w:val="1625769590"/>
        <w:rPr>
          <w:color w:val="000000"/>
        </w:rPr>
      </w:pPr>
      <w:proofErr w:type="spellStart"/>
      <w:r>
        <w:rPr>
          <w:color w:val="000000"/>
        </w:rPr>
        <w:t>Claridge</w:t>
      </w:r>
      <w:proofErr w:type="spellEnd"/>
      <w:r>
        <w:rPr>
          <w:color w:val="000000"/>
        </w:rPr>
        <w:t xml:space="preserve">, T., </w:t>
      </w:r>
      <w:proofErr w:type="spellStart"/>
      <w:r>
        <w:rPr>
          <w:color w:val="000000"/>
        </w:rPr>
        <w:t>Atheru</w:t>
      </w:r>
      <w:proofErr w:type="spellEnd"/>
      <w:r>
        <w:rPr>
          <w:color w:val="000000"/>
        </w:rPr>
        <w:t xml:space="preserve">, Dr. K., </w:t>
      </w:r>
      <w:proofErr w:type="spellStart"/>
      <w:r>
        <w:rPr>
          <w:color w:val="000000"/>
        </w:rPr>
        <w:t>piscos</w:t>
      </w:r>
      <w:proofErr w:type="spellEnd"/>
      <w:r>
        <w:rPr>
          <w:color w:val="000000"/>
        </w:rPr>
        <w:t xml:space="preserve">, J. </w:t>
      </w:r>
      <w:proofErr w:type="spellStart"/>
      <w:r>
        <w:rPr>
          <w:color w:val="000000"/>
        </w:rPr>
        <w:t>loreto</w:t>
      </w:r>
      <w:proofErr w:type="spellEnd"/>
      <w:r>
        <w:rPr>
          <w:color w:val="000000"/>
        </w:rPr>
        <w:t xml:space="preserve">, </w:t>
      </w:r>
      <w:proofErr w:type="spellStart"/>
      <w:r>
        <w:rPr>
          <w:color w:val="000000"/>
        </w:rPr>
        <w:t>Atheru</w:t>
      </w:r>
      <w:proofErr w:type="spellEnd"/>
      <w:r>
        <w:rPr>
          <w:color w:val="000000"/>
        </w:rPr>
        <w:t xml:space="preserve">, Dr. K., </w:t>
      </w:r>
      <w:proofErr w:type="spellStart"/>
      <w:r>
        <w:rPr>
          <w:color w:val="000000"/>
        </w:rPr>
        <w:t>Subam</w:t>
      </w:r>
      <w:proofErr w:type="spellEnd"/>
      <w:r>
        <w:rPr>
          <w:color w:val="000000"/>
        </w:rPr>
        <w:t xml:space="preserve">, </w:t>
      </w:r>
      <w:proofErr w:type="spellStart"/>
      <w:r>
        <w:rPr>
          <w:color w:val="000000"/>
        </w:rPr>
        <w:t>Blinston</w:t>
      </w:r>
      <w:proofErr w:type="spellEnd"/>
      <w:r>
        <w:rPr>
          <w:color w:val="000000"/>
        </w:rPr>
        <w:t xml:space="preserve">, A., </w:t>
      </w:r>
      <w:proofErr w:type="spellStart"/>
      <w:r>
        <w:rPr>
          <w:color w:val="000000"/>
        </w:rPr>
        <w:t>Mazaheri</w:t>
      </w:r>
      <w:proofErr w:type="spellEnd"/>
      <w:r>
        <w:rPr>
          <w:color w:val="000000"/>
        </w:rPr>
        <w:t xml:space="preserve">, H., Castle, M., &amp; </w:t>
      </w:r>
      <w:proofErr w:type="spellStart"/>
      <w:r>
        <w:rPr>
          <w:color w:val="000000"/>
        </w:rPr>
        <w:t>Bilombele</w:t>
      </w:r>
      <w:proofErr w:type="spellEnd"/>
      <w:r>
        <w:rPr>
          <w:color w:val="000000"/>
        </w:rPr>
        <w:t>, Y. (2023, June 20).</w:t>
      </w:r>
      <w:r>
        <w:rPr>
          <w:rStyle w:val="apple-converted-space"/>
          <w:color w:val="000000"/>
        </w:rPr>
        <w:t> </w:t>
      </w:r>
      <w:r>
        <w:rPr>
          <w:i/>
          <w:iCs/>
          <w:color w:val="000000"/>
        </w:rPr>
        <w:t>Bourdieu on social capital – theory of capital</w:t>
      </w:r>
      <w:r>
        <w:rPr>
          <w:color w:val="000000"/>
        </w:rPr>
        <w:t>. Bourdieu on social capital – theory of capital • Institute for Social Capital. https://www.socialcapitalresearch.com/bourdieu-on-social-capital-theory-of-capital/amp/</w:t>
      </w:r>
      <w:r>
        <w:rPr>
          <w:rStyle w:val="apple-converted-space"/>
          <w:color w:val="000000"/>
        </w:rPr>
        <w:t> </w:t>
      </w:r>
    </w:p>
    <w:p w14:paraId="5AC909A9" w14:textId="77777777" w:rsidR="009E7CED" w:rsidRPr="009E7CED" w:rsidRDefault="009E7CED" w:rsidP="009E7CED">
      <w:pPr>
        <w:pStyle w:val="NormalWeb"/>
        <w:ind w:left="720"/>
        <w:divId w:val="1625769590"/>
        <w:rPr>
          <w:color w:val="000000"/>
        </w:rPr>
      </w:pPr>
    </w:p>
    <w:p w14:paraId="43C26F0F" w14:textId="77777777" w:rsidR="004406F8" w:rsidRPr="004406F8" w:rsidRDefault="004406F8" w:rsidP="00521495">
      <w:pPr>
        <w:spacing w:line="360" w:lineRule="auto"/>
        <w:jc w:val="both"/>
        <w:rPr>
          <w:rFonts w:ascii="Arial" w:hAnsi="Arial" w:cs="Arial"/>
          <w:b/>
          <w:bCs/>
          <w:sz w:val="24"/>
          <w:szCs w:val="24"/>
        </w:rPr>
      </w:pPr>
    </w:p>
    <w:sectPr w:rsidR="004406F8" w:rsidRPr="004406F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Mangal">
    <w:panose1 w:val="02040503050203030202"/>
    <w:charset w:val="01"/>
    <w:family w:val="roman"/>
    <w:pitch w:val="variable"/>
    <w:sig w:usb0="0000A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1F53DD"/>
    <w:multiLevelType w:val="hybridMultilevel"/>
    <w:tmpl w:val="084E01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8A20042"/>
    <w:multiLevelType w:val="hybridMultilevel"/>
    <w:tmpl w:val="30524504"/>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09625654">
    <w:abstractNumId w:val="0"/>
  </w:num>
  <w:num w:numId="2" w16cid:durableId="33588844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10"/>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1495"/>
    <w:rsid w:val="0002111C"/>
    <w:rsid w:val="00040934"/>
    <w:rsid w:val="00352E94"/>
    <w:rsid w:val="00436352"/>
    <w:rsid w:val="004406F8"/>
    <w:rsid w:val="004D1BFC"/>
    <w:rsid w:val="005045FA"/>
    <w:rsid w:val="00521495"/>
    <w:rsid w:val="00567F94"/>
    <w:rsid w:val="0078048A"/>
    <w:rsid w:val="00897151"/>
    <w:rsid w:val="008B3FDE"/>
    <w:rsid w:val="009E7CED"/>
    <w:rsid w:val="00A90C21"/>
    <w:rsid w:val="00AC75EC"/>
    <w:rsid w:val="00CE18D3"/>
    <w:rsid w:val="00D25560"/>
    <w:rsid w:val="00D63403"/>
    <w:rsid w:val="00D86CE0"/>
    <w:rsid w:val="00F663CB"/>
    <w:rsid w:val="00FB4759"/>
  </w:rsids>
  <m:mathPr>
    <m:mathFont m:val="Cambria Math"/>
    <m:brkBin m:val="before"/>
    <m:brkBinSub m:val="--"/>
    <m:smallFrac m:val="0"/>
    <m:dispDef/>
    <m:lMargin m:val="0"/>
    <m:rMargin m:val="0"/>
    <m:defJc m:val="centerGroup"/>
    <m:wrapIndent m:val="1440"/>
    <m:intLim m:val="subSup"/>
    <m:naryLim m:val="undOvr"/>
  </m:mathPr>
  <w:themeFontLang w:val="en-GB" w:bidi="hi-IN"/>
  <w:clrSchemeMapping w:bg1="light1" w:t1="dark1" w:bg2="light2" w:t2="dark2" w:accent1="accent1" w:accent2="accent2" w:accent3="accent3" w:accent4="accent4" w:accent5="accent5" w:accent6="accent6" w:hyperlink="hyperlink" w:followedHyperlink="followedHyperlink"/>
  <w:decimalSymbol w:val="."/>
  <w:listSeparator w:val=","/>
  <w14:docId w14:val="41BD8E79"/>
  <w15:chartTrackingRefBased/>
  <w15:docId w15:val="{BFC64908-1740-C044-BFF3-3E9C36F749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lang w:val="en-GB" w:eastAsia="en-GB" w:bidi="hi-IN"/>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cs="Mang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045FA"/>
    <w:pPr>
      <w:ind w:left="720"/>
      <w:contextualSpacing/>
    </w:pPr>
  </w:style>
  <w:style w:type="character" w:styleId="Hyperlink">
    <w:name w:val="Hyperlink"/>
    <w:basedOn w:val="DefaultParagraphFont"/>
    <w:uiPriority w:val="99"/>
    <w:unhideWhenUsed/>
    <w:rsid w:val="00040934"/>
    <w:rPr>
      <w:color w:val="0563C1" w:themeColor="hyperlink"/>
      <w:u w:val="single"/>
    </w:rPr>
  </w:style>
  <w:style w:type="character" w:styleId="UnresolvedMention">
    <w:name w:val="Unresolved Mention"/>
    <w:basedOn w:val="DefaultParagraphFont"/>
    <w:uiPriority w:val="99"/>
    <w:semiHidden/>
    <w:unhideWhenUsed/>
    <w:rsid w:val="00040934"/>
    <w:rPr>
      <w:color w:val="605E5C"/>
      <w:shd w:val="clear" w:color="auto" w:fill="E1DFDD"/>
    </w:rPr>
  </w:style>
  <w:style w:type="paragraph" w:styleId="NormalWeb">
    <w:name w:val="Normal (Web)"/>
    <w:basedOn w:val="Normal"/>
    <w:uiPriority w:val="99"/>
    <w:unhideWhenUsed/>
    <w:rsid w:val="00040934"/>
    <w:pPr>
      <w:spacing w:before="100" w:beforeAutospacing="1" w:after="100" w:afterAutospacing="1"/>
    </w:pPr>
    <w:rPr>
      <w:rFonts w:ascii="Times New Roman" w:hAnsi="Times New Roman" w:cs="Times New Roman"/>
      <w:kern w:val="0"/>
      <w:sz w:val="24"/>
      <w:szCs w:val="24"/>
      <w14:ligatures w14:val="none"/>
    </w:rPr>
  </w:style>
  <w:style w:type="character" w:customStyle="1" w:styleId="apple-converted-space">
    <w:name w:val="apple-converted-space"/>
    <w:basedOn w:val="DefaultParagraphFont"/>
    <w:rsid w:val="0004093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7406348">
      <w:bodyDiv w:val="1"/>
      <w:marLeft w:val="0"/>
      <w:marRight w:val="0"/>
      <w:marTop w:val="0"/>
      <w:marBottom w:val="0"/>
      <w:divBdr>
        <w:top w:val="none" w:sz="0" w:space="0" w:color="auto"/>
        <w:left w:val="none" w:sz="0" w:space="0" w:color="auto"/>
        <w:bottom w:val="none" w:sz="0" w:space="0" w:color="auto"/>
        <w:right w:val="none" w:sz="0" w:space="0" w:color="auto"/>
      </w:divBdr>
    </w:div>
    <w:div w:id="767896835">
      <w:bodyDiv w:val="1"/>
      <w:marLeft w:val="0"/>
      <w:marRight w:val="0"/>
      <w:marTop w:val="0"/>
      <w:marBottom w:val="0"/>
      <w:divBdr>
        <w:top w:val="none" w:sz="0" w:space="0" w:color="auto"/>
        <w:left w:val="none" w:sz="0" w:space="0" w:color="auto"/>
        <w:bottom w:val="none" w:sz="0" w:space="0" w:color="auto"/>
        <w:right w:val="none" w:sz="0" w:space="0" w:color="auto"/>
      </w:divBdr>
    </w:div>
    <w:div w:id="16257695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physicsed.buffalostate.edu/danowner/habcritthy.html" TargetMode="External"/><Relationship Id="rId5" Type="http://schemas.openxmlformats.org/officeDocument/2006/relationships/hyperlink" Target="https://content.iriss.org.uk/reflectivepractice/what.html"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2008</Words>
  <Characters>11452</Characters>
  <Application>Microsoft Office Word</Application>
  <DocSecurity>0</DocSecurity>
  <Lines>95</Lines>
  <Paragraphs>26</Paragraphs>
  <ScaleCrop>false</ScaleCrop>
  <Company/>
  <LinksUpToDate>false</LinksUpToDate>
  <CharactersWithSpaces>13434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Medeleanu Anca</dc:creator>
  <cp:keywords/>
  <dc:description/>
  <cp:lastModifiedBy>Medeleanu Anca</cp:lastModifiedBy>
  <cp:revision>2</cp:revision>
  <dcterms:created xsi:type="dcterms:W3CDTF">2023-12-18T01:08:00Z</dcterms:created>
  <dcterms:modified xsi:type="dcterms:W3CDTF">2023-12-18T01:08:00Z</dcterms:modified>
</cp:coreProperties>
</file>