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FA655" w14:textId="75D42FFE" w:rsidR="00B37836" w:rsidRDefault="00DD5969" w:rsidP="00B37836">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D352709" w14:textId="77777777" w:rsidR="00B37836" w:rsidRPr="00B37836" w:rsidRDefault="00B37836" w:rsidP="00B37836">
      <w:pPr>
        <w:spacing w:before="212"/>
        <w:jc w:val="center"/>
        <w:rPr>
          <w:rFonts w:ascii="Arial"/>
          <w:b/>
          <w:sz w:val="56"/>
          <w:szCs w:val="56"/>
        </w:rPr>
      </w:pPr>
    </w:p>
    <w:p w14:paraId="5B9AE89A" w14:textId="212D3A18" w:rsidR="00DD5969" w:rsidRPr="00281EBD" w:rsidRDefault="004B31F1" w:rsidP="00281EBD">
      <w:pPr>
        <w:spacing w:before="212" w:line="360" w:lineRule="auto"/>
        <w:rPr>
          <w:rFonts w:ascii="Arial" w:hAnsi="Arial" w:cs="Arial"/>
          <w:b/>
          <w:bCs/>
          <w:sz w:val="40"/>
          <w:szCs w:val="40"/>
        </w:rPr>
      </w:pPr>
      <w:r w:rsidRPr="00281EBD">
        <w:rPr>
          <w:rFonts w:ascii="Arial" w:hAnsi="Arial" w:cs="Arial"/>
          <w:b/>
          <w:bCs/>
          <w:sz w:val="40"/>
          <w:szCs w:val="40"/>
        </w:rPr>
        <w:t>Module Name:</w:t>
      </w:r>
      <w:r w:rsidR="7E45A39A" w:rsidRPr="00281EBD">
        <w:rPr>
          <w:rFonts w:ascii="Arial" w:hAnsi="Arial" w:cs="Arial"/>
          <w:b/>
          <w:bCs/>
          <w:sz w:val="40"/>
          <w:szCs w:val="40"/>
        </w:rPr>
        <w:t xml:space="preserve"> </w:t>
      </w:r>
      <w:r w:rsidR="00B37836" w:rsidRPr="00281EBD">
        <w:rPr>
          <w:rFonts w:ascii="Arial" w:hAnsi="Arial" w:cs="Arial"/>
          <w:sz w:val="40"/>
          <w:szCs w:val="40"/>
        </w:rPr>
        <w:t xml:space="preserve">People and Organisations </w:t>
      </w:r>
    </w:p>
    <w:p w14:paraId="5051A2D5" w14:textId="278B6743" w:rsidR="00347EA1" w:rsidRPr="00281EBD" w:rsidRDefault="004B31F1" w:rsidP="00281EBD">
      <w:pPr>
        <w:spacing w:before="212" w:line="360" w:lineRule="auto"/>
        <w:rPr>
          <w:rFonts w:ascii="Arial" w:hAnsi="Arial" w:cs="Arial"/>
          <w:sz w:val="40"/>
          <w:szCs w:val="40"/>
        </w:rPr>
      </w:pPr>
      <w:r w:rsidRPr="00281EBD">
        <w:rPr>
          <w:rFonts w:ascii="Arial" w:hAnsi="Arial" w:cs="Arial"/>
          <w:b/>
          <w:bCs/>
          <w:sz w:val="40"/>
          <w:szCs w:val="40"/>
        </w:rPr>
        <w:t xml:space="preserve">Module Code: </w:t>
      </w:r>
      <w:r w:rsidR="00B37836" w:rsidRPr="00281EBD">
        <w:rPr>
          <w:rFonts w:ascii="Arial" w:hAnsi="Arial" w:cs="Arial"/>
          <w:sz w:val="40"/>
          <w:szCs w:val="40"/>
        </w:rPr>
        <w:t>BM</w:t>
      </w:r>
      <w:r w:rsidR="0007378A">
        <w:rPr>
          <w:rFonts w:ascii="Arial" w:hAnsi="Arial" w:cs="Arial"/>
          <w:sz w:val="40"/>
          <w:szCs w:val="40"/>
        </w:rPr>
        <w:t>BM</w:t>
      </w:r>
      <w:r w:rsidR="00B37836" w:rsidRPr="00281EBD">
        <w:rPr>
          <w:rFonts w:ascii="Arial" w:hAnsi="Arial" w:cs="Arial"/>
          <w:sz w:val="40"/>
          <w:szCs w:val="40"/>
        </w:rPr>
        <w:t>4006</w:t>
      </w:r>
      <w:r w:rsidRPr="00281EBD">
        <w:rPr>
          <w:rFonts w:ascii="Arial" w:hAnsi="Arial" w:cs="Arial"/>
          <w:b/>
          <w:bCs/>
          <w:sz w:val="40"/>
          <w:szCs w:val="40"/>
        </w:rPr>
        <w:t xml:space="preserve"> </w:t>
      </w:r>
    </w:p>
    <w:p w14:paraId="42F6AF16" w14:textId="520C2C06" w:rsidR="00281EBD" w:rsidRPr="00281EBD" w:rsidRDefault="004B31F1" w:rsidP="00281EBD">
      <w:pPr>
        <w:spacing w:before="212" w:line="360" w:lineRule="auto"/>
        <w:rPr>
          <w:rFonts w:ascii="Arial" w:hAnsi="Arial" w:cs="Arial"/>
          <w:b/>
          <w:bCs/>
          <w:sz w:val="40"/>
          <w:szCs w:val="40"/>
        </w:rPr>
      </w:pPr>
      <w:r w:rsidRPr="00281EBD">
        <w:rPr>
          <w:rFonts w:ascii="Arial" w:hAnsi="Arial" w:cs="Arial"/>
          <w:b/>
          <w:bCs/>
          <w:sz w:val="40"/>
          <w:szCs w:val="40"/>
        </w:rPr>
        <w:t>Assignment Name:</w:t>
      </w:r>
      <w:r w:rsidR="00B37836" w:rsidRPr="00281EBD">
        <w:rPr>
          <w:rFonts w:ascii="Arial" w:hAnsi="Arial" w:cs="Arial"/>
          <w:b/>
          <w:bCs/>
          <w:sz w:val="40"/>
          <w:szCs w:val="40"/>
        </w:rPr>
        <w:t xml:space="preserve"> </w:t>
      </w:r>
      <w:r w:rsidR="00B37836" w:rsidRPr="00281EBD">
        <w:rPr>
          <w:rFonts w:ascii="Arial" w:hAnsi="Arial" w:cs="Arial"/>
          <w:sz w:val="40"/>
          <w:szCs w:val="40"/>
        </w:rPr>
        <w:t>Group Presentation and</w:t>
      </w:r>
      <w:r w:rsidR="00281EBD" w:rsidRPr="00281EBD">
        <w:rPr>
          <w:rFonts w:ascii="Arial" w:hAnsi="Arial" w:cs="Arial"/>
          <w:sz w:val="40"/>
          <w:szCs w:val="40"/>
        </w:rPr>
        <w:t xml:space="preserve"> Supporting Materials</w:t>
      </w:r>
      <w:r w:rsidR="00281EBD" w:rsidRPr="00281EBD">
        <w:rPr>
          <w:rFonts w:ascii="Arial" w:hAnsi="Arial" w:cs="Arial"/>
          <w:b/>
          <w:bCs/>
          <w:sz w:val="40"/>
          <w:szCs w:val="40"/>
        </w:rPr>
        <w:t xml:space="preserve"> </w:t>
      </w:r>
    </w:p>
    <w:p w14:paraId="66B14424" w14:textId="2716353F" w:rsidR="00463738" w:rsidRPr="00281EBD" w:rsidRDefault="00463738" w:rsidP="00281EBD">
      <w:pPr>
        <w:spacing w:before="212" w:line="360" w:lineRule="auto"/>
        <w:rPr>
          <w:rFonts w:ascii="Arial" w:hAnsi="Arial" w:cs="Arial"/>
          <w:sz w:val="40"/>
          <w:szCs w:val="40"/>
        </w:rPr>
      </w:pPr>
      <w:r w:rsidRPr="00281EBD">
        <w:rPr>
          <w:rFonts w:ascii="Arial" w:hAnsi="Arial" w:cs="Arial"/>
          <w:b/>
          <w:bCs/>
          <w:sz w:val="40"/>
          <w:szCs w:val="40"/>
        </w:rPr>
        <w:t>Topic:</w:t>
      </w:r>
      <w:r w:rsidR="00281EBD" w:rsidRPr="00281EBD">
        <w:rPr>
          <w:rFonts w:ascii="Arial" w:hAnsi="Arial" w:cs="Arial"/>
          <w:b/>
          <w:bCs/>
          <w:sz w:val="40"/>
          <w:szCs w:val="40"/>
        </w:rPr>
        <w:t xml:space="preserve"> </w:t>
      </w:r>
      <w:r w:rsidR="00281EBD" w:rsidRPr="00281EBD">
        <w:rPr>
          <w:rFonts w:ascii="Arial" w:hAnsi="Arial" w:cs="Arial"/>
          <w:sz w:val="40"/>
          <w:szCs w:val="40"/>
        </w:rPr>
        <w:t>Resistance to change at Screwfix</w:t>
      </w:r>
    </w:p>
    <w:p w14:paraId="0D16D138" w14:textId="60152908" w:rsidR="00DD5969" w:rsidRPr="00281EBD" w:rsidRDefault="004B31F1" w:rsidP="00281EBD">
      <w:pPr>
        <w:spacing w:before="3" w:line="360" w:lineRule="auto"/>
        <w:rPr>
          <w:rFonts w:ascii="Arial" w:hAnsi="Arial" w:cs="Arial"/>
          <w:sz w:val="40"/>
          <w:szCs w:val="40"/>
        </w:rPr>
      </w:pPr>
      <w:r w:rsidRPr="00281EBD">
        <w:rPr>
          <w:rFonts w:ascii="Arial" w:hAnsi="Arial" w:cs="Arial"/>
          <w:b/>
          <w:bCs/>
          <w:sz w:val="40"/>
          <w:szCs w:val="40"/>
        </w:rPr>
        <w:t>Student</w:t>
      </w:r>
      <w:r w:rsidR="005515DF">
        <w:rPr>
          <w:rFonts w:ascii="Arial" w:hAnsi="Arial" w:cs="Arial"/>
          <w:b/>
          <w:bCs/>
          <w:sz w:val="40"/>
          <w:szCs w:val="40"/>
        </w:rPr>
        <w:t>s</w:t>
      </w:r>
      <w:r w:rsidRPr="00281EBD">
        <w:rPr>
          <w:rFonts w:ascii="Arial" w:hAnsi="Arial" w:cs="Arial"/>
          <w:b/>
          <w:bCs/>
          <w:sz w:val="40"/>
          <w:szCs w:val="40"/>
        </w:rPr>
        <w:t xml:space="preserve"> Name:</w:t>
      </w:r>
      <w:r w:rsidR="00281EBD" w:rsidRPr="00281EBD">
        <w:rPr>
          <w:rFonts w:ascii="Arial" w:hAnsi="Arial" w:cs="Arial"/>
          <w:b/>
          <w:bCs/>
          <w:sz w:val="40"/>
          <w:szCs w:val="40"/>
        </w:rPr>
        <w:t xml:space="preserve"> </w:t>
      </w:r>
      <w:r w:rsidR="00281EBD" w:rsidRPr="00281EBD">
        <w:rPr>
          <w:rFonts w:ascii="Arial" w:hAnsi="Arial" w:cs="Arial"/>
          <w:sz w:val="40"/>
          <w:szCs w:val="40"/>
        </w:rPr>
        <w:t>Georgiana Paula Morosan</w:t>
      </w:r>
      <w:r w:rsidR="008B52E8">
        <w:rPr>
          <w:rFonts w:ascii="Arial" w:hAnsi="Arial" w:cs="Arial"/>
          <w:sz w:val="40"/>
          <w:szCs w:val="40"/>
        </w:rPr>
        <w:t xml:space="preserve">, Katherine Clanford, Elena Dimitrova, </w:t>
      </w:r>
      <w:r w:rsidR="005515DF">
        <w:rPr>
          <w:rFonts w:ascii="Arial" w:hAnsi="Arial" w:cs="Arial"/>
          <w:sz w:val="40"/>
          <w:szCs w:val="40"/>
        </w:rPr>
        <w:t>Efrem Tekle, Gemma Wilkinson</w:t>
      </w:r>
    </w:p>
    <w:p w14:paraId="18107AFF" w14:textId="728EB43E" w:rsidR="00DD5969" w:rsidRPr="00281EBD" w:rsidRDefault="004B31F1" w:rsidP="00281EBD">
      <w:pPr>
        <w:spacing w:before="3" w:line="360" w:lineRule="auto"/>
        <w:rPr>
          <w:rFonts w:ascii="Arial" w:hAnsi="Arial" w:cs="Arial"/>
          <w:b/>
          <w:bCs/>
          <w:sz w:val="40"/>
          <w:szCs w:val="40"/>
        </w:rPr>
      </w:pPr>
      <w:r w:rsidRPr="00281EBD">
        <w:rPr>
          <w:rFonts w:ascii="Arial" w:hAnsi="Arial" w:cs="Arial"/>
          <w:b/>
          <w:bCs/>
          <w:sz w:val="40"/>
          <w:szCs w:val="40"/>
        </w:rPr>
        <w:t>Student Number:</w:t>
      </w:r>
      <w:r w:rsidR="00281EBD" w:rsidRPr="00281EBD">
        <w:rPr>
          <w:rFonts w:ascii="Arial" w:hAnsi="Arial" w:cs="Arial"/>
          <w:b/>
          <w:bCs/>
          <w:sz w:val="40"/>
          <w:szCs w:val="40"/>
        </w:rPr>
        <w:t xml:space="preserve"> </w:t>
      </w:r>
      <w:r w:rsidR="00281EBD" w:rsidRPr="00281EBD">
        <w:rPr>
          <w:rFonts w:ascii="Arial" w:hAnsi="Arial" w:cs="Arial"/>
          <w:sz w:val="40"/>
          <w:szCs w:val="40"/>
        </w:rPr>
        <w:t>2418652</w:t>
      </w:r>
    </w:p>
    <w:p w14:paraId="54A41EF5" w14:textId="36F437C4" w:rsidR="004B31F1" w:rsidRPr="00281EBD" w:rsidRDefault="004B31F1" w:rsidP="00281EBD">
      <w:pPr>
        <w:spacing w:line="360" w:lineRule="auto"/>
        <w:rPr>
          <w:rFonts w:ascii="Arial" w:hAnsi="Arial" w:cs="Arial"/>
          <w:sz w:val="40"/>
          <w:szCs w:val="40"/>
        </w:rPr>
      </w:pPr>
      <w:r w:rsidRPr="00281EBD">
        <w:rPr>
          <w:rFonts w:ascii="Arial" w:hAnsi="Arial" w:cs="Arial"/>
          <w:b/>
          <w:bCs/>
          <w:sz w:val="40"/>
          <w:szCs w:val="40"/>
        </w:rPr>
        <w:t>Lecturer:</w:t>
      </w:r>
      <w:r w:rsidR="00281EBD" w:rsidRPr="00281EBD">
        <w:rPr>
          <w:rFonts w:ascii="Arial" w:hAnsi="Arial" w:cs="Arial"/>
          <w:b/>
          <w:bCs/>
          <w:sz w:val="40"/>
          <w:szCs w:val="40"/>
        </w:rPr>
        <w:t xml:space="preserve"> </w:t>
      </w:r>
      <w:r w:rsidR="00281EBD" w:rsidRPr="00281EBD">
        <w:rPr>
          <w:rFonts w:ascii="Arial" w:hAnsi="Arial" w:cs="Arial"/>
          <w:sz w:val="40"/>
          <w:szCs w:val="40"/>
        </w:rPr>
        <w:t>Robyn Griffiths</w:t>
      </w:r>
      <w:r w:rsidRPr="00281EBD">
        <w:rPr>
          <w:rFonts w:ascii="Arial" w:hAnsi="Arial" w:cs="Arial"/>
          <w:b/>
          <w:bCs/>
          <w:sz w:val="40"/>
          <w:szCs w:val="40"/>
        </w:rPr>
        <w:br/>
        <w:t>Deadline:</w:t>
      </w:r>
      <w:r w:rsidR="00281EBD" w:rsidRPr="00281EBD">
        <w:rPr>
          <w:rFonts w:ascii="Arial" w:hAnsi="Arial" w:cs="Arial"/>
          <w:b/>
          <w:bCs/>
          <w:sz w:val="40"/>
          <w:szCs w:val="40"/>
        </w:rPr>
        <w:t xml:space="preserve"> </w:t>
      </w:r>
      <w:r w:rsidR="00281EBD" w:rsidRPr="00281EBD">
        <w:rPr>
          <w:rFonts w:ascii="Arial" w:hAnsi="Arial" w:cs="Arial"/>
          <w:sz w:val="40"/>
          <w:szCs w:val="40"/>
        </w:rPr>
        <w:t>12/12/2025</w:t>
      </w:r>
    </w:p>
    <w:p w14:paraId="7EB15C98" w14:textId="77777777" w:rsidR="00B37836" w:rsidRDefault="00B37836" w:rsidP="00281EBD">
      <w:pPr>
        <w:spacing w:line="360" w:lineRule="auto"/>
        <w:rPr>
          <w:rFonts w:ascii="Arial" w:hAnsi="Arial" w:cs="Arial"/>
          <w:b/>
          <w:bCs/>
          <w:sz w:val="40"/>
          <w:szCs w:val="40"/>
        </w:rPr>
      </w:pPr>
    </w:p>
    <w:p w14:paraId="194DF389" w14:textId="55999229" w:rsidR="00463738" w:rsidRPr="00B37836" w:rsidRDefault="004B31F1" w:rsidP="00281EBD">
      <w:pPr>
        <w:spacing w:line="360" w:lineRule="auto"/>
        <w:rPr>
          <w:rFonts w:ascii="Arial" w:hAnsi="Arial" w:cs="Arial"/>
          <w:b/>
          <w:bCs/>
          <w:sz w:val="40"/>
          <w:szCs w:val="40"/>
        </w:rPr>
      </w:pPr>
      <w:r w:rsidRPr="00B37836">
        <w:rPr>
          <w:rFonts w:ascii="Arial" w:hAnsi="Arial" w:cs="Arial"/>
          <w:b/>
          <w:bCs/>
          <w:sz w:val="40"/>
          <w:szCs w:val="40"/>
        </w:rPr>
        <w:t>Wordcount:</w:t>
      </w:r>
      <w:r w:rsidR="00647AE0">
        <w:rPr>
          <w:rFonts w:ascii="Arial" w:hAnsi="Arial" w:cs="Arial"/>
          <w:b/>
          <w:bCs/>
          <w:sz w:val="40"/>
          <w:szCs w:val="40"/>
        </w:rPr>
        <w:t xml:space="preserve"> </w:t>
      </w:r>
      <w:r w:rsidR="00647AE0" w:rsidRPr="00647AE0">
        <w:rPr>
          <w:rFonts w:ascii="Arial" w:hAnsi="Arial" w:cs="Arial"/>
          <w:sz w:val="40"/>
          <w:szCs w:val="40"/>
        </w:rPr>
        <w:t>711</w:t>
      </w:r>
    </w:p>
    <w:sdt>
      <w:sdtPr>
        <w:rPr>
          <w:rFonts w:asciiTheme="minorHAnsi" w:eastAsiaTheme="minorEastAsia" w:hAnsiTheme="minorHAnsi" w:cstheme="minorBidi"/>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Default="00463738">
          <w:pPr>
            <w:pStyle w:val="TOCHeading"/>
            <w:sectPr w:rsidR="00463738">
              <w:pgSz w:w="11906" w:h="16838"/>
              <w:pgMar w:top="1440" w:right="1440" w:bottom="1440" w:left="1440" w:header="708" w:footer="708" w:gutter="0"/>
              <w:cols w:space="708"/>
              <w:docGrid w:linePitch="360"/>
            </w:sectPr>
          </w:pPr>
        </w:p>
        <w:p w14:paraId="150A72FB" w14:textId="0B9551D7" w:rsidR="00463738" w:rsidRDefault="00463738">
          <w:pPr>
            <w:pStyle w:val="TOCHeading"/>
            <w:rPr>
              <w:rFonts w:ascii="Arial" w:hAnsi="Arial" w:cs="Arial"/>
              <w:color w:val="auto"/>
              <w:sz w:val="40"/>
              <w:szCs w:val="40"/>
            </w:rPr>
          </w:pPr>
          <w:r w:rsidRPr="00B37836">
            <w:rPr>
              <w:rFonts w:ascii="Arial" w:hAnsi="Arial" w:cs="Arial"/>
              <w:color w:val="auto"/>
              <w:sz w:val="40"/>
              <w:szCs w:val="40"/>
            </w:rPr>
            <w:lastRenderedPageBreak/>
            <w:t>Contents</w:t>
          </w:r>
        </w:p>
        <w:p w14:paraId="5FF78064" w14:textId="77777777" w:rsidR="006806F5" w:rsidRPr="006806F5" w:rsidRDefault="006806F5" w:rsidP="006806F5">
          <w:pPr>
            <w:rPr>
              <w:lang w:val="en-US" w:eastAsia="en-US"/>
            </w:rPr>
          </w:pPr>
        </w:p>
        <w:p w14:paraId="59CE13FD" w14:textId="1D4D2985" w:rsidR="00463738" w:rsidRPr="00B37836" w:rsidRDefault="00463738" w:rsidP="00B37836">
          <w:pPr>
            <w:pStyle w:val="TOC2"/>
            <w:tabs>
              <w:tab w:val="right" w:leader="dot" w:pos="9016"/>
            </w:tabs>
            <w:spacing w:line="360" w:lineRule="auto"/>
            <w:jc w:val="both"/>
            <w:rPr>
              <w:rFonts w:ascii="Arial" w:hAnsi="Arial" w:cs="Arial"/>
              <w:noProof/>
            </w:rPr>
          </w:pPr>
          <w:r w:rsidRPr="00B37836">
            <w:rPr>
              <w:rFonts w:ascii="Arial" w:hAnsi="Arial" w:cs="Arial"/>
            </w:rPr>
            <w:fldChar w:fldCharType="begin"/>
          </w:r>
          <w:r w:rsidRPr="00B37836">
            <w:rPr>
              <w:rFonts w:ascii="Arial" w:hAnsi="Arial" w:cs="Arial"/>
            </w:rPr>
            <w:instrText xml:space="preserve"> TOC \o "1-3" \h \z \u </w:instrText>
          </w:r>
          <w:r w:rsidRPr="00B37836">
            <w:rPr>
              <w:rFonts w:ascii="Arial" w:hAnsi="Arial" w:cs="Arial"/>
            </w:rPr>
            <w:fldChar w:fldCharType="separate"/>
          </w:r>
          <w:hyperlink w:anchor="_Toc211416044" w:history="1">
            <w:r w:rsidR="00281EBD">
              <w:rPr>
                <w:rStyle w:val="Hyperlink"/>
                <w:rFonts w:ascii="Arial" w:hAnsi="Arial" w:cs="Arial"/>
                <w:noProof/>
                <w:color w:val="auto"/>
              </w:rPr>
              <w:t>Group Presentation</w:t>
            </w:r>
            <w:r w:rsidRPr="00B37836">
              <w:rPr>
                <w:rFonts w:ascii="Arial" w:hAnsi="Arial" w:cs="Arial"/>
                <w:noProof/>
                <w:webHidden/>
              </w:rPr>
              <w:tab/>
            </w:r>
            <w:r w:rsidR="00A35D6B">
              <w:rPr>
                <w:rFonts w:ascii="Arial" w:hAnsi="Arial" w:cs="Arial"/>
                <w:noProof/>
                <w:webHidden/>
              </w:rPr>
              <w:t>3</w:t>
            </w:r>
          </w:hyperlink>
        </w:p>
        <w:p w14:paraId="51E1BBD5" w14:textId="610785E9" w:rsidR="00463738" w:rsidRPr="00B37836" w:rsidRDefault="00281EBD" w:rsidP="00B37836">
          <w:pPr>
            <w:pStyle w:val="TOC2"/>
            <w:tabs>
              <w:tab w:val="right" w:leader="dot" w:pos="9016"/>
            </w:tabs>
            <w:spacing w:line="360" w:lineRule="auto"/>
            <w:jc w:val="both"/>
            <w:rPr>
              <w:rFonts w:ascii="Arial" w:hAnsi="Arial" w:cs="Arial"/>
              <w:noProof/>
            </w:rPr>
          </w:pPr>
          <w:hyperlink w:anchor="_Toc211416045" w:history="1">
            <w:r>
              <w:rPr>
                <w:rStyle w:val="Hyperlink"/>
                <w:rFonts w:ascii="Arial" w:hAnsi="Arial" w:cs="Arial"/>
                <w:noProof/>
                <w:color w:val="auto"/>
              </w:rPr>
              <w:t>Supportive Narrative</w:t>
            </w:r>
            <w:r w:rsidR="00463738" w:rsidRPr="00B37836">
              <w:rPr>
                <w:rFonts w:ascii="Arial" w:hAnsi="Arial" w:cs="Arial"/>
                <w:noProof/>
                <w:webHidden/>
              </w:rPr>
              <w:tab/>
            </w:r>
            <w:r w:rsidR="00A35D6B">
              <w:rPr>
                <w:rFonts w:ascii="Arial" w:hAnsi="Arial" w:cs="Arial"/>
                <w:noProof/>
                <w:webHidden/>
              </w:rPr>
              <w:t>4</w:t>
            </w:r>
          </w:hyperlink>
        </w:p>
        <w:p w14:paraId="5BEFBBEF" w14:textId="28652927" w:rsidR="00463738" w:rsidRPr="00B37836" w:rsidRDefault="00281EBD" w:rsidP="00B37836">
          <w:pPr>
            <w:pStyle w:val="TOC2"/>
            <w:tabs>
              <w:tab w:val="right" w:leader="dot" w:pos="9016"/>
            </w:tabs>
            <w:spacing w:line="360" w:lineRule="auto"/>
            <w:jc w:val="both"/>
            <w:rPr>
              <w:rFonts w:ascii="Arial" w:hAnsi="Arial" w:cs="Arial"/>
              <w:noProof/>
            </w:rPr>
          </w:pPr>
          <w:hyperlink w:anchor="_Toc211416046" w:history="1">
            <w:r>
              <w:rPr>
                <w:rStyle w:val="Hyperlink"/>
                <w:rFonts w:ascii="Arial" w:hAnsi="Arial" w:cs="Arial"/>
                <w:noProof/>
                <w:color w:val="auto"/>
              </w:rPr>
              <w:t>Reference List</w:t>
            </w:r>
            <w:r w:rsidR="00463738" w:rsidRPr="00B37836">
              <w:rPr>
                <w:rFonts w:ascii="Arial" w:hAnsi="Arial" w:cs="Arial"/>
                <w:noProof/>
                <w:webHidden/>
              </w:rPr>
              <w:tab/>
            </w:r>
            <w:r w:rsidR="00463738" w:rsidRPr="00B37836">
              <w:rPr>
                <w:rFonts w:ascii="Arial" w:hAnsi="Arial" w:cs="Arial"/>
                <w:noProof/>
                <w:webHidden/>
              </w:rPr>
              <w:fldChar w:fldCharType="begin"/>
            </w:r>
            <w:r w:rsidR="00463738" w:rsidRPr="00B37836">
              <w:rPr>
                <w:rFonts w:ascii="Arial" w:hAnsi="Arial" w:cs="Arial"/>
                <w:noProof/>
                <w:webHidden/>
              </w:rPr>
              <w:instrText xml:space="preserve"> PAGEREF _Toc211416046 \h </w:instrText>
            </w:r>
            <w:r w:rsidR="00463738" w:rsidRPr="00B37836">
              <w:rPr>
                <w:rFonts w:ascii="Arial" w:hAnsi="Arial" w:cs="Arial"/>
                <w:noProof/>
                <w:webHidden/>
              </w:rPr>
            </w:r>
            <w:r w:rsidR="00463738" w:rsidRPr="00B37836">
              <w:rPr>
                <w:rFonts w:ascii="Arial" w:hAnsi="Arial" w:cs="Arial"/>
                <w:noProof/>
                <w:webHidden/>
              </w:rPr>
              <w:fldChar w:fldCharType="separate"/>
            </w:r>
            <w:r w:rsidR="00463738" w:rsidRPr="00B37836">
              <w:rPr>
                <w:rFonts w:ascii="Arial" w:hAnsi="Arial" w:cs="Arial"/>
                <w:noProof/>
                <w:webHidden/>
              </w:rPr>
              <w:t>7</w:t>
            </w:r>
            <w:r w:rsidR="00463738" w:rsidRPr="00B37836">
              <w:rPr>
                <w:rFonts w:ascii="Arial" w:hAnsi="Arial" w:cs="Arial"/>
                <w:noProof/>
                <w:webHidden/>
              </w:rPr>
              <w:fldChar w:fldCharType="end"/>
            </w:r>
          </w:hyperlink>
        </w:p>
        <w:p w14:paraId="3984C3B9" w14:textId="1DC589D9" w:rsidR="00463738" w:rsidRPr="00281EBD" w:rsidRDefault="00463738" w:rsidP="00281EBD">
          <w:pPr>
            <w:spacing w:line="360" w:lineRule="auto"/>
            <w:jc w:val="both"/>
            <w:sectPr w:rsidR="00463738" w:rsidRPr="00281EBD">
              <w:pgSz w:w="11906" w:h="16838"/>
              <w:pgMar w:top="1440" w:right="1440" w:bottom="1440" w:left="1440" w:header="708" w:footer="708" w:gutter="0"/>
              <w:cols w:space="708"/>
              <w:docGrid w:linePitch="360"/>
            </w:sectPr>
          </w:pPr>
          <w:r w:rsidRPr="00B37836">
            <w:rPr>
              <w:rFonts w:ascii="Arial" w:hAnsi="Arial" w:cs="Arial"/>
              <w:b/>
              <w:bCs/>
              <w:noProof/>
            </w:rPr>
            <w:fldChar w:fldCharType="end"/>
          </w:r>
        </w:p>
      </w:sdtContent>
    </w:sdt>
    <w:p w14:paraId="7AE43713" w14:textId="77777777" w:rsidR="00463738" w:rsidRDefault="00AE4756" w:rsidP="00941E97">
      <w:pPr>
        <w:pStyle w:val="Heading3"/>
        <w:spacing w:line="360" w:lineRule="auto"/>
        <w:jc w:val="both"/>
        <w:rPr>
          <w:rFonts w:ascii="Arial" w:hAnsi="Arial" w:cs="Arial"/>
          <w:color w:val="auto"/>
          <w:sz w:val="40"/>
          <w:szCs w:val="40"/>
        </w:rPr>
      </w:pPr>
      <w:r>
        <w:rPr>
          <w:rFonts w:ascii="Arial" w:hAnsi="Arial" w:cs="Arial"/>
          <w:color w:val="auto"/>
          <w:sz w:val="40"/>
          <w:szCs w:val="40"/>
        </w:rPr>
        <w:lastRenderedPageBreak/>
        <w:t xml:space="preserve"> </w:t>
      </w:r>
      <w:r w:rsidR="00941E97">
        <w:rPr>
          <w:rFonts w:ascii="Arial" w:hAnsi="Arial" w:cs="Arial"/>
          <w:color w:val="auto"/>
          <w:sz w:val="40"/>
          <w:szCs w:val="40"/>
        </w:rPr>
        <w:t>Group Presentation</w:t>
      </w:r>
    </w:p>
    <w:p w14:paraId="4C93A466" w14:textId="77777777" w:rsidR="00FD5B0C" w:rsidRDefault="00FD5B0C" w:rsidP="00FD5B0C"/>
    <w:p w14:paraId="3C0E386E" w14:textId="77777777" w:rsidR="00FD5B0C" w:rsidRPr="00FD5B0C" w:rsidRDefault="00FD5B0C" w:rsidP="00FD5B0C">
      <w:pPr>
        <w:spacing w:after="0" w:line="240" w:lineRule="auto"/>
        <w:rPr>
          <w:rFonts w:ascii="Times New Roman" w:eastAsia="Times New Roman" w:hAnsi="Times New Roman" w:cs="Times New Roman"/>
          <w:kern w:val="0"/>
          <w:lang w:eastAsia="en-GB"/>
          <w14:ligatures w14:val="none"/>
        </w:rPr>
      </w:pPr>
      <w:hyperlink r:id="rId8" w:history="1">
        <w:r w:rsidRPr="00FD5B0C">
          <w:rPr>
            <w:rFonts w:ascii="Times New Roman" w:eastAsia="Times New Roman" w:hAnsi="Times New Roman" w:cs="Times New Roman"/>
            <w:color w:val="0000FF"/>
            <w:kern w:val="0"/>
            <w:u w:val="single"/>
            <w:lang w:eastAsia="en-GB"/>
            <w14:ligatures w14:val="none"/>
          </w:rPr>
          <w:t>Recording-20251211_200431.mp4</w:t>
        </w:r>
      </w:hyperlink>
    </w:p>
    <w:p w14:paraId="5F289FFE" w14:textId="468D814F" w:rsidR="00FD5B0C" w:rsidRPr="00FD5B0C" w:rsidRDefault="00FD5B0C" w:rsidP="00FD5B0C">
      <w:pPr>
        <w:sectPr w:rsidR="00FD5B0C" w:rsidRPr="00FD5B0C">
          <w:pgSz w:w="11906" w:h="16838"/>
          <w:pgMar w:top="1440" w:right="1440" w:bottom="1440" w:left="1440" w:header="708" w:footer="708" w:gutter="0"/>
          <w:cols w:space="708"/>
          <w:docGrid w:linePitch="360"/>
        </w:sectPr>
      </w:pPr>
    </w:p>
    <w:p w14:paraId="794EB50A" w14:textId="18EA08D1" w:rsidR="00644728" w:rsidRPr="00DA1F19" w:rsidRDefault="00941E97" w:rsidP="00941E97">
      <w:pPr>
        <w:spacing w:line="360" w:lineRule="auto"/>
        <w:jc w:val="both"/>
        <w:rPr>
          <w:rFonts w:ascii="Arial" w:hAnsi="Arial" w:cs="Arial"/>
          <w:sz w:val="40"/>
          <w:szCs w:val="40"/>
        </w:rPr>
      </w:pPr>
      <w:r w:rsidRPr="00941E97">
        <w:rPr>
          <w:rFonts w:ascii="Arial" w:hAnsi="Arial" w:cs="Arial"/>
          <w:sz w:val="40"/>
          <w:szCs w:val="40"/>
        </w:rPr>
        <w:lastRenderedPageBreak/>
        <w:t>Supportive Narrative</w:t>
      </w:r>
    </w:p>
    <w:p w14:paraId="225FB99F" w14:textId="7FEFE459" w:rsidR="0032689F" w:rsidRPr="0032689F" w:rsidRDefault="0032689F" w:rsidP="002266EA">
      <w:pPr>
        <w:spacing w:line="360" w:lineRule="auto"/>
        <w:jc w:val="both"/>
        <w:rPr>
          <w:rFonts w:ascii="Arial" w:hAnsi="Arial" w:cs="Arial"/>
        </w:rPr>
      </w:pPr>
      <w:r w:rsidRPr="0032689F">
        <w:rPr>
          <w:rFonts w:ascii="Arial" w:hAnsi="Arial" w:cs="Arial"/>
        </w:rPr>
        <w:t>Screwfix’s transition towards digital logistics highlights both potential efficiency gains and human challenges, particularly employee resistance to new systems (Awad and Martín-Rojas, 2024). Employees often perceive technological change as threatening, especially when job roles or processes are disrupted without sufficient preparation (Bhattacharyya, 2025). Resistance may also arise due to uncertainty, fear of failure, or generational differences in technology adoption, which can delay smooth workflow integration (Byron, 2022). These human factors can challenge performance if organisational strategies focus solely on technical solutions without considering employee needs (Cao, Duan and Edwards, 2025).</w:t>
      </w:r>
      <w:r w:rsidR="00155081">
        <w:rPr>
          <w:rFonts w:ascii="Arial" w:hAnsi="Arial" w:cs="Arial"/>
        </w:rPr>
        <w:t xml:space="preserve"> </w:t>
      </w:r>
      <w:r w:rsidR="00155081" w:rsidRPr="00155081">
        <w:rPr>
          <w:rFonts w:ascii="Arial" w:hAnsi="Arial" w:cs="Arial"/>
        </w:rPr>
        <w:t xml:space="preserve">This mirrors the experience of </w:t>
      </w:r>
      <w:proofErr w:type="spellStart"/>
      <w:r w:rsidR="00155081" w:rsidRPr="00155081">
        <w:rPr>
          <w:rFonts w:ascii="Arial" w:hAnsi="Arial" w:cs="Arial"/>
        </w:rPr>
        <w:t>Stitch</w:t>
      </w:r>
      <w:r w:rsidR="002266EA">
        <w:rPr>
          <w:rFonts w:ascii="Arial" w:hAnsi="Arial" w:cs="Arial"/>
        </w:rPr>
        <w:t>Co</w:t>
      </w:r>
      <w:proofErr w:type="spellEnd"/>
      <w:r w:rsidR="002266EA">
        <w:rPr>
          <w:rFonts w:ascii="Arial" w:hAnsi="Arial" w:cs="Arial"/>
        </w:rPr>
        <w:t xml:space="preserve"> </w:t>
      </w:r>
      <w:r w:rsidR="00155081" w:rsidRPr="00155081">
        <w:rPr>
          <w:rFonts w:ascii="Arial" w:hAnsi="Arial" w:cs="Arial"/>
        </w:rPr>
        <w:t>where similar resistance and cultural pressures emerged during their own digital transformation efforts.</w:t>
      </w:r>
    </w:p>
    <w:p w14:paraId="4D60DA22" w14:textId="2CFAD87F" w:rsidR="0032689F" w:rsidRPr="0032689F" w:rsidRDefault="0032689F" w:rsidP="002266EA">
      <w:pPr>
        <w:spacing w:line="360" w:lineRule="auto"/>
        <w:jc w:val="both"/>
        <w:rPr>
          <w:rFonts w:ascii="Arial" w:hAnsi="Arial" w:cs="Arial"/>
        </w:rPr>
      </w:pPr>
      <w:r w:rsidRPr="0032689F">
        <w:rPr>
          <w:rFonts w:ascii="Arial" w:hAnsi="Arial" w:cs="Arial"/>
        </w:rPr>
        <w:t xml:space="preserve">Effective leadership is crucial for addressing these challenges, as leaders who demonstrate transformational and emotionally intelligent behaviours can motivate staff and reduce resistance (Das, 2024). Transformational leadership supports vision alignment, inspires commitment, and encourages adaptability during periods of change, ensuring employees feel part of the organisational journey rather than passive recipients of instructions (Iyer and Malhotra, 2025). In contrast, weak leadership or inconsistent communication can worsen fear and disengagement, </w:t>
      </w:r>
      <w:r w:rsidR="0036728D" w:rsidRPr="0032689F">
        <w:rPr>
          <w:rFonts w:ascii="Arial" w:hAnsi="Arial" w:cs="Arial"/>
        </w:rPr>
        <w:t>slow</w:t>
      </w:r>
      <w:r w:rsidR="00915C23">
        <w:rPr>
          <w:rFonts w:ascii="Arial" w:hAnsi="Arial" w:cs="Arial"/>
        </w:rPr>
        <w:t xml:space="preserve">ing down </w:t>
      </w:r>
      <w:r w:rsidRPr="0032689F">
        <w:rPr>
          <w:rFonts w:ascii="Arial" w:hAnsi="Arial" w:cs="Arial"/>
        </w:rPr>
        <w:t>the adoption of new digital processes and creating gaps in operational efficiency (O’Connor and Martinez, 2025). Leaders must therefore be equipped with competencies that combine strategic foresight, empathy, and coaching capabilities to ensure successful transitions (Iyer and Malhotra, 2025).</w:t>
      </w:r>
    </w:p>
    <w:p w14:paraId="179D2E3C" w14:textId="20807560" w:rsidR="0032689F" w:rsidRPr="0032689F" w:rsidRDefault="0032689F" w:rsidP="002266EA">
      <w:pPr>
        <w:spacing w:line="360" w:lineRule="auto"/>
        <w:jc w:val="both"/>
        <w:rPr>
          <w:rFonts w:ascii="Arial" w:hAnsi="Arial" w:cs="Arial"/>
        </w:rPr>
      </w:pPr>
      <w:r w:rsidRPr="0032689F">
        <w:rPr>
          <w:rFonts w:ascii="Arial" w:hAnsi="Arial" w:cs="Arial"/>
        </w:rPr>
        <w:t xml:space="preserve">Continuous training and development are essential to prepare employees for technological shifts, rather than relying on one-off sessions or generic training programs (Armstrong, 2021). Incremental skill-building, mentorship, and hands-on support can boost confidence, competence, and engagement with new systems, helping employees adapt to change while maintaining productivity (Bhattacharyya, 2025). </w:t>
      </w:r>
      <w:r w:rsidR="00133824" w:rsidRPr="00133824">
        <w:rPr>
          <w:rFonts w:ascii="Arial" w:hAnsi="Arial" w:cs="Arial"/>
        </w:rPr>
        <w:t xml:space="preserve">Organisations that establish organised learning pathways and provide real-world application opportunities decrease perceived risk and develop resilience among their workforce, which is crucial in preserving morale during transformation. </w:t>
      </w:r>
      <w:r w:rsidRPr="0032689F">
        <w:rPr>
          <w:rFonts w:ascii="Arial" w:hAnsi="Arial" w:cs="Arial"/>
        </w:rPr>
        <w:t xml:space="preserve">(Byron, 2022). Ensuring staff understand both the technical and practical benefits of change </w:t>
      </w:r>
      <w:r w:rsidRPr="0032689F">
        <w:rPr>
          <w:rFonts w:ascii="Arial" w:hAnsi="Arial" w:cs="Arial"/>
        </w:rPr>
        <w:lastRenderedPageBreak/>
        <w:t xml:space="preserve">helps in </w:t>
      </w:r>
      <w:r w:rsidR="006D2349" w:rsidRPr="0032689F">
        <w:rPr>
          <w:rFonts w:ascii="Arial" w:hAnsi="Arial" w:cs="Arial"/>
        </w:rPr>
        <w:t>develop</w:t>
      </w:r>
      <w:r w:rsidR="006D2349">
        <w:rPr>
          <w:rFonts w:ascii="Arial" w:hAnsi="Arial" w:cs="Arial"/>
        </w:rPr>
        <w:t>ing</w:t>
      </w:r>
      <w:r w:rsidR="002405A9">
        <w:rPr>
          <w:rFonts w:ascii="Arial" w:hAnsi="Arial" w:cs="Arial"/>
        </w:rPr>
        <w:t xml:space="preserve"> </w:t>
      </w:r>
      <w:r w:rsidRPr="0032689F">
        <w:rPr>
          <w:rFonts w:ascii="Arial" w:hAnsi="Arial" w:cs="Arial"/>
        </w:rPr>
        <w:t xml:space="preserve">a positive attitude towards digital transformation, reducing resistance and </w:t>
      </w:r>
      <w:r w:rsidR="002405A9" w:rsidRPr="0032689F">
        <w:rPr>
          <w:rFonts w:ascii="Arial" w:hAnsi="Arial" w:cs="Arial"/>
        </w:rPr>
        <w:t>adopting</w:t>
      </w:r>
      <w:r w:rsidRPr="0032689F">
        <w:rPr>
          <w:rFonts w:ascii="Arial" w:hAnsi="Arial" w:cs="Arial"/>
        </w:rPr>
        <w:t xml:space="preserve"> a proactive culture (Cao, Duan and Edwards, 2025).</w:t>
      </w:r>
    </w:p>
    <w:p w14:paraId="04036C26" w14:textId="0D5AF884" w:rsidR="0032689F" w:rsidRPr="0032689F" w:rsidRDefault="0032689F" w:rsidP="002266EA">
      <w:pPr>
        <w:spacing w:line="360" w:lineRule="auto"/>
        <w:jc w:val="both"/>
        <w:rPr>
          <w:rFonts w:ascii="Arial" w:hAnsi="Arial" w:cs="Arial"/>
        </w:rPr>
      </w:pPr>
      <w:r w:rsidRPr="0032689F">
        <w:rPr>
          <w:rFonts w:ascii="Arial" w:hAnsi="Arial" w:cs="Arial"/>
        </w:rPr>
        <w:t>Cultivating a human-centred organisational culture is equally important, where employees feel their concerns are acknowledged and contributions valued (O’Connor and Martinez, 2025). Inclusive culture encourages collaboration across teams and levels, providing opportunities for employees to share feedback and</w:t>
      </w:r>
      <w:r w:rsidR="00BC760E">
        <w:rPr>
          <w:rFonts w:ascii="Arial" w:hAnsi="Arial" w:cs="Arial"/>
        </w:rPr>
        <w:t xml:space="preserve"> </w:t>
      </w:r>
      <w:r w:rsidRPr="0032689F">
        <w:rPr>
          <w:rFonts w:ascii="Arial" w:hAnsi="Arial" w:cs="Arial"/>
        </w:rPr>
        <w:t>create solutions, which enhances organisational performance (Grey, 2021). Open communication channels, such as feedback</w:t>
      </w:r>
      <w:r w:rsidR="00BC760E">
        <w:rPr>
          <w:rFonts w:ascii="Arial" w:hAnsi="Arial" w:cs="Arial"/>
        </w:rPr>
        <w:t xml:space="preserve"> forms</w:t>
      </w:r>
      <w:r w:rsidRPr="0032689F">
        <w:rPr>
          <w:rFonts w:ascii="Arial" w:hAnsi="Arial" w:cs="Arial"/>
        </w:rPr>
        <w:t>, discussion forums, and regular team briefings, link leadership vision with employee perspectives, mitigating resistance and enhancing trust across the workforce (Hinks, 2024). This approach also acknowledges the emotional and social dimensions of change, not just process or technology adjustments, reinforcing a sense of community and shared purpose (Bhattacharyya, 2025).</w:t>
      </w:r>
    </w:p>
    <w:p w14:paraId="125891B3" w14:textId="37669A59" w:rsidR="0032689F" w:rsidRPr="0032689F" w:rsidRDefault="0032689F" w:rsidP="002266EA">
      <w:pPr>
        <w:spacing w:line="360" w:lineRule="auto"/>
        <w:jc w:val="both"/>
        <w:rPr>
          <w:rFonts w:ascii="Arial" w:hAnsi="Arial" w:cs="Arial"/>
        </w:rPr>
      </w:pPr>
      <w:r w:rsidRPr="0032689F">
        <w:rPr>
          <w:rFonts w:ascii="Arial" w:hAnsi="Arial" w:cs="Arial"/>
        </w:rPr>
        <w:t>Screwfix can also leverage cooperative and creative working strategies to engage employees during transformation initiatives, ensuring that change is participatory rather than</w:t>
      </w:r>
      <w:r w:rsidR="00ED09FC">
        <w:rPr>
          <w:rFonts w:ascii="Arial" w:hAnsi="Arial" w:cs="Arial"/>
        </w:rPr>
        <w:t xml:space="preserve"> hierarchical </w:t>
      </w:r>
      <w:r w:rsidRPr="0032689F">
        <w:rPr>
          <w:rFonts w:ascii="Arial" w:hAnsi="Arial" w:cs="Arial"/>
        </w:rPr>
        <w:t>(Cao, Duan and Edwards, 2025</w:t>
      </w:r>
      <w:r w:rsidR="000E6717">
        <w:rPr>
          <w:rFonts w:ascii="Arial" w:hAnsi="Arial" w:cs="Arial"/>
        </w:rPr>
        <w:t xml:space="preserve">). </w:t>
      </w:r>
      <w:r w:rsidR="000E6717" w:rsidRPr="000E6717">
        <w:rPr>
          <w:rFonts w:ascii="Arial" w:hAnsi="Arial" w:cs="Arial"/>
        </w:rPr>
        <w:t xml:space="preserve">Involving employees in decision-making, pilot testing, and process redesign promotes ownership and decreases perceived </w:t>
      </w:r>
      <w:r w:rsidR="000E6717">
        <w:rPr>
          <w:rFonts w:ascii="Arial" w:hAnsi="Arial" w:cs="Arial"/>
        </w:rPr>
        <w:t>dangers</w:t>
      </w:r>
      <w:r w:rsidR="000E6717" w:rsidRPr="000E6717">
        <w:rPr>
          <w:rFonts w:ascii="Arial" w:hAnsi="Arial" w:cs="Arial"/>
        </w:rPr>
        <w:t xml:space="preserve"> associated with new technologies</w:t>
      </w:r>
      <w:r w:rsidR="000E6717">
        <w:rPr>
          <w:rFonts w:ascii="Arial" w:hAnsi="Arial" w:cs="Arial"/>
        </w:rPr>
        <w:t xml:space="preserve"> </w:t>
      </w:r>
      <w:r w:rsidRPr="0032689F">
        <w:rPr>
          <w:rFonts w:ascii="Arial" w:hAnsi="Arial" w:cs="Arial"/>
        </w:rPr>
        <w:t xml:space="preserve">(Byron, 2022). </w:t>
      </w:r>
      <w:r w:rsidR="0023347D" w:rsidRPr="0023347D">
        <w:rPr>
          <w:rFonts w:ascii="Arial" w:hAnsi="Arial" w:cs="Arial"/>
        </w:rPr>
        <w:t>Intergenerational mentoring, cross-functional teamwork, and peer support programs assist bridge technology gaps and promote knowledge sharing, resulting in inclusive adoption and long-term involvement (Bhattacharyya, 2025). Integrating leadership, culture, and workforce engagement initiatives ensures that digital transformation is effective, sustainable, and generally embraced across all levels of the organisation (Das, 2024).</w:t>
      </w:r>
    </w:p>
    <w:p w14:paraId="6ADA33BA" w14:textId="77777777" w:rsidR="0032689F" w:rsidRPr="0032689F" w:rsidRDefault="0032689F" w:rsidP="002266EA">
      <w:pPr>
        <w:spacing w:line="360" w:lineRule="auto"/>
        <w:jc w:val="both"/>
        <w:rPr>
          <w:rFonts w:ascii="Arial" w:hAnsi="Arial" w:cs="Arial"/>
        </w:rPr>
      </w:pPr>
      <w:r w:rsidRPr="0032689F">
        <w:rPr>
          <w:rFonts w:ascii="Arial" w:hAnsi="Arial" w:cs="Arial"/>
        </w:rPr>
        <w:t>Employee resistance can also be turned into a strategic opportunity, as feedback from sceptical staff often highlights hidden inefficiencies and areas for process improvement (Iyer and Malhotra, 2025). By listening and responding to employee concerns, leaders can identify practical solutions, enhance system usability, and strengthen organisational agility (Awad and Martín-Rojas, 2024). Employees who feel supported, involved, and valued are more likely to embrace technological change, contributing to enhanced organisational resilience, innovation, and long-term business performance (Armstrong, 2021).</w:t>
      </w:r>
    </w:p>
    <w:p w14:paraId="4FFF4D26" w14:textId="77777777" w:rsidR="0032689F" w:rsidRPr="0032689F" w:rsidRDefault="0032689F" w:rsidP="002266EA">
      <w:pPr>
        <w:spacing w:line="360" w:lineRule="auto"/>
        <w:jc w:val="both"/>
        <w:rPr>
          <w:rFonts w:ascii="Arial" w:hAnsi="Arial" w:cs="Arial"/>
        </w:rPr>
      </w:pPr>
      <w:r w:rsidRPr="0032689F">
        <w:rPr>
          <w:rFonts w:ascii="Arial" w:hAnsi="Arial" w:cs="Arial"/>
        </w:rPr>
        <w:lastRenderedPageBreak/>
        <w:t>Ultimately, Screwfix’s digital transformation demonstrates that successful change requires attention to people as much as technology. Leadership, culture, training, and collaboration collectively determine how effectively employees navigate change, ensuring both operational efficiency and workforce well-being (Hinks, 2024). By adopting a structured, human-centred approach, resistance can be mitigated and organisational performance maximised (Grey, 2021). Employees who are empowered, informed, and engaged are not only more productive but also act as champions for ongoing innovation and digital excellence (Cao, Duan and Edwards, 2025).</w:t>
      </w:r>
    </w:p>
    <w:p w14:paraId="103F77E9" w14:textId="527CA567" w:rsidR="0032689F" w:rsidRPr="0032689F" w:rsidRDefault="0032689F" w:rsidP="002266EA">
      <w:pPr>
        <w:spacing w:line="360" w:lineRule="auto"/>
        <w:jc w:val="both"/>
        <w:rPr>
          <w:rFonts w:ascii="Arial" w:hAnsi="Arial" w:cs="Arial"/>
        </w:rPr>
      </w:pPr>
      <w:r w:rsidRPr="0032689F">
        <w:rPr>
          <w:rFonts w:ascii="Arial" w:hAnsi="Arial" w:cs="Arial"/>
        </w:rPr>
        <w:t>In conclusion, Screwfix’s approach to digital transformation highlights the importance</w:t>
      </w:r>
      <w:r w:rsidR="00E1013E">
        <w:rPr>
          <w:rFonts w:ascii="Arial" w:hAnsi="Arial" w:cs="Arial"/>
        </w:rPr>
        <w:t xml:space="preserve"> </w:t>
      </w:r>
      <w:r w:rsidRPr="0032689F">
        <w:rPr>
          <w:rFonts w:ascii="Arial" w:hAnsi="Arial" w:cs="Arial"/>
        </w:rPr>
        <w:t>of integrating leadership, culture, and employee engagement strategies. Organisations that successfully balance technological innovation with human-centric practices are better positioned to navigate change, improve operational performance, and sustain long-term competitive advantage</w:t>
      </w:r>
      <w:r w:rsidR="00647AE0">
        <w:rPr>
          <w:rFonts w:ascii="Arial" w:hAnsi="Arial" w:cs="Arial"/>
        </w:rPr>
        <w:t>.</w:t>
      </w:r>
    </w:p>
    <w:p w14:paraId="6D3F9054" w14:textId="58AD2154" w:rsidR="00D70D48" w:rsidRPr="00941E97" w:rsidRDefault="00D70D48" w:rsidP="00941E97">
      <w:pPr>
        <w:spacing w:line="360" w:lineRule="auto"/>
        <w:jc w:val="both"/>
        <w:rPr>
          <w:rFonts w:ascii="Arial" w:hAnsi="Arial" w:cs="Arial"/>
          <w:sz w:val="40"/>
          <w:szCs w:val="40"/>
        </w:rPr>
        <w:sectPr w:rsidR="00D70D48" w:rsidRPr="00941E97">
          <w:pgSz w:w="11906" w:h="16838"/>
          <w:pgMar w:top="1440" w:right="1440" w:bottom="1440" w:left="1440" w:header="708" w:footer="708" w:gutter="0"/>
          <w:cols w:space="708"/>
          <w:docGrid w:linePitch="360"/>
        </w:sectPr>
      </w:pPr>
    </w:p>
    <w:p w14:paraId="2AE1CF9A" w14:textId="1E10C9F8" w:rsidR="000C541C" w:rsidRDefault="00941E97" w:rsidP="00941E97">
      <w:pPr>
        <w:spacing w:line="360" w:lineRule="auto"/>
        <w:jc w:val="both"/>
        <w:rPr>
          <w:rFonts w:ascii="Arial" w:hAnsi="Arial" w:cs="Arial"/>
          <w:sz w:val="40"/>
          <w:szCs w:val="40"/>
        </w:rPr>
      </w:pPr>
      <w:r w:rsidRPr="00941E97">
        <w:rPr>
          <w:rFonts w:ascii="Arial" w:hAnsi="Arial" w:cs="Arial"/>
          <w:sz w:val="40"/>
          <w:szCs w:val="40"/>
        </w:rPr>
        <w:lastRenderedPageBreak/>
        <w:t>Reference List</w:t>
      </w:r>
    </w:p>
    <w:p w14:paraId="4D5A4043" w14:textId="77777777" w:rsidR="00064D9D" w:rsidRPr="00825A1A" w:rsidRDefault="00064D9D" w:rsidP="00825A1A">
      <w:pPr>
        <w:spacing w:line="360" w:lineRule="auto"/>
        <w:jc w:val="both"/>
        <w:rPr>
          <w:rFonts w:ascii="Arial" w:hAnsi="Arial" w:cs="Arial"/>
        </w:rPr>
      </w:pPr>
      <w:r w:rsidRPr="00825A1A">
        <w:rPr>
          <w:rFonts w:ascii="Arial" w:hAnsi="Arial" w:cs="Arial"/>
        </w:rPr>
        <w:t xml:space="preserve">Armstrong, M. (2021) </w:t>
      </w:r>
      <w:r w:rsidRPr="00825A1A">
        <w:rPr>
          <w:rFonts w:ascii="Arial" w:hAnsi="Arial" w:cs="Arial"/>
          <w:i/>
          <w:iCs/>
        </w:rPr>
        <w:t>Armstrong’s Handbook of Learning and Development: A Guide to the Theory and Practice of L&amp;D.</w:t>
      </w:r>
      <w:r w:rsidRPr="00825A1A">
        <w:rPr>
          <w:rFonts w:ascii="Arial" w:hAnsi="Arial" w:cs="Arial"/>
        </w:rPr>
        <w:t xml:space="preserve"> London: Kogan Page.</w:t>
      </w:r>
    </w:p>
    <w:p w14:paraId="1A601D70" w14:textId="23A76602" w:rsidR="00064D9D" w:rsidRPr="00825A1A" w:rsidRDefault="00064D9D" w:rsidP="00825A1A">
      <w:pPr>
        <w:spacing w:line="360" w:lineRule="auto"/>
        <w:jc w:val="both"/>
        <w:rPr>
          <w:rFonts w:ascii="Arial" w:hAnsi="Arial" w:cs="Arial"/>
        </w:rPr>
      </w:pPr>
      <w:r w:rsidRPr="00825A1A">
        <w:rPr>
          <w:rFonts w:ascii="Arial" w:hAnsi="Arial" w:cs="Arial"/>
        </w:rPr>
        <w:t>Awad, J.A.R. and Martín</w:t>
      </w:r>
      <w:r w:rsidRPr="00825A1A">
        <w:rPr>
          <w:rFonts w:ascii="Arial" w:hAnsi="Arial" w:cs="Arial"/>
        </w:rPr>
        <w:noBreakHyphen/>
        <w:t xml:space="preserve">Rojas, R. (2024) ‘Digital transformation influence on organisational resilience through organisational learning and innovation’, </w:t>
      </w:r>
      <w:r w:rsidRPr="00825A1A">
        <w:rPr>
          <w:rFonts w:ascii="Arial" w:hAnsi="Arial" w:cs="Arial"/>
          <w:i/>
          <w:iCs/>
        </w:rPr>
        <w:t>Journal of Innovation and Entrepreneurship</w:t>
      </w:r>
      <w:r w:rsidRPr="00825A1A">
        <w:rPr>
          <w:rFonts w:ascii="Arial" w:hAnsi="Arial" w:cs="Arial"/>
        </w:rPr>
        <w:t>, 13, Article 69. doi:10.1186/s13731</w:t>
      </w:r>
      <w:r w:rsidRPr="00825A1A">
        <w:rPr>
          <w:rFonts w:ascii="Arial" w:hAnsi="Arial" w:cs="Arial"/>
        </w:rPr>
        <w:noBreakHyphen/>
        <w:t>024</w:t>
      </w:r>
      <w:r w:rsidRPr="00825A1A">
        <w:rPr>
          <w:rFonts w:ascii="Arial" w:hAnsi="Arial" w:cs="Arial"/>
        </w:rPr>
        <w:noBreakHyphen/>
        <w:t>00405</w:t>
      </w:r>
      <w:r w:rsidRPr="00825A1A">
        <w:rPr>
          <w:rFonts w:ascii="Arial" w:hAnsi="Arial" w:cs="Arial"/>
        </w:rPr>
        <w:noBreakHyphen/>
        <w:t>4</w:t>
      </w:r>
    </w:p>
    <w:p w14:paraId="74561605" w14:textId="45532046" w:rsidR="00064D9D" w:rsidRPr="00825A1A" w:rsidRDefault="00064D9D" w:rsidP="00825A1A">
      <w:pPr>
        <w:spacing w:line="360" w:lineRule="auto"/>
        <w:jc w:val="both"/>
        <w:rPr>
          <w:rFonts w:ascii="Arial" w:hAnsi="Arial" w:cs="Arial"/>
        </w:rPr>
      </w:pPr>
      <w:r w:rsidRPr="00825A1A">
        <w:rPr>
          <w:rFonts w:ascii="Arial" w:hAnsi="Arial" w:cs="Arial"/>
        </w:rPr>
        <w:t xml:space="preserve">Bhattacharyya, S. (2025) ‘How to encourage tech adoption across generations’, </w:t>
      </w:r>
      <w:r w:rsidRPr="00825A1A">
        <w:rPr>
          <w:rFonts w:ascii="Arial" w:hAnsi="Arial" w:cs="Arial"/>
          <w:i/>
          <w:iCs/>
        </w:rPr>
        <w:t>HR Dive</w:t>
      </w:r>
      <w:r w:rsidRPr="00825A1A">
        <w:rPr>
          <w:rFonts w:ascii="Arial" w:hAnsi="Arial" w:cs="Arial"/>
        </w:rPr>
        <w:t xml:space="preserve">. Available at: </w:t>
      </w:r>
      <w:hyperlink r:id="rId9" w:tgtFrame="_new" w:history="1">
        <w:r w:rsidRPr="00825A1A">
          <w:rPr>
            <w:rStyle w:val="Hyperlink"/>
            <w:rFonts w:ascii="Arial" w:hAnsi="Arial" w:cs="Arial"/>
          </w:rPr>
          <w:t>https://www.hrdive.com/news/technology-generation-gap-workplace/736266/</w:t>
        </w:r>
      </w:hyperlink>
      <w:r w:rsidRPr="00825A1A">
        <w:rPr>
          <w:rFonts w:ascii="Arial" w:hAnsi="Arial" w:cs="Arial"/>
        </w:rPr>
        <w:t xml:space="preserve"> (Accessed: 10 December 2025).</w:t>
      </w:r>
    </w:p>
    <w:p w14:paraId="2597B0D5" w14:textId="77777777" w:rsidR="00064D9D" w:rsidRPr="00825A1A" w:rsidRDefault="00064D9D" w:rsidP="00825A1A">
      <w:pPr>
        <w:spacing w:line="360" w:lineRule="auto"/>
        <w:jc w:val="both"/>
        <w:rPr>
          <w:rFonts w:ascii="Arial" w:hAnsi="Arial" w:cs="Arial"/>
        </w:rPr>
      </w:pPr>
      <w:r w:rsidRPr="00825A1A">
        <w:rPr>
          <w:rFonts w:ascii="Arial" w:hAnsi="Arial" w:cs="Arial"/>
        </w:rPr>
        <w:t xml:space="preserve">Byron, C. (2022) ‘Embracing new tech: How to help and train your employees’, </w:t>
      </w:r>
      <w:proofErr w:type="spellStart"/>
      <w:r w:rsidRPr="00825A1A">
        <w:rPr>
          <w:rFonts w:ascii="Arial" w:hAnsi="Arial" w:cs="Arial"/>
          <w:i/>
          <w:iCs/>
        </w:rPr>
        <w:t>Leaderonomics</w:t>
      </w:r>
      <w:proofErr w:type="spellEnd"/>
      <w:r w:rsidRPr="00825A1A">
        <w:rPr>
          <w:rFonts w:ascii="Arial" w:hAnsi="Arial" w:cs="Arial"/>
        </w:rPr>
        <w:t xml:space="preserve">. Available at: </w:t>
      </w:r>
      <w:hyperlink r:id="rId10" w:tgtFrame="_new" w:history="1">
        <w:r w:rsidRPr="00825A1A">
          <w:rPr>
            <w:rStyle w:val="Hyperlink"/>
            <w:rFonts w:ascii="Arial" w:hAnsi="Arial" w:cs="Arial"/>
          </w:rPr>
          <w:t>https://www.leaderonomics.com/articles/functional/new-tech-train-employees</w:t>
        </w:r>
      </w:hyperlink>
      <w:r w:rsidRPr="00825A1A">
        <w:rPr>
          <w:rFonts w:ascii="Arial" w:hAnsi="Arial" w:cs="Arial"/>
        </w:rPr>
        <w:t xml:space="preserve"> (Accessed: 11 December 2025).</w:t>
      </w:r>
    </w:p>
    <w:p w14:paraId="4767AE53" w14:textId="210A097A" w:rsidR="00064D9D" w:rsidRPr="00825A1A" w:rsidRDefault="00064D9D" w:rsidP="00825A1A">
      <w:pPr>
        <w:spacing w:line="360" w:lineRule="auto"/>
        <w:jc w:val="both"/>
        <w:rPr>
          <w:rFonts w:ascii="Arial" w:hAnsi="Arial" w:cs="Arial"/>
        </w:rPr>
      </w:pPr>
      <w:r w:rsidRPr="00825A1A">
        <w:rPr>
          <w:rFonts w:ascii="Arial" w:hAnsi="Arial" w:cs="Arial"/>
        </w:rPr>
        <w:t xml:space="preserve">Cao, G., Duan, Y. and Edwards, J.S. (2025) ‘Organizational culture, digital transformation, and product innovation’, </w:t>
      </w:r>
      <w:r w:rsidRPr="00825A1A">
        <w:rPr>
          <w:rFonts w:ascii="Arial" w:hAnsi="Arial" w:cs="Arial"/>
          <w:i/>
          <w:iCs/>
        </w:rPr>
        <w:t>Information &amp; Management</w:t>
      </w:r>
      <w:r w:rsidRPr="00825A1A">
        <w:rPr>
          <w:rFonts w:ascii="Arial" w:hAnsi="Arial" w:cs="Arial"/>
        </w:rPr>
        <w:t>, 62(4), p.104135. doi:10.1016/j.im.2025.104135</w:t>
      </w:r>
    </w:p>
    <w:p w14:paraId="6F9782E9" w14:textId="2487267C" w:rsidR="00064D9D" w:rsidRPr="00825A1A" w:rsidRDefault="00064D9D" w:rsidP="00825A1A">
      <w:pPr>
        <w:spacing w:line="360" w:lineRule="auto"/>
        <w:jc w:val="both"/>
        <w:rPr>
          <w:rFonts w:ascii="Arial" w:hAnsi="Arial" w:cs="Arial"/>
        </w:rPr>
      </w:pPr>
      <w:r w:rsidRPr="00825A1A">
        <w:rPr>
          <w:rFonts w:ascii="Arial" w:hAnsi="Arial" w:cs="Arial"/>
        </w:rPr>
        <w:t xml:space="preserve">Das, P. (2024) ‘Transformational leadership’, </w:t>
      </w:r>
      <w:r w:rsidRPr="00825A1A">
        <w:rPr>
          <w:rFonts w:ascii="Arial" w:hAnsi="Arial" w:cs="Arial"/>
          <w:i/>
          <w:iCs/>
        </w:rPr>
        <w:t>Scribd</w:t>
      </w:r>
      <w:r w:rsidRPr="00825A1A">
        <w:rPr>
          <w:rFonts w:ascii="Arial" w:hAnsi="Arial" w:cs="Arial"/>
        </w:rPr>
        <w:t xml:space="preserve">. Available at: </w:t>
      </w:r>
      <w:hyperlink r:id="rId11" w:tgtFrame="_new" w:history="1">
        <w:r w:rsidRPr="00825A1A">
          <w:rPr>
            <w:rStyle w:val="Hyperlink"/>
            <w:rFonts w:ascii="Arial" w:hAnsi="Arial" w:cs="Arial"/>
          </w:rPr>
          <w:t>https://www.scribd.com/document/792005377/Transformational-Leadership-Northouse</w:t>
        </w:r>
      </w:hyperlink>
      <w:r w:rsidRPr="00825A1A">
        <w:rPr>
          <w:rFonts w:ascii="Arial" w:hAnsi="Arial" w:cs="Arial"/>
        </w:rPr>
        <w:t xml:space="preserve"> (Accessed: 10 December 2025).</w:t>
      </w:r>
    </w:p>
    <w:p w14:paraId="22861FE7" w14:textId="69C05FB2" w:rsidR="00064D9D" w:rsidRPr="00825A1A" w:rsidRDefault="00064D9D" w:rsidP="00825A1A">
      <w:pPr>
        <w:spacing w:line="360" w:lineRule="auto"/>
        <w:jc w:val="both"/>
        <w:rPr>
          <w:rFonts w:ascii="Arial" w:hAnsi="Arial" w:cs="Arial"/>
        </w:rPr>
      </w:pPr>
      <w:r w:rsidRPr="00825A1A">
        <w:rPr>
          <w:rFonts w:ascii="Arial" w:hAnsi="Arial" w:cs="Arial"/>
        </w:rPr>
        <w:t xml:space="preserve">Iyer, S. and Malhotra, S. (2025) ‘Transformative leadership competencies for organizational digital transformation’, </w:t>
      </w:r>
      <w:r w:rsidRPr="00825A1A">
        <w:rPr>
          <w:rFonts w:ascii="Arial" w:hAnsi="Arial" w:cs="Arial"/>
          <w:i/>
          <w:iCs/>
        </w:rPr>
        <w:t>Business Horizons</w:t>
      </w:r>
      <w:r w:rsidRPr="00825A1A">
        <w:rPr>
          <w:rFonts w:ascii="Arial" w:hAnsi="Arial" w:cs="Arial"/>
        </w:rPr>
        <w:t xml:space="preserve">, 67(4), pp.425–437. </w:t>
      </w:r>
      <w:proofErr w:type="gramStart"/>
      <w:r w:rsidRPr="00825A1A">
        <w:rPr>
          <w:rFonts w:ascii="Arial" w:hAnsi="Arial" w:cs="Arial"/>
        </w:rPr>
        <w:t>doi:10.1016/j.bushor</w:t>
      </w:r>
      <w:proofErr w:type="gramEnd"/>
      <w:r w:rsidRPr="00825A1A">
        <w:rPr>
          <w:rFonts w:ascii="Arial" w:hAnsi="Arial" w:cs="Arial"/>
        </w:rPr>
        <w:t>.2024.04.004</w:t>
      </w:r>
    </w:p>
    <w:p w14:paraId="471E4357" w14:textId="19342866" w:rsidR="00064D9D" w:rsidRPr="00825A1A" w:rsidRDefault="00825A1A" w:rsidP="00825A1A">
      <w:pPr>
        <w:spacing w:line="360" w:lineRule="auto"/>
        <w:jc w:val="both"/>
        <w:rPr>
          <w:rFonts w:ascii="Arial" w:hAnsi="Arial" w:cs="Arial"/>
        </w:rPr>
      </w:pPr>
      <w:r w:rsidRPr="00825A1A">
        <w:rPr>
          <w:rFonts w:ascii="Arial" w:hAnsi="Arial" w:cs="Arial"/>
        </w:rPr>
        <w:t xml:space="preserve">O’Connor, L. and Martinez, S. (2025) ‘Organizational Culture as a Catalyst for Digital Transformation’, </w:t>
      </w:r>
      <w:r w:rsidRPr="00825A1A">
        <w:rPr>
          <w:rFonts w:ascii="Arial" w:hAnsi="Arial" w:cs="Arial"/>
          <w:i/>
          <w:iCs/>
        </w:rPr>
        <w:t>Journal of Resource Management and Decision Engineering</w:t>
      </w:r>
      <w:r w:rsidRPr="00825A1A">
        <w:rPr>
          <w:rFonts w:ascii="Arial" w:hAnsi="Arial" w:cs="Arial"/>
        </w:rPr>
        <w:t xml:space="preserve">, 3(3). Available at: </w:t>
      </w:r>
      <w:hyperlink r:id="rId12" w:tgtFrame="_new" w:history="1">
        <w:r w:rsidRPr="00825A1A">
          <w:rPr>
            <w:rFonts w:ascii="Arial" w:hAnsi="Arial" w:cs="Arial"/>
            <w:color w:val="0000FF"/>
            <w:u w:val="single"/>
          </w:rPr>
          <w:t>https://www.journalrmde.com/index.php/jrmde/article/view/53</w:t>
        </w:r>
      </w:hyperlink>
      <w:r w:rsidRPr="00825A1A">
        <w:rPr>
          <w:rFonts w:ascii="Arial" w:hAnsi="Arial" w:cs="Arial"/>
        </w:rPr>
        <w:t xml:space="preserve"> (Accessed: 10 December 2025).</w:t>
      </w:r>
      <w:r w:rsidR="00064D9D" w:rsidRPr="00825A1A">
        <w:rPr>
          <w:rFonts w:ascii="Arial" w:hAnsi="Arial" w:cs="Arial"/>
        </w:rPr>
        <w:t xml:space="preserve">Grey, C. (2021) </w:t>
      </w:r>
      <w:r w:rsidR="00064D9D" w:rsidRPr="00825A1A">
        <w:rPr>
          <w:rFonts w:ascii="Arial" w:hAnsi="Arial" w:cs="Arial"/>
          <w:i/>
          <w:iCs/>
        </w:rPr>
        <w:t>A Very Short, Fairly Interesting and Reasonably Cheap Book about Studying Organizations.</w:t>
      </w:r>
      <w:r w:rsidR="00064D9D" w:rsidRPr="00825A1A">
        <w:rPr>
          <w:rFonts w:ascii="Arial" w:hAnsi="Arial" w:cs="Arial"/>
        </w:rPr>
        <w:t xml:space="preserve"> London: SAGE Publications.</w:t>
      </w:r>
    </w:p>
    <w:p w14:paraId="6447982E" w14:textId="6FDC1938" w:rsidR="00B22952" w:rsidRPr="00825A1A" w:rsidRDefault="00064D9D" w:rsidP="00825A1A">
      <w:pPr>
        <w:spacing w:line="360" w:lineRule="auto"/>
        <w:jc w:val="both"/>
        <w:rPr>
          <w:rFonts w:ascii="Arial" w:hAnsi="Arial" w:cs="Arial"/>
        </w:rPr>
      </w:pPr>
      <w:r w:rsidRPr="00825A1A">
        <w:rPr>
          <w:rFonts w:ascii="Arial" w:hAnsi="Arial" w:cs="Arial"/>
        </w:rPr>
        <w:t>Hinks, T. (2024) ‘Navigating technological shifts: Worker perspectives on AI and emerging technologies impacting well</w:t>
      </w:r>
      <w:r w:rsidRPr="00825A1A">
        <w:rPr>
          <w:rFonts w:ascii="Arial" w:hAnsi="Arial" w:cs="Arial"/>
        </w:rPr>
        <w:noBreakHyphen/>
        <w:t xml:space="preserve">being’, </w:t>
      </w:r>
      <w:r w:rsidRPr="00825A1A">
        <w:rPr>
          <w:rFonts w:ascii="Arial" w:hAnsi="Arial" w:cs="Arial"/>
          <w:i/>
          <w:iCs/>
        </w:rPr>
        <w:t>AI &amp; Society</w:t>
      </w:r>
      <w:r w:rsidRPr="00825A1A">
        <w:rPr>
          <w:rFonts w:ascii="Arial" w:hAnsi="Arial" w:cs="Arial"/>
        </w:rPr>
        <w:t>. doi:10.1007/s00146</w:t>
      </w:r>
      <w:r w:rsidRPr="00825A1A">
        <w:rPr>
          <w:rFonts w:ascii="Arial" w:hAnsi="Arial" w:cs="Arial"/>
        </w:rPr>
        <w:noBreakHyphen/>
        <w:t>024</w:t>
      </w:r>
      <w:r w:rsidRPr="00825A1A">
        <w:rPr>
          <w:rFonts w:ascii="Arial" w:hAnsi="Arial" w:cs="Arial"/>
        </w:rPr>
        <w:noBreakHyphen/>
        <w:t>01962</w:t>
      </w:r>
      <w:r w:rsidRPr="00825A1A">
        <w:rPr>
          <w:rFonts w:ascii="Arial" w:hAnsi="Arial" w:cs="Arial"/>
        </w:rPr>
        <w:noBreakHyphen/>
        <w:t>8</w:t>
      </w:r>
    </w:p>
    <w:p w14:paraId="66E07EFA" w14:textId="77777777" w:rsidR="00D11FDF" w:rsidRPr="00D11FDF" w:rsidRDefault="00D11FDF" w:rsidP="00D11FDF">
      <w:pPr>
        <w:spacing w:line="360" w:lineRule="auto"/>
        <w:jc w:val="both"/>
        <w:rPr>
          <w:rFonts w:ascii="Arial" w:hAnsi="Arial" w:cs="Arial"/>
          <w:sz w:val="40"/>
          <w:szCs w:val="40"/>
        </w:rPr>
      </w:pPr>
    </w:p>
    <w:p w14:paraId="478DB8A6" w14:textId="77777777" w:rsidR="00D11FDF" w:rsidRPr="00941E97" w:rsidRDefault="00D11FDF" w:rsidP="00941E97">
      <w:pPr>
        <w:spacing w:line="360" w:lineRule="auto"/>
        <w:jc w:val="both"/>
        <w:rPr>
          <w:rFonts w:ascii="Arial" w:hAnsi="Arial" w:cs="Arial"/>
          <w:sz w:val="40"/>
          <w:szCs w:val="40"/>
        </w:rPr>
      </w:pPr>
    </w:p>
    <w:sectPr w:rsidR="00D11FDF" w:rsidRPr="00941E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133A2"/>
    <w:rsid w:val="00061BBC"/>
    <w:rsid w:val="00063ADC"/>
    <w:rsid w:val="00064D9D"/>
    <w:rsid w:val="0007378A"/>
    <w:rsid w:val="000A2E17"/>
    <w:rsid w:val="000A470F"/>
    <w:rsid w:val="000C144A"/>
    <w:rsid w:val="000C541C"/>
    <w:rsid w:val="000C68CB"/>
    <w:rsid w:val="000D5B34"/>
    <w:rsid w:val="000E6717"/>
    <w:rsid w:val="0010406A"/>
    <w:rsid w:val="00110DEC"/>
    <w:rsid w:val="001118FB"/>
    <w:rsid w:val="00115538"/>
    <w:rsid w:val="00133824"/>
    <w:rsid w:val="00135DD1"/>
    <w:rsid w:val="00155081"/>
    <w:rsid w:val="00164156"/>
    <w:rsid w:val="001819DF"/>
    <w:rsid w:val="001973EC"/>
    <w:rsid w:val="001B086C"/>
    <w:rsid w:val="001C6E70"/>
    <w:rsid w:val="002266EA"/>
    <w:rsid w:val="0023347D"/>
    <w:rsid w:val="002405A9"/>
    <w:rsid w:val="00262DC1"/>
    <w:rsid w:val="00281EBD"/>
    <w:rsid w:val="0029464A"/>
    <w:rsid w:val="002B61B3"/>
    <w:rsid w:val="002F243A"/>
    <w:rsid w:val="002F6619"/>
    <w:rsid w:val="00301906"/>
    <w:rsid w:val="00302BB1"/>
    <w:rsid w:val="003202CF"/>
    <w:rsid w:val="0032689F"/>
    <w:rsid w:val="00331B05"/>
    <w:rsid w:val="003341DF"/>
    <w:rsid w:val="00347EA1"/>
    <w:rsid w:val="003555E3"/>
    <w:rsid w:val="0036728D"/>
    <w:rsid w:val="00382546"/>
    <w:rsid w:val="00394DF7"/>
    <w:rsid w:val="003A4B66"/>
    <w:rsid w:val="003A709B"/>
    <w:rsid w:val="003D223A"/>
    <w:rsid w:val="00400598"/>
    <w:rsid w:val="00417AB6"/>
    <w:rsid w:val="00444D3E"/>
    <w:rsid w:val="0045663E"/>
    <w:rsid w:val="00463738"/>
    <w:rsid w:val="004B31F1"/>
    <w:rsid w:val="004D2A07"/>
    <w:rsid w:val="004D474C"/>
    <w:rsid w:val="0053246E"/>
    <w:rsid w:val="00536CFB"/>
    <w:rsid w:val="00543F5E"/>
    <w:rsid w:val="005515DF"/>
    <w:rsid w:val="0057188E"/>
    <w:rsid w:val="00584970"/>
    <w:rsid w:val="005913FB"/>
    <w:rsid w:val="005B783A"/>
    <w:rsid w:val="005F42D0"/>
    <w:rsid w:val="005F7C42"/>
    <w:rsid w:val="00615E9F"/>
    <w:rsid w:val="0062310A"/>
    <w:rsid w:val="00644728"/>
    <w:rsid w:val="00647AE0"/>
    <w:rsid w:val="00664B16"/>
    <w:rsid w:val="00667547"/>
    <w:rsid w:val="006806F5"/>
    <w:rsid w:val="006B52C3"/>
    <w:rsid w:val="006D2349"/>
    <w:rsid w:val="007203C3"/>
    <w:rsid w:val="007352C0"/>
    <w:rsid w:val="00743752"/>
    <w:rsid w:val="00777769"/>
    <w:rsid w:val="007D3AE1"/>
    <w:rsid w:val="007D777F"/>
    <w:rsid w:val="007E01E0"/>
    <w:rsid w:val="00803155"/>
    <w:rsid w:val="00805F8B"/>
    <w:rsid w:val="00825A1A"/>
    <w:rsid w:val="00840BEE"/>
    <w:rsid w:val="00851EDB"/>
    <w:rsid w:val="008B52E8"/>
    <w:rsid w:val="008D62EF"/>
    <w:rsid w:val="008D7180"/>
    <w:rsid w:val="008F1086"/>
    <w:rsid w:val="009060A0"/>
    <w:rsid w:val="0091355A"/>
    <w:rsid w:val="00915C23"/>
    <w:rsid w:val="00917008"/>
    <w:rsid w:val="00935B8D"/>
    <w:rsid w:val="00941E97"/>
    <w:rsid w:val="00964450"/>
    <w:rsid w:val="009B164A"/>
    <w:rsid w:val="00A120DF"/>
    <w:rsid w:val="00A15883"/>
    <w:rsid w:val="00A23D6E"/>
    <w:rsid w:val="00A35D6B"/>
    <w:rsid w:val="00A476E3"/>
    <w:rsid w:val="00A72EB6"/>
    <w:rsid w:val="00AD7313"/>
    <w:rsid w:val="00AE2AA9"/>
    <w:rsid w:val="00AE3307"/>
    <w:rsid w:val="00AE4756"/>
    <w:rsid w:val="00AF66E7"/>
    <w:rsid w:val="00B028A8"/>
    <w:rsid w:val="00B103B9"/>
    <w:rsid w:val="00B22952"/>
    <w:rsid w:val="00B37836"/>
    <w:rsid w:val="00B42784"/>
    <w:rsid w:val="00B51B61"/>
    <w:rsid w:val="00B724BB"/>
    <w:rsid w:val="00BC760E"/>
    <w:rsid w:val="00BE2A35"/>
    <w:rsid w:val="00BE3554"/>
    <w:rsid w:val="00C129B8"/>
    <w:rsid w:val="00C24461"/>
    <w:rsid w:val="00C2550A"/>
    <w:rsid w:val="00C434B8"/>
    <w:rsid w:val="00C4699D"/>
    <w:rsid w:val="00CF32AC"/>
    <w:rsid w:val="00D11FDF"/>
    <w:rsid w:val="00D24ADF"/>
    <w:rsid w:val="00D26517"/>
    <w:rsid w:val="00D33868"/>
    <w:rsid w:val="00D70D48"/>
    <w:rsid w:val="00DA1F19"/>
    <w:rsid w:val="00DC55F3"/>
    <w:rsid w:val="00DD5969"/>
    <w:rsid w:val="00DE33B1"/>
    <w:rsid w:val="00E1013E"/>
    <w:rsid w:val="00E10797"/>
    <w:rsid w:val="00E243A8"/>
    <w:rsid w:val="00E543BC"/>
    <w:rsid w:val="00E6747C"/>
    <w:rsid w:val="00EA0B9A"/>
    <w:rsid w:val="00EA15D1"/>
    <w:rsid w:val="00EA6220"/>
    <w:rsid w:val="00EB795F"/>
    <w:rsid w:val="00EC1771"/>
    <w:rsid w:val="00ED09FC"/>
    <w:rsid w:val="00F8089C"/>
    <w:rsid w:val="00FD5B0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character" w:styleId="UnresolvedMention">
    <w:name w:val="Unresolved Mention"/>
    <w:basedOn w:val="DefaultParagraphFont"/>
    <w:uiPriority w:val="99"/>
    <w:semiHidden/>
    <w:unhideWhenUsed/>
    <w:rsid w:val="00D11F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2418652_student_uwtsd_ac_uk/Documents/Videos/Clipchamp/Recording-20251211_200431/Exports/Recording-20251211_200431.mp4?csf=1&amp;web=1&amp;e=JgR1AJ"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journalrmde.com/index.php/jrmde/article/view/5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ribd.com/document/792005377/Transformational-Leadership-Northouse" TargetMode="External"/><Relationship Id="rId5" Type="http://schemas.openxmlformats.org/officeDocument/2006/relationships/settings" Target="settings.xml"/><Relationship Id="rId10" Type="http://schemas.openxmlformats.org/officeDocument/2006/relationships/hyperlink" Target="https://www.leaderonomics.com/articles/functional/new-tech-train-employees" TargetMode="External"/><Relationship Id="rId4" Type="http://schemas.openxmlformats.org/officeDocument/2006/relationships/styles" Target="styles.xml"/><Relationship Id="rId9" Type="http://schemas.openxmlformats.org/officeDocument/2006/relationships/hyperlink" Target="https://www.hrdive.com/news/technology-generation-gap-workplace/736266/?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D845D01A-5980-4C3C-A20F-AFD2064BF6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1355</Words>
  <Characters>7726</Characters>
  <Application>Microsoft Office Word</Application>
  <DocSecurity>0</DocSecurity>
  <Lines>64</Lines>
  <Paragraphs>18</Paragraphs>
  <ScaleCrop>false</ScaleCrop>
  <Company/>
  <LinksUpToDate>false</LinksUpToDate>
  <CharactersWithSpaces>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Georgiana-Paula Morosan (2418652)</cp:lastModifiedBy>
  <cp:revision>2</cp:revision>
  <dcterms:created xsi:type="dcterms:W3CDTF">2025-12-12T11:06:00Z</dcterms:created>
  <dcterms:modified xsi:type="dcterms:W3CDTF">2025-12-12T11:06:00Z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