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693A1" w14:textId="77777777" w:rsidR="000B6128" w:rsidRPr="001172C4" w:rsidRDefault="000B6128" w:rsidP="000B6128">
      <w:pPr>
        <w:rPr>
          <w:sz w:val="22"/>
          <w:szCs w:val="22"/>
        </w:rPr>
      </w:pPr>
      <w:r w:rsidRPr="001172C4">
        <w:rPr>
          <w:sz w:val="22"/>
          <w:szCs w:val="22"/>
        </w:rPr>
        <w:t>1. Introduction</w:t>
      </w:r>
    </w:p>
    <w:p w14:paraId="151A4BFA" w14:textId="653837BA" w:rsidR="000B6128" w:rsidRPr="001172C4" w:rsidRDefault="000B6128" w:rsidP="000B6128">
      <w:pPr>
        <w:rPr>
          <w:sz w:val="22"/>
          <w:szCs w:val="22"/>
        </w:rPr>
      </w:pPr>
      <w:r w:rsidRPr="001172C4">
        <w:rPr>
          <w:sz w:val="22"/>
          <w:szCs w:val="22"/>
        </w:rPr>
        <w:t xml:space="preserve">The health and social care sector </w:t>
      </w:r>
      <w:proofErr w:type="gramStart"/>
      <w:r w:rsidRPr="001172C4">
        <w:rPr>
          <w:sz w:val="22"/>
          <w:szCs w:val="22"/>
        </w:rPr>
        <w:t>relies</w:t>
      </w:r>
      <w:proofErr w:type="gramEnd"/>
      <w:r w:rsidRPr="001172C4">
        <w:rPr>
          <w:sz w:val="22"/>
          <w:szCs w:val="22"/>
        </w:rPr>
        <w:t xml:space="preserve"> on multidisciplinary roles to safeguard vulnerable populations. This report examines the role of the Family Support Worker (FSW), a practitioner dedicated to early intervention and crisis management within the family unit. By </w:t>
      </w:r>
      <w:r w:rsidR="008B2B53" w:rsidRPr="001172C4">
        <w:rPr>
          <w:sz w:val="22"/>
          <w:szCs w:val="22"/>
        </w:rPr>
        <w:t>analysing</w:t>
      </w:r>
      <w:r w:rsidRPr="001172C4">
        <w:rPr>
          <w:sz w:val="22"/>
          <w:szCs w:val="22"/>
        </w:rPr>
        <w:t xml:space="preserve"> the duties, core competencies, and development strategies associated with this role, this report highlights how professional standards improve outcomes for children and parents alike.</w:t>
      </w:r>
    </w:p>
    <w:p w14:paraId="2CE16A0C" w14:textId="77777777" w:rsidR="000B6128" w:rsidRPr="001172C4" w:rsidRDefault="000B6128" w:rsidP="000B6128">
      <w:pPr>
        <w:rPr>
          <w:sz w:val="22"/>
          <w:szCs w:val="22"/>
        </w:rPr>
      </w:pPr>
      <w:r w:rsidRPr="001172C4">
        <w:rPr>
          <w:sz w:val="22"/>
          <w:szCs w:val="22"/>
        </w:rPr>
        <w:t>2. The Role and Responsibilities of a Family Support Worker</w:t>
      </w:r>
    </w:p>
    <w:p w14:paraId="5EAE18FD" w14:textId="101DF750" w:rsidR="000B6128" w:rsidRPr="001172C4" w:rsidRDefault="000B6128" w:rsidP="000B6128">
      <w:pPr>
        <w:rPr>
          <w:sz w:val="22"/>
          <w:szCs w:val="22"/>
        </w:rPr>
      </w:pPr>
      <w:r w:rsidRPr="001172C4">
        <w:rPr>
          <w:sz w:val="22"/>
          <w:szCs w:val="22"/>
        </w:rPr>
        <w:t xml:space="preserve">A Family Support Worker operates at the intersection of social work and community care. Their primary duty is to provide practical and emotional support to families </w:t>
      </w:r>
      <w:r w:rsidR="00E44BE0" w:rsidRPr="001172C4">
        <w:rPr>
          <w:sz w:val="22"/>
          <w:szCs w:val="22"/>
        </w:rPr>
        <w:tab/>
      </w:r>
      <w:r w:rsidRPr="001172C4">
        <w:rPr>
          <w:sz w:val="22"/>
          <w:szCs w:val="22"/>
        </w:rPr>
        <w:t>identified as "at risk" due to factors such as domestic abuse, substance misuse, or financial instability (Beckett and Horner, 2016).</w:t>
      </w:r>
    </w:p>
    <w:p w14:paraId="58017874" w14:textId="77777777" w:rsidR="000B6128" w:rsidRPr="001172C4" w:rsidRDefault="000B6128" w:rsidP="000B6128">
      <w:pPr>
        <w:rPr>
          <w:sz w:val="22"/>
          <w:szCs w:val="22"/>
        </w:rPr>
      </w:pPr>
      <w:r w:rsidRPr="001172C4">
        <w:rPr>
          <w:sz w:val="22"/>
          <w:szCs w:val="22"/>
        </w:rPr>
        <w:t>Unlike statutory social workers who often focus on legal frameworks, the FSW spends significant time in the family home. Their responsibilities include conducting holistic assessments of family needs and implementing "Common Assessment Frameworks" (CAF). For example, a worker might assist a parent in developing basic life skills, such as meal planning or budgeting, to prevent neglect. Furthermore, they act as an advocate in Child in Need (</w:t>
      </w:r>
      <w:proofErr w:type="spellStart"/>
      <w:r w:rsidRPr="001172C4">
        <w:rPr>
          <w:sz w:val="22"/>
          <w:szCs w:val="22"/>
        </w:rPr>
        <w:t>CiN</w:t>
      </w:r>
      <w:proofErr w:type="spellEnd"/>
      <w:r w:rsidRPr="001172C4">
        <w:rPr>
          <w:sz w:val="22"/>
          <w:szCs w:val="22"/>
        </w:rPr>
        <w:t>) meetings, ensuring the family's voice is heard while maintaining the child’s safety as the paramount concern (Department for Education, 2023).</w:t>
      </w:r>
    </w:p>
    <w:p w14:paraId="4B76CC1D" w14:textId="77777777" w:rsidR="000B6128" w:rsidRPr="001172C4" w:rsidRDefault="000B6128" w:rsidP="000B6128">
      <w:pPr>
        <w:rPr>
          <w:sz w:val="22"/>
          <w:szCs w:val="22"/>
        </w:rPr>
      </w:pPr>
      <w:r w:rsidRPr="001172C4">
        <w:rPr>
          <w:sz w:val="22"/>
          <w:szCs w:val="22"/>
        </w:rPr>
        <w:t>3. Essential Professional Skills and Rationale</w:t>
      </w:r>
    </w:p>
    <w:p w14:paraId="27814370" w14:textId="77777777" w:rsidR="000B6128" w:rsidRPr="001172C4" w:rsidRDefault="000B6128" w:rsidP="000B6128">
      <w:pPr>
        <w:rPr>
          <w:sz w:val="22"/>
          <w:szCs w:val="22"/>
        </w:rPr>
      </w:pPr>
      <w:r w:rsidRPr="001172C4">
        <w:rPr>
          <w:sz w:val="22"/>
          <w:szCs w:val="22"/>
        </w:rPr>
        <w:t>To perform effectively, an FSW must possess a diverse toolkit of soft and hard skills.</w:t>
      </w:r>
    </w:p>
    <w:p w14:paraId="2504DD6E" w14:textId="77777777" w:rsidR="000B6128" w:rsidRPr="001172C4" w:rsidRDefault="000B6128" w:rsidP="000B6128">
      <w:pPr>
        <w:rPr>
          <w:sz w:val="22"/>
          <w:szCs w:val="22"/>
        </w:rPr>
      </w:pPr>
      <w:r w:rsidRPr="001172C4">
        <w:rPr>
          <w:sz w:val="22"/>
          <w:szCs w:val="22"/>
        </w:rPr>
        <w:t>Skill 1: Active Listening and Communication</w:t>
      </w:r>
    </w:p>
    <w:p w14:paraId="46AF9236" w14:textId="77777777" w:rsidR="000B6128" w:rsidRPr="001172C4" w:rsidRDefault="000B6128" w:rsidP="000B6128">
      <w:pPr>
        <w:rPr>
          <w:sz w:val="22"/>
          <w:szCs w:val="22"/>
        </w:rPr>
      </w:pPr>
      <w:r w:rsidRPr="001172C4">
        <w:rPr>
          <w:sz w:val="22"/>
          <w:szCs w:val="22"/>
        </w:rPr>
        <w:t>Active listening involves more than hearing words; it requires interpreting non-verbal cues and providing empathetic feedback (Koprowska, 2020). In the context of family support, this is essential because families often feel judged by authority figures. By using active listening, the FSW builds a therapeutic alliance, which research suggests is the single greatest predictor of successful intervention outcomes. For instance, when a parent feels truly heard during a crisis, they are more likely to disclose the "root cause" of their struggles, such as undiagnosed mental health issues.</w:t>
      </w:r>
    </w:p>
    <w:p w14:paraId="588905DF" w14:textId="77777777" w:rsidR="000B6128" w:rsidRPr="001172C4" w:rsidRDefault="000B6128" w:rsidP="000B6128">
      <w:pPr>
        <w:rPr>
          <w:sz w:val="22"/>
          <w:szCs w:val="22"/>
        </w:rPr>
      </w:pPr>
      <w:r w:rsidRPr="001172C4">
        <w:rPr>
          <w:sz w:val="22"/>
          <w:szCs w:val="22"/>
        </w:rPr>
        <w:t>Skill 2: Conflict De-escalation</w:t>
      </w:r>
    </w:p>
    <w:p w14:paraId="1BB31734" w14:textId="77777777" w:rsidR="000B6128" w:rsidRPr="001172C4" w:rsidRDefault="000B6128" w:rsidP="000B6128">
      <w:pPr>
        <w:rPr>
          <w:sz w:val="22"/>
          <w:szCs w:val="22"/>
        </w:rPr>
      </w:pPr>
      <w:r w:rsidRPr="001172C4">
        <w:rPr>
          <w:sz w:val="22"/>
          <w:szCs w:val="22"/>
        </w:rPr>
        <w:t>Working with families in crisis frequently involves high-tension environments. An FSW must be able to remain calm and use verbal techniques to lower the "emotional temperature" of a room. This skill is critical for risk management. If a worker cannot manage conflict during a home visit, the safety of both the practitioner and the children may be compromised. Role-specific examples include mediating a heated argument between a teenager and a guardian to prevent a breakdown in the placement.</w:t>
      </w:r>
    </w:p>
    <w:p w14:paraId="408DDB8A" w14:textId="77777777" w:rsidR="000B6128" w:rsidRPr="001172C4" w:rsidRDefault="000B6128" w:rsidP="000B6128">
      <w:pPr>
        <w:rPr>
          <w:sz w:val="22"/>
          <w:szCs w:val="22"/>
        </w:rPr>
      </w:pPr>
      <w:r w:rsidRPr="001172C4">
        <w:rPr>
          <w:sz w:val="22"/>
          <w:szCs w:val="22"/>
        </w:rPr>
        <w:lastRenderedPageBreak/>
        <w:t>Skill 3: Empathy and Non-Judgmental Practice</w:t>
      </w:r>
    </w:p>
    <w:p w14:paraId="1D2C1913" w14:textId="0EA5F7BE" w:rsidR="000B6128" w:rsidRPr="001172C4" w:rsidRDefault="000B6128" w:rsidP="000B6128">
      <w:pPr>
        <w:rPr>
          <w:sz w:val="22"/>
          <w:szCs w:val="22"/>
        </w:rPr>
      </w:pPr>
      <w:r w:rsidRPr="001172C4">
        <w:rPr>
          <w:sz w:val="22"/>
          <w:szCs w:val="22"/>
        </w:rPr>
        <w:t xml:space="preserve">The British Association of Social Workers (BASW, 2021) emphasizes the importance of human rights and dignity. Empathy allows an FSW to understand the "why" behind a parent's </w:t>
      </w:r>
      <w:r w:rsidR="00E44BE0" w:rsidRPr="001172C4">
        <w:rPr>
          <w:sz w:val="22"/>
          <w:szCs w:val="22"/>
        </w:rPr>
        <w:t>behaviour</w:t>
      </w:r>
      <w:r w:rsidRPr="001172C4">
        <w:rPr>
          <w:sz w:val="22"/>
          <w:szCs w:val="22"/>
        </w:rPr>
        <w:t>—such as how a history of trauma influences their current parenting style. Without empathy, a worker risks becoming a "policing" figure rather than a supportive one, which often leads to family disengagement and increased risk to the child.</w:t>
      </w:r>
    </w:p>
    <w:p w14:paraId="3FCA9C82" w14:textId="77777777" w:rsidR="000B6128" w:rsidRPr="001172C4" w:rsidRDefault="000B6128" w:rsidP="000B6128">
      <w:pPr>
        <w:rPr>
          <w:sz w:val="22"/>
          <w:szCs w:val="22"/>
        </w:rPr>
      </w:pPr>
      <w:r w:rsidRPr="001172C4">
        <w:rPr>
          <w:sz w:val="22"/>
          <w:szCs w:val="22"/>
        </w:rPr>
        <w:t>4. Strategies for Professional Development</w:t>
      </w:r>
    </w:p>
    <w:p w14:paraId="5AE30051" w14:textId="77777777" w:rsidR="000B6128" w:rsidRPr="001172C4" w:rsidRDefault="000B6128" w:rsidP="000B6128">
      <w:pPr>
        <w:rPr>
          <w:sz w:val="22"/>
          <w:szCs w:val="22"/>
        </w:rPr>
      </w:pPr>
      <w:r w:rsidRPr="001172C4">
        <w:rPr>
          <w:sz w:val="22"/>
          <w:szCs w:val="22"/>
        </w:rPr>
        <w:t>To maintain high standards, FSWs must engage in continuous professional development (CPD).</w:t>
      </w:r>
    </w:p>
    <w:p w14:paraId="518FFC24" w14:textId="77777777" w:rsidR="000B6128" w:rsidRPr="001172C4" w:rsidRDefault="000B6128" w:rsidP="000B6128">
      <w:pPr>
        <w:rPr>
          <w:sz w:val="22"/>
          <w:szCs w:val="22"/>
        </w:rPr>
      </w:pPr>
      <w:r w:rsidRPr="001172C4">
        <w:rPr>
          <w:sz w:val="22"/>
          <w:szCs w:val="22"/>
        </w:rPr>
        <w:t>Strategy 1: Reflective Practice (Gibbs’ Cycle)</w:t>
      </w:r>
    </w:p>
    <w:p w14:paraId="1BC8CD51" w14:textId="77777777" w:rsidR="000B6128" w:rsidRPr="001172C4" w:rsidRDefault="000B6128" w:rsidP="000B6128">
      <w:pPr>
        <w:rPr>
          <w:sz w:val="22"/>
          <w:szCs w:val="22"/>
        </w:rPr>
      </w:pPr>
      <w:r w:rsidRPr="001172C4">
        <w:rPr>
          <w:sz w:val="22"/>
          <w:szCs w:val="22"/>
        </w:rPr>
        <w:t xml:space="preserve">Reflective practice is the "gold standard" for improvement in social care. By using Gibbs’ Reflective Cycle (1988), a worker can systematically </w:t>
      </w:r>
      <w:proofErr w:type="spellStart"/>
      <w:r w:rsidRPr="001172C4">
        <w:rPr>
          <w:sz w:val="22"/>
          <w:szCs w:val="22"/>
        </w:rPr>
        <w:t>analyze</w:t>
      </w:r>
      <w:proofErr w:type="spellEnd"/>
      <w:r w:rsidRPr="001172C4">
        <w:rPr>
          <w:sz w:val="22"/>
          <w:szCs w:val="22"/>
        </w:rPr>
        <w:t xml:space="preserve"> a difficult encounter. For example, if a home visit went poorly, the worker reflects on their feelings, evaluates the experience, and creates an action plan for next time. This ensures that errors in judgment are transformed into learning opportunities.</w:t>
      </w:r>
    </w:p>
    <w:p w14:paraId="017966E9" w14:textId="77777777" w:rsidR="000B6128" w:rsidRPr="001172C4" w:rsidRDefault="000B6128" w:rsidP="000B6128">
      <w:pPr>
        <w:rPr>
          <w:sz w:val="22"/>
          <w:szCs w:val="22"/>
        </w:rPr>
      </w:pPr>
      <w:r w:rsidRPr="001172C4">
        <w:rPr>
          <w:sz w:val="22"/>
          <w:szCs w:val="22"/>
        </w:rPr>
        <w:t>Strategy 2: Peer Shadowing and Mentorship</w:t>
      </w:r>
    </w:p>
    <w:p w14:paraId="296D9AE3" w14:textId="77777777" w:rsidR="000B6128" w:rsidRPr="001172C4" w:rsidRDefault="000B6128" w:rsidP="000B6128">
      <w:pPr>
        <w:rPr>
          <w:sz w:val="22"/>
          <w:szCs w:val="22"/>
        </w:rPr>
      </w:pPr>
      <w:r w:rsidRPr="001172C4">
        <w:rPr>
          <w:sz w:val="22"/>
          <w:szCs w:val="22"/>
        </w:rPr>
        <w:t>Observational learning is highly effective for mastering complex interpersonal skills like conflict de-escalation. By shadowing a senior practitioner, a junior FSW can observe "tacit knowledge" in action—the subtle ways an expert uses body language or silence to control a room. This "social learning" helps bridge the gap between classroom theory and real-world practice.</w:t>
      </w:r>
    </w:p>
    <w:p w14:paraId="6CDBD0AD" w14:textId="77777777" w:rsidR="000B6128" w:rsidRPr="001172C4" w:rsidRDefault="000B6128" w:rsidP="000B6128">
      <w:pPr>
        <w:rPr>
          <w:sz w:val="22"/>
          <w:szCs w:val="22"/>
        </w:rPr>
      </w:pPr>
      <w:r w:rsidRPr="001172C4">
        <w:rPr>
          <w:sz w:val="22"/>
          <w:szCs w:val="22"/>
        </w:rPr>
        <w:t>Strategy 3: Specialized Safeguarding Workshops</w:t>
      </w:r>
    </w:p>
    <w:p w14:paraId="47E17CDD" w14:textId="77777777" w:rsidR="000B6128" w:rsidRPr="001172C4" w:rsidRDefault="000B6128" w:rsidP="000B6128">
      <w:pPr>
        <w:rPr>
          <w:sz w:val="22"/>
          <w:szCs w:val="22"/>
        </w:rPr>
      </w:pPr>
      <w:r w:rsidRPr="001172C4">
        <w:rPr>
          <w:sz w:val="22"/>
          <w:szCs w:val="22"/>
        </w:rPr>
        <w:t>Formal training in specific areas, such as "Toxic Trio" awareness (domestic abuse, mental health, and substance misuse), provides the technical knowledge needed to identify subtle signs of harm. Attending these workshops allows a worker to update their skills in line with the latest Working Together to Safeguard Children (2023) guidance, ensuring their practice remains legally and ethically sound.</w:t>
      </w:r>
    </w:p>
    <w:p w14:paraId="307FFDD5" w14:textId="77777777" w:rsidR="000B6128" w:rsidRPr="001172C4" w:rsidRDefault="000B6128" w:rsidP="000B6128">
      <w:pPr>
        <w:rPr>
          <w:sz w:val="22"/>
          <w:szCs w:val="22"/>
        </w:rPr>
      </w:pPr>
      <w:r w:rsidRPr="001172C4">
        <w:rPr>
          <w:sz w:val="22"/>
          <w:szCs w:val="22"/>
        </w:rPr>
        <w:t>5. Conclusion</w:t>
      </w:r>
    </w:p>
    <w:p w14:paraId="39399C29" w14:textId="77777777" w:rsidR="000B6128" w:rsidRPr="001172C4" w:rsidRDefault="000B6128" w:rsidP="000B6128">
      <w:pPr>
        <w:rPr>
          <w:sz w:val="22"/>
          <w:szCs w:val="22"/>
        </w:rPr>
      </w:pPr>
      <w:r w:rsidRPr="001172C4">
        <w:rPr>
          <w:sz w:val="22"/>
          <w:szCs w:val="22"/>
        </w:rPr>
        <w:t>The role of the Family Support Worker is fundamental to the stability of the social care system. Through a combination of active listening, de-escalation, and empathy, these practitioners mitigate risks and empower families. However, given the emotional toll and complexity of the work, structured strategies like reflection and mentorship are non-negotiable requirements for any worker committed to professional excellence and the protection of vulnerable individuals.</w:t>
      </w:r>
    </w:p>
    <w:p w14:paraId="7228AB2E" w14:textId="77777777" w:rsidR="000B6128" w:rsidRPr="001172C4" w:rsidRDefault="000B6128" w:rsidP="000B6128">
      <w:pPr>
        <w:rPr>
          <w:sz w:val="22"/>
          <w:szCs w:val="22"/>
        </w:rPr>
      </w:pPr>
      <w:r w:rsidRPr="001172C4">
        <w:rPr>
          <w:sz w:val="22"/>
          <w:szCs w:val="22"/>
        </w:rPr>
        <w:t>Reference List (UWTSD Harvard Style)</w:t>
      </w:r>
    </w:p>
    <w:p w14:paraId="1D3BFF32" w14:textId="77777777" w:rsidR="000B6128" w:rsidRPr="001172C4" w:rsidRDefault="000B6128" w:rsidP="000B6128">
      <w:pPr>
        <w:rPr>
          <w:sz w:val="22"/>
          <w:szCs w:val="22"/>
        </w:rPr>
      </w:pPr>
      <w:r w:rsidRPr="001172C4">
        <w:rPr>
          <w:sz w:val="22"/>
          <w:szCs w:val="22"/>
        </w:rPr>
        <w:t>BASW (British Association of Social Workers) (2021) Code of Ethics for Social Work. Birmingham: BASW.</w:t>
      </w:r>
    </w:p>
    <w:p w14:paraId="21B9E1D4" w14:textId="77777777" w:rsidR="000B6128" w:rsidRPr="001172C4" w:rsidRDefault="000B6128" w:rsidP="000B6128">
      <w:pPr>
        <w:rPr>
          <w:sz w:val="22"/>
          <w:szCs w:val="22"/>
        </w:rPr>
      </w:pPr>
      <w:r w:rsidRPr="001172C4">
        <w:rPr>
          <w:sz w:val="22"/>
          <w:szCs w:val="22"/>
        </w:rPr>
        <w:lastRenderedPageBreak/>
        <w:t xml:space="preserve">Beckett, C. and Horner, N. (2016) Essential Social Work Policy and Practice. 3rd </w:t>
      </w:r>
      <w:proofErr w:type="spellStart"/>
      <w:r w:rsidRPr="001172C4">
        <w:rPr>
          <w:sz w:val="22"/>
          <w:szCs w:val="22"/>
        </w:rPr>
        <w:t>edn</w:t>
      </w:r>
      <w:proofErr w:type="spellEnd"/>
      <w:r w:rsidRPr="001172C4">
        <w:rPr>
          <w:sz w:val="22"/>
          <w:szCs w:val="22"/>
        </w:rPr>
        <w:t>. London: SAGE.</w:t>
      </w:r>
    </w:p>
    <w:p w14:paraId="7319527C" w14:textId="77777777" w:rsidR="000B6128" w:rsidRPr="001172C4" w:rsidRDefault="000B6128" w:rsidP="000B6128">
      <w:pPr>
        <w:rPr>
          <w:sz w:val="22"/>
          <w:szCs w:val="22"/>
        </w:rPr>
      </w:pPr>
      <w:r w:rsidRPr="001172C4">
        <w:rPr>
          <w:sz w:val="22"/>
          <w:szCs w:val="22"/>
        </w:rPr>
        <w:t>Department for Education (2023) Working Together to Safeguard Children: A guide to multi-agency working to help, protect and promote the welfare of children. London: HM Government.</w:t>
      </w:r>
    </w:p>
    <w:p w14:paraId="2D7E6266" w14:textId="77777777" w:rsidR="000B6128" w:rsidRPr="001172C4" w:rsidRDefault="000B6128" w:rsidP="000B6128">
      <w:pPr>
        <w:rPr>
          <w:sz w:val="22"/>
          <w:szCs w:val="22"/>
        </w:rPr>
      </w:pPr>
      <w:r w:rsidRPr="001172C4">
        <w:rPr>
          <w:sz w:val="22"/>
          <w:szCs w:val="22"/>
        </w:rPr>
        <w:t>Gibbs, G. (1988) Learning by Doing: A guide to teaching and learning methods. Oxford: Further Education Unit.</w:t>
      </w:r>
    </w:p>
    <w:p w14:paraId="59122731" w14:textId="6491A690" w:rsidR="0091706F" w:rsidRPr="001172C4" w:rsidRDefault="000B6128" w:rsidP="000B6128">
      <w:pPr>
        <w:rPr>
          <w:sz w:val="22"/>
          <w:szCs w:val="22"/>
        </w:rPr>
      </w:pPr>
      <w:r w:rsidRPr="001172C4">
        <w:rPr>
          <w:sz w:val="22"/>
          <w:szCs w:val="22"/>
        </w:rPr>
        <w:t xml:space="preserve">Koprowska, J. (2020) Communication and Interpersonal Skills in Social Work. 5th </w:t>
      </w:r>
      <w:proofErr w:type="spellStart"/>
      <w:r w:rsidRPr="001172C4">
        <w:rPr>
          <w:sz w:val="22"/>
          <w:szCs w:val="22"/>
        </w:rPr>
        <w:t>edn</w:t>
      </w:r>
      <w:proofErr w:type="spellEnd"/>
      <w:r w:rsidRPr="001172C4">
        <w:rPr>
          <w:sz w:val="22"/>
          <w:szCs w:val="22"/>
        </w:rPr>
        <w:t>. London: Learning Matters.</w:t>
      </w:r>
    </w:p>
    <w:sectPr w:rsidR="0091706F" w:rsidRPr="001172C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EE96C" w14:textId="77777777" w:rsidR="00DA3480" w:rsidRDefault="00DA3480" w:rsidP="000B6128">
      <w:pPr>
        <w:spacing w:after="0" w:line="240" w:lineRule="auto"/>
      </w:pPr>
      <w:r>
        <w:separator/>
      </w:r>
    </w:p>
  </w:endnote>
  <w:endnote w:type="continuationSeparator" w:id="0">
    <w:p w14:paraId="79A0A78E" w14:textId="77777777" w:rsidR="00DA3480" w:rsidRDefault="00DA3480" w:rsidP="000B6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8FE06" w14:textId="77777777" w:rsidR="00DA3480" w:rsidRDefault="00DA3480" w:rsidP="000B6128">
      <w:pPr>
        <w:spacing w:after="0" w:line="240" w:lineRule="auto"/>
      </w:pPr>
      <w:r>
        <w:separator/>
      </w:r>
    </w:p>
  </w:footnote>
  <w:footnote w:type="continuationSeparator" w:id="0">
    <w:p w14:paraId="3092105C" w14:textId="77777777" w:rsidR="00DA3480" w:rsidRDefault="00DA3480" w:rsidP="000B61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577DF2" w14:textId="77777777" w:rsidR="000B6128" w:rsidRDefault="000B6128" w:rsidP="00E44BE0">
    <w:pPr>
      <w:pStyle w:val="Header"/>
    </w:pPr>
    <w:r>
      <w:t xml:space="preserve">Nazia begum </w:t>
    </w:r>
  </w:p>
  <w:p w14:paraId="23878256" w14:textId="77777777" w:rsidR="000B6128" w:rsidRDefault="000B6128" w:rsidP="000B6128">
    <w:pPr>
      <w:pStyle w:val="Header"/>
    </w:pPr>
    <w:r>
      <w:t>Student ID: 2506373</w:t>
    </w:r>
  </w:p>
  <w:p w14:paraId="209FD36B" w14:textId="24E9FCEA" w:rsidR="000B6128" w:rsidRDefault="000B6128" w:rsidP="000B6128">
    <w:pPr>
      <w:pStyle w:val="Header"/>
    </w:pPr>
    <w:r>
      <w:t>Module code: LCHS400</w:t>
    </w:r>
    <w:r w:rsidR="008B2B53">
      <w:t>1</w:t>
    </w:r>
  </w:p>
  <w:p w14:paraId="2E7E6FDC" w14:textId="6131D144" w:rsidR="000B6128" w:rsidRDefault="000B6128" w:rsidP="000B6128">
    <w:pPr>
      <w:pStyle w:val="Header"/>
    </w:pPr>
    <w:r>
      <w:t xml:space="preserve"> </w:t>
    </w:r>
    <w:r w:rsidR="008B2B53">
      <w:t>Academic and employability module</w:t>
    </w:r>
  </w:p>
  <w:p w14:paraId="43962968" w14:textId="47F9DA40" w:rsidR="000B6128" w:rsidRDefault="000B6128" w:rsidP="000B6128">
    <w:pPr>
      <w:pStyle w:val="Header"/>
    </w:pPr>
    <w:proofErr w:type="gramStart"/>
    <w:r>
      <w:t>Lecturer :</w:t>
    </w:r>
    <w:proofErr w:type="gramEnd"/>
    <w:r>
      <w:t xml:space="preserve"> Markus Klingel fuss</w:t>
    </w:r>
  </w:p>
  <w:p w14:paraId="72BF567E" w14:textId="1DF42F7A" w:rsidR="000B6128" w:rsidRDefault="000B6128" w:rsidP="000B6128">
    <w:pPr>
      <w:pStyle w:val="Header"/>
    </w:pPr>
    <w:r>
      <w:t>Task 3: written report</w:t>
    </w:r>
  </w:p>
  <w:p w14:paraId="2E34F4D8" w14:textId="77777777" w:rsidR="000B6128" w:rsidRDefault="000B61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128"/>
    <w:rsid w:val="000B6128"/>
    <w:rsid w:val="001172C4"/>
    <w:rsid w:val="0012407A"/>
    <w:rsid w:val="00590F91"/>
    <w:rsid w:val="007618FB"/>
    <w:rsid w:val="008029F3"/>
    <w:rsid w:val="008B2B53"/>
    <w:rsid w:val="0091706F"/>
    <w:rsid w:val="00987729"/>
    <w:rsid w:val="00DA3480"/>
    <w:rsid w:val="00E44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0C24F"/>
  <w15:chartTrackingRefBased/>
  <w15:docId w15:val="{ED1C4C5A-A46B-4C89-9922-835BD2C29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1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61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61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61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61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61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61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61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61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1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61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61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61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61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61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61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61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6128"/>
    <w:rPr>
      <w:rFonts w:eastAsiaTheme="majorEastAsia" w:cstheme="majorBidi"/>
      <w:color w:val="272727" w:themeColor="text1" w:themeTint="D8"/>
    </w:rPr>
  </w:style>
  <w:style w:type="paragraph" w:styleId="Title">
    <w:name w:val="Title"/>
    <w:basedOn w:val="Normal"/>
    <w:next w:val="Normal"/>
    <w:link w:val="TitleChar"/>
    <w:uiPriority w:val="10"/>
    <w:qFormat/>
    <w:rsid w:val="000B61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61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61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61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6128"/>
    <w:pPr>
      <w:spacing w:before="160"/>
      <w:jc w:val="center"/>
    </w:pPr>
    <w:rPr>
      <w:i/>
      <w:iCs/>
      <w:color w:val="404040" w:themeColor="text1" w:themeTint="BF"/>
    </w:rPr>
  </w:style>
  <w:style w:type="character" w:customStyle="1" w:styleId="QuoteChar">
    <w:name w:val="Quote Char"/>
    <w:basedOn w:val="DefaultParagraphFont"/>
    <w:link w:val="Quote"/>
    <w:uiPriority w:val="29"/>
    <w:rsid w:val="000B6128"/>
    <w:rPr>
      <w:i/>
      <w:iCs/>
      <w:color w:val="404040" w:themeColor="text1" w:themeTint="BF"/>
    </w:rPr>
  </w:style>
  <w:style w:type="paragraph" w:styleId="ListParagraph">
    <w:name w:val="List Paragraph"/>
    <w:basedOn w:val="Normal"/>
    <w:uiPriority w:val="34"/>
    <w:qFormat/>
    <w:rsid w:val="000B6128"/>
    <w:pPr>
      <w:ind w:left="720"/>
      <w:contextualSpacing/>
    </w:pPr>
  </w:style>
  <w:style w:type="character" w:styleId="IntenseEmphasis">
    <w:name w:val="Intense Emphasis"/>
    <w:basedOn w:val="DefaultParagraphFont"/>
    <w:uiPriority w:val="21"/>
    <w:qFormat/>
    <w:rsid w:val="000B6128"/>
    <w:rPr>
      <w:i/>
      <w:iCs/>
      <w:color w:val="0F4761" w:themeColor="accent1" w:themeShade="BF"/>
    </w:rPr>
  </w:style>
  <w:style w:type="paragraph" w:styleId="IntenseQuote">
    <w:name w:val="Intense Quote"/>
    <w:basedOn w:val="Normal"/>
    <w:next w:val="Normal"/>
    <w:link w:val="IntenseQuoteChar"/>
    <w:uiPriority w:val="30"/>
    <w:qFormat/>
    <w:rsid w:val="000B61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6128"/>
    <w:rPr>
      <w:i/>
      <w:iCs/>
      <w:color w:val="0F4761" w:themeColor="accent1" w:themeShade="BF"/>
    </w:rPr>
  </w:style>
  <w:style w:type="character" w:styleId="IntenseReference">
    <w:name w:val="Intense Reference"/>
    <w:basedOn w:val="DefaultParagraphFont"/>
    <w:uiPriority w:val="32"/>
    <w:qFormat/>
    <w:rsid w:val="000B6128"/>
    <w:rPr>
      <w:b/>
      <w:bCs/>
      <w:smallCaps/>
      <w:color w:val="0F4761" w:themeColor="accent1" w:themeShade="BF"/>
      <w:spacing w:val="5"/>
    </w:rPr>
  </w:style>
  <w:style w:type="paragraph" w:styleId="Header">
    <w:name w:val="header"/>
    <w:basedOn w:val="Normal"/>
    <w:link w:val="HeaderChar"/>
    <w:uiPriority w:val="99"/>
    <w:unhideWhenUsed/>
    <w:rsid w:val="000B6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128"/>
  </w:style>
  <w:style w:type="paragraph" w:styleId="Footer">
    <w:name w:val="footer"/>
    <w:basedOn w:val="Normal"/>
    <w:link w:val="FooterChar"/>
    <w:uiPriority w:val="99"/>
    <w:unhideWhenUsed/>
    <w:rsid w:val="000B6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1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f360bfa8ee50f629a4a805c955e40927">
  <xsd:schema xmlns:xsd="http://www.w3.org/2001/XMLSchema" xmlns:xs="http://www.w3.org/2001/XMLSchema" xmlns:p="http://schemas.microsoft.com/office/2006/metadata/properties" xmlns:ns3="3ef5847a-e696-4fee-a2c0-6c3f87568321" targetNamespace="http://schemas.microsoft.com/office/2006/metadata/properties" ma:root="true" ma:fieldsID="e873d1e9160538f17e63a5259c3b74f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31A039F-74D2-4AF6-A708-3E76262366AD}">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0206879D-4F37-45E8-98D5-A9DF00D9DC9C}">
  <ds:schemaRefs>
    <ds:schemaRef ds:uri="http://schemas.microsoft.com/sharepoint/v3/contenttype/forms"/>
  </ds:schemaRefs>
</ds:datastoreItem>
</file>

<file path=customXml/itemProps3.xml><?xml version="1.0" encoding="utf-8"?>
<ds:datastoreItem xmlns:ds="http://schemas.openxmlformats.org/officeDocument/2006/customXml" ds:itemID="{D64B9FC6-82D6-4F88-A0D4-21A26EAADC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3</Pages>
  <Words>844</Words>
  <Characters>4923</Characters>
  <Application>Microsoft Office Word</Application>
  <DocSecurity>0</DocSecurity>
  <Lines>77</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Begum (2506373)</dc:creator>
  <cp:keywords/>
  <dc:description/>
  <cp:lastModifiedBy>Nazia Begum (2506373)</cp:lastModifiedBy>
  <cp:revision>3</cp:revision>
  <dcterms:created xsi:type="dcterms:W3CDTF">2026-04-01T21:57:00Z</dcterms:created>
  <dcterms:modified xsi:type="dcterms:W3CDTF">2026-04-01T22:24:00Z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