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otnotes+xml" PartName="/word/footnot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KA Higgins</w:t>
      </w:r>
    </w:p>
    <w:p w:rsidR="00000000" w:rsidDel="00000000" w:rsidP="00000000" w:rsidRDefault="00000000" w:rsidRPr="00000000" w14:paraId="00000002">
      <w:pPr>
        <w:spacing w:line="480" w:lineRule="auto"/>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HPPH7013</w:t>
      </w:r>
    </w:p>
    <w:p w:rsidR="00000000" w:rsidDel="00000000" w:rsidP="00000000" w:rsidRDefault="00000000" w:rsidRPr="00000000" w14:paraId="00000003">
      <w:pPr>
        <w:spacing w:line="480" w:lineRule="auto"/>
        <w:jc w:val="left"/>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11/29/2020</w:t>
      </w: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u w:val="single"/>
          <w:rtl w:val="0"/>
        </w:rPr>
        <w:t xml:space="preserve">Critique of the Lockean Self</w:t>
      </w:r>
    </w:p>
    <w:p w:rsidR="00000000" w:rsidDel="00000000" w:rsidP="00000000" w:rsidRDefault="00000000" w:rsidRPr="00000000" w14:paraId="00000005">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6">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7">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In this essay, I will outline John Locke’s contribution and arguments regarding the ‘self’. I will examine his purpose (which, he claims, is validating personal responsibility for previous actions), and assess, step by step, Locke’s process of identifying the criteria for ‘self-identity’. While I have had the opportunity to research the critique of both Bishop Butler and Antony Flew, in this essay, I will focus on the attack on Locke given by Butler, as his concerns overlap my own.</w:t>
      </w:r>
    </w:p>
    <w:p w:rsidR="00000000" w:rsidDel="00000000" w:rsidP="00000000" w:rsidRDefault="00000000" w:rsidRPr="00000000" w14:paraId="00000008">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Allow me to outline this argument for the sake of clarity. Once we have thoroughly walked through Locke’s solution of self-identity, we will attack it on four fronts, using different variations and definitions of two terms: ‘can’ and ‘remember’. These variations represent the possible interpretations that may arise from Lockean principles, giving Locke the benefit of the doubt. The variations are listed below.</w:t>
      </w:r>
    </w:p>
    <w:p w:rsidR="00000000" w:rsidDel="00000000" w:rsidP="00000000" w:rsidRDefault="00000000" w:rsidRPr="00000000" w14:paraId="00000009">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A">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1) ‘Can’ is logical and ‘remember’ is </w:t>
      </w:r>
      <w:r w:rsidDel="00000000" w:rsidR="00000000" w:rsidRPr="00000000">
        <w:rPr>
          <w:rFonts w:ascii="Times New Roman" w:cs="Times New Roman" w:eastAsia="Times New Roman" w:hAnsi="Times New Roman"/>
          <w:sz w:val="24"/>
          <w:szCs w:val="24"/>
          <w:highlight w:val="white"/>
          <w:rtl w:val="0"/>
        </w:rPr>
        <w:t xml:space="preserve">necessarily entailing objective truth.</w:t>
      </w:r>
    </w:p>
    <w:p w:rsidR="00000000" w:rsidDel="00000000" w:rsidP="00000000" w:rsidRDefault="00000000" w:rsidRPr="00000000" w14:paraId="0000000B">
      <w:pPr>
        <w:spacing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2) ‘Can’ is logical and factual, and ‘remember’ is necessarily entailing objective truth.</w:t>
      </w:r>
    </w:p>
    <w:p w:rsidR="00000000" w:rsidDel="00000000" w:rsidP="00000000" w:rsidRDefault="00000000" w:rsidRPr="00000000" w14:paraId="0000000C">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3) ‘Can’ is logical (and not necessarily factual), and ‘remember’ is taken as an honest memory claim (which does not necessarily entail objective truth).</w:t>
      </w:r>
    </w:p>
    <w:p w:rsidR="00000000" w:rsidDel="00000000" w:rsidP="00000000" w:rsidRDefault="00000000" w:rsidRPr="00000000" w14:paraId="0000000D">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4) ‘Can’ is logical and factual, and ‘remember’ is taken as an honest memory claim. </w:t>
      </w:r>
    </w:p>
    <w:p w:rsidR="00000000" w:rsidDel="00000000" w:rsidP="00000000" w:rsidRDefault="00000000" w:rsidRPr="00000000" w14:paraId="0000000E">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0F">
      <w:pPr>
        <w:spacing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Let us begin. John Locke recognized the importance of finding a solution to the philosophical inquiry of defining ‘the Self’, claiming that a personal identity is the only valid way for one to be both personally responsible for right and wrong produced by said personal identity. In other words, without a permanent identity (one that is not constantly in flux) taking responsibility for one’s previous actions would be a fruitless task, as the perpetrator receiving the punishment or reward would not be the same perpetrator that put into action the events that lead to those punishments or rewards. Taken as is, would be reason enough to delve deeper into this problem, however Locke dives a league deeper and applies it to Christianity, claiming that when Last Judgment is upon us - the second coming of Christ, when our souls are weighed by the actions we take in life and deemed either heavenly or hellish - the same issue of lack of personal responsibility would be present. Perhaps this example isn’t the most philosophically relevant, however I add it because it certainly would have been relevant at the time of its conception, and as Hegel would say, one must always take into consideration the climate of the time in order to truly understand the thought process of an event. Further, Flew states that Locke inexplicitly yet clearly regarded questions of survival, pre-existence, and immortality as questions of personal identity</w:t>
      </w:r>
      <w:r w:rsidDel="00000000" w:rsidR="00000000" w:rsidRPr="00000000">
        <w:rPr>
          <w:rFonts w:ascii="Times New Roman" w:cs="Times New Roman" w:eastAsia="Times New Roman" w:hAnsi="Times New Roman"/>
          <w:sz w:val="24"/>
          <w:szCs w:val="24"/>
          <w:highlight w:val="white"/>
          <w:vertAlign w:val="superscript"/>
        </w:rPr>
        <w:footnoteReference w:customMarkFollows="0" w:id="0"/>
      </w: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10">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After realizing the philosophical puzzle, Locke determined that this question was both relevant for philosophers and scientists (namely psychologists) alike, and therefore eligible for </w:t>
      </w:r>
      <w:r w:rsidDel="00000000" w:rsidR="00000000" w:rsidRPr="00000000">
        <w:rPr>
          <w:rFonts w:ascii="Times New Roman" w:cs="Times New Roman" w:eastAsia="Times New Roman" w:hAnsi="Times New Roman"/>
          <w:sz w:val="24"/>
          <w:szCs w:val="24"/>
          <w:rtl w:val="0"/>
        </w:rPr>
        <w:t xml:space="preserve">further study. His next step was developing parameters for which possible answers could be found. Flew succinctly states these parameters: </w:t>
      </w:r>
      <w:r w:rsidDel="00000000" w:rsidR="00000000" w:rsidRPr="00000000">
        <w:rPr>
          <w:rFonts w:ascii="Times New Roman" w:cs="Times New Roman" w:eastAsia="Times New Roman" w:hAnsi="Times New Roman"/>
          <w:sz w:val="24"/>
          <w:szCs w:val="24"/>
          <w:rtl w:val="0"/>
        </w:rPr>
        <w:t xml:space="preserve">“Either it must consist in some sort of definition or set of rules, which will enable us to deal with all possible puzzles; either by telling us that ‘same person’ is or is not correctly applicable; or by hinting to us what further factual information we require before we can know. Or else the solution must explain why the questions raised by the puzzle cases cannot be answered.”</w:t>
      </w:r>
      <w:r w:rsidDel="00000000" w:rsidR="00000000" w:rsidRPr="00000000">
        <w:rPr>
          <w:rFonts w:ascii="Times New Roman" w:cs="Times New Roman" w:eastAsia="Times New Roman" w:hAnsi="Times New Roman"/>
          <w:sz w:val="24"/>
          <w:szCs w:val="24"/>
          <w:vertAlign w:val="superscript"/>
        </w:rPr>
        <w:footnoteReference w:customMarkFollows="0" w:id="1"/>
      </w:r>
      <w:r w:rsidDel="00000000" w:rsidR="00000000" w:rsidRPr="00000000">
        <w:rPr>
          <w:rFonts w:ascii="Times New Roman" w:cs="Times New Roman" w:eastAsia="Times New Roman" w:hAnsi="Times New Roman"/>
          <w:sz w:val="24"/>
          <w:szCs w:val="24"/>
          <w:rtl w:val="0"/>
        </w:rPr>
        <w:t xml:space="preserve"> Allow me to break this down. The first parameter possibility that Locke creates is that the answer to </w:t>
      </w:r>
      <w:r w:rsidDel="00000000" w:rsidR="00000000" w:rsidRPr="00000000">
        <w:rPr>
          <w:rFonts w:ascii="Times New Roman" w:cs="Times New Roman" w:eastAsia="Times New Roman" w:hAnsi="Times New Roman"/>
          <w:sz w:val="24"/>
          <w:szCs w:val="24"/>
          <w:highlight w:val="white"/>
          <w:rtl w:val="0"/>
        </w:rPr>
        <w:t xml:space="preserve">personal identity must consist - throughout all different personal identities (in other words, every existing person’s personal identity) abide by a specific set of rules for which they can be verified. The second parameter possibility would, instead, serve as a device that negates possible answers. This parameter would act as a whittling knife, informing us what the answer can </w:t>
      </w:r>
      <w:r w:rsidDel="00000000" w:rsidR="00000000" w:rsidRPr="00000000">
        <w:rPr>
          <w:rFonts w:ascii="Times New Roman" w:cs="Times New Roman" w:eastAsia="Times New Roman" w:hAnsi="Times New Roman"/>
          <w:i w:val="1"/>
          <w:sz w:val="24"/>
          <w:szCs w:val="24"/>
          <w:highlight w:val="white"/>
          <w:rtl w:val="0"/>
        </w:rPr>
        <w:t xml:space="preserve">not</w:t>
      </w:r>
      <w:r w:rsidDel="00000000" w:rsidR="00000000" w:rsidRPr="00000000">
        <w:rPr>
          <w:rFonts w:ascii="Times New Roman" w:cs="Times New Roman" w:eastAsia="Times New Roman" w:hAnsi="Times New Roman"/>
          <w:sz w:val="24"/>
          <w:szCs w:val="24"/>
          <w:highlight w:val="white"/>
          <w:rtl w:val="0"/>
        </w:rPr>
        <w:t xml:space="preserve"> be. Locke decides to choose the first parameter to answer the question of ‘self identity’, which Flew describes as a ‘talismanic definition’</w:t>
      </w:r>
      <w:r w:rsidDel="00000000" w:rsidR="00000000" w:rsidRPr="00000000">
        <w:rPr>
          <w:rFonts w:ascii="Times New Roman" w:cs="Times New Roman" w:eastAsia="Times New Roman" w:hAnsi="Times New Roman"/>
          <w:sz w:val="24"/>
          <w:szCs w:val="24"/>
          <w:highlight w:val="white"/>
          <w:vertAlign w:val="superscript"/>
        </w:rPr>
        <w:footnoteReference w:customMarkFollows="0" w:id="2"/>
      </w:r>
      <w:r w:rsidDel="00000000" w:rsidR="00000000" w:rsidRPr="00000000">
        <w:rPr>
          <w:rFonts w:ascii="Times New Roman" w:cs="Times New Roman" w:eastAsia="Times New Roman" w:hAnsi="Times New Roman"/>
          <w:sz w:val="24"/>
          <w:szCs w:val="24"/>
          <w:highlight w:val="white"/>
          <w:rtl w:val="0"/>
        </w:rPr>
        <w:t xml:space="preserve">, offering us a brief insight as to the soundness of said parameter. </w:t>
      </w:r>
    </w:p>
    <w:p w:rsidR="00000000" w:rsidDel="00000000" w:rsidP="00000000" w:rsidRDefault="00000000" w:rsidRPr="00000000" w14:paraId="00000011">
      <w:pPr>
        <w:spacing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Locke moves on to agree that the term ‘same’ in reference to the unity of one’s substance is equivocal and often controversial, and therefore insufficient for the purpose of defining one’s self identity. I will lay out Locke’s solution, first, and then break it down into more understandable chunks. Flew states of the Lockean solution, “It is that X at time two is the same person as Y at time one if and only if X and Y are both persons and X can remember at time two what Y did, or felt, or what have you, at time one.”</w:t>
      </w:r>
      <w:r w:rsidDel="00000000" w:rsidR="00000000" w:rsidRPr="00000000">
        <w:rPr>
          <w:rFonts w:ascii="Times New Roman" w:cs="Times New Roman" w:eastAsia="Times New Roman" w:hAnsi="Times New Roman"/>
          <w:sz w:val="24"/>
          <w:szCs w:val="24"/>
          <w:highlight w:val="white"/>
          <w:vertAlign w:val="superscript"/>
        </w:rPr>
        <w:footnoteReference w:customMarkFollows="0" w:id="3"/>
      </w:r>
      <w:r w:rsidDel="00000000" w:rsidR="00000000" w:rsidRPr="00000000">
        <w:rPr>
          <w:rFonts w:ascii="Times New Roman" w:cs="Times New Roman" w:eastAsia="Times New Roman" w:hAnsi="Times New Roman"/>
          <w:sz w:val="24"/>
          <w:szCs w:val="24"/>
          <w:highlight w:val="white"/>
          <w:rtl w:val="0"/>
        </w:rPr>
        <w:t xml:space="preserve"> Here, we have two separate accounts of persons and events. Person Y has had an experience at time 1 (specificity need not matter). During this experience Person Y has gained Z (Z being equivalent to memory and emotions of Person Y during time 1). Now, Locke’s argument is that Person X at time 2 (again, specificity need not matter beyond knowing that time 2 is chronologically posterior to time 1) can only have the same personal identity of Person Y if Person X meets the criterion that they, too, have experienced Z. This brings us to the sub-question of ‘what defines personhood?’. By Locke’s account, to sufficiently fit this touchstone, one must possess intelligence, reason, recall, forethought, and the ability to consider itself abstractly beyond its own experience. Depending on one’s thoughts of the matter, that would effectively discard animals and plants as possessing personhood (which, therefore, disqualifies them from having personal identity) as neither of those two things (commonly believed, though perhaps not in the realm of the knowable at this time) have the ability to think abstractly or to utilize forethought. </w:t>
      </w:r>
    </w:p>
    <w:p w:rsidR="00000000" w:rsidDel="00000000" w:rsidP="00000000" w:rsidRDefault="00000000" w:rsidRPr="00000000" w14:paraId="00000012">
      <w:pPr>
        <w:spacing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 would like to state that I believe an early pitfall of Locke is a lack of definition of his ‘intelligent being’ criterion, as it is clear to any well-read philosopher that the definition of ‘beings of reason’ have been disputed since the Pre-Socrates. Now, perhaps the argument can be made that he does offer a bit of defining in the following faculties that an intelligent being must possess to be considered. However, I would like to offer a quote up, and dissect it closer to disprove this theo</w:t>
      </w:r>
      <w:r w:rsidDel="00000000" w:rsidR="00000000" w:rsidRPr="00000000">
        <w:rPr>
          <w:rFonts w:ascii="Times New Roman" w:cs="Times New Roman" w:eastAsia="Times New Roman" w:hAnsi="Times New Roman"/>
          <w:sz w:val="24"/>
          <w:szCs w:val="24"/>
          <w:rtl w:val="0"/>
        </w:rPr>
        <w:t xml:space="preserve">ry. </w:t>
      </w:r>
      <w:r w:rsidDel="00000000" w:rsidR="00000000" w:rsidRPr="00000000">
        <w:rPr>
          <w:rFonts w:ascii="Times New Roman" w:cs="Times New Roman" w:eastAsia="Times New Roman" w:hAnsi="Times New Roman"/>
          <w:sz w:val="24"/>
          <w:szCs w:val="24"/>
          <w:rtl w:val="0"/>
        </w:rPr>
        <w:t xml:space="preserve">“‘Person’ is defined as ‘a thinking intelligent being, that has reason and reflection, and can consider itself as itself, the same thinking thing, in different times and places’.”</w:t>
      </w:r>
      <w:r w:rsidDel="00000000" w:rsidR="00000000" w:rsidRPr="00000000">
        <w:rPr>
          <w:rFonts w:ascii="Times New Roman" w:cs="Times New Roman" w:eastAsia="Times New Roman" w:hAnsi="Times New Roman"/>
          <w:sz w:val="24"/>
          <w:szCs w:val="24"/>
          <w:vertAlign w:val="superscript"/>
        </w:rPr>
        <w:footnoteReference w:customMarkFollows="0" w:id="4"/>
      </w:r>
      <w:r w:rsidDel="00000000" w:rsidR="00000000" w:rsidRPr="00000000">
        <w:rPr>
          <w:rFonts w:ascii="Times New Roman" w:cs="Times New Roman" w:eastAsia="Times New Roman" w:hAnsi="Times New Roman"/>
          <w:sz w:val="24"/>
          <w:szCs w:val="24"/>
          <w:highlight w:val="white"/>
          <w:rtl w:val="0"/>
        </w:rPr>
        <w:t xml:space="preserve"> Now, let us take this outline, and instead of defining ‘person’, we define ‘banana’. It would look something like this:</w:t>
      </w:r>
    </w:p>
    <w:p w:rsidR="00000000" w:rsidDel="00000000" w:rsidP="00000000" w:rsidRDefault="00000000" w:rsidRPr="00000000" w14:paraId="00000013">
      <w:pPr>
        <w:spacing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‘Banana’ is defined as a fruit, that has yellow coloring and a brown stem, and possesses skin which can be pulled back, revealing a soft, sweet substance that can be consumed.</w:t>
      </w:r>
    </w:p>
    <w:p w:rsidR="00000000" w:rsidDel="00000000" w:rsidP="00000000" w:rsidRDefault="00000000" w:rsidRPr="00000000" w14:paraId="00000014">
      <w:pPr>
        <w:spacing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 will grant that the above definition will surely allow me to spot a banana when I am perusing the produce section of a grocers, but this definition does </w:t>
      </w:r>
      <w:r w:rsidDel="00000000" w:rsidR="00000000" w:rsidRPr="00000000">
        <w:rPr>
          <w:rFonts w:ascii="Times New Roman" w:cs="Times New Roman" w:eastAsia="Times New Roman" w:hAnsi="Times New Roman"/>
          <w:i w:val="1"/>
          <w:sz w:val="24"/>
          <w:szCs w:val="24"/>
          <w:highlight w:val="white"/>
          <w:rtl w:val="0"/>
        </w:rPr>
        <w:t xml:space="preserve">not</w:t>
      </w:r>
      <w:r w:rsidDel="00000000" w:rsidR="00000000" w:rsidRPr="00000000">
        <w:rPr>
          <w:rFonts w:ascii="Times New Roman" w:cs="Times New Roman" w:eastAsia="Times New Roman" w:hAnsi="Times New Roman"/>
          <w:sz w:val="24"/>
          <w:szCs w:val="24"/>
          <w:highlight w:val="white"/>
          <w:rtl w:val="0"/>
        </w:rPr>
        <w:t xml:space="preserve"> offer me a precise account of what it is to be a ‘fruit’. I have, therefore, come to the conclusion that Locke made an unfounded and defenseless premise regarding ‘intelligent being’.  </w:t>
      </w:r>
    </w:p>
    <w:p w:rsidR="00000000" w:rsidDel="00000000" w:rsidP="00000000" w:rsidRDefault="00000000" w:rsidRPr="00000000" w14:paraId="00000015">
      <w:pPr>
        <w:spacing w:line="480" w:lineRule="auto"/>
        <w:ind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This aside, let us continue to trudge through this theory as though we’ve accepted this premise. Locke does take into account the difference between the physical and the psychological (which, in this context, refers to the thinking aspect of the person). He claims that the ‘man’, or the physical manifestation of the intelligent being - the material things for which intelligent beings consider ‘themselves’, that is, our bodies - is nothing more than ‘an animal of such a certain form’</w:t>
      </w:r>
      <w:r w:rsidDel="00000000" w:rsidR="00000000" w:rsidRPr="00000000">
        <w:rPr>
          <w:rFonts w:ascii="Times New Roman" w:cs="Times New Roman" w:eastAsia="Times New Roman" w:hAnsi="Times New Roman"/>
          <w:sz w:val="24"/>
          <w:szCs w:val="24"/>
          <w:highlight w:val="white"/>
          <w:vertAlign w:val="superscript"/>
        </w:rPr>
        <w:footnoteReference w:customMarkFollows="0" w:id="5"/>
      </w:r>
      <w:r w:rsidDel="00000000" w:rsidR="00000000" w:rsidRPr="00000000">
        <w:rPr>
          <w:rFonts w:ascii="Times New Roman" w:cs="Times New Roman" w:eastAsia="Times New Roman" w:hAnsi="Times New Roman"/>
          <w:sz w:val="24"/>
          <w:szCs w:val="24"/>
          <w:highlight w:val="white"/>
          <w:rtl w:val="0"/>
        </w:rPr>
        <w:t xml:space="preserve">. To put it plainly, our physical without the psychological (or consciousness of an intelligent being) would be nothing but an animal, the kind for which we previously learned does not fit the criterion of personhood and, therefore, self identity. In order for the aforementioned ‘animal’ to fit the criterion, it must be attached to a rational, intelligent being. This in mind, Locke declares his solution:</w:t>
      </w:r>
    </w:p>
    <w:p w:rsidR="00000000" w:rsidDel="00000000" w:rsidP="00000000" w:rsidRDefault="00000000" w:rsidRPr="00000000" w14:paraId="00000016">
      <w:pPr>
        <w:spacing w:line="480" w:lineRule="auto"/>
        <w:ind w:firstLine="72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“That with which the consciousness of this present thinking thing can join itself, makes the same person, and is one self with it, and with nothing else; and so attributes to itself and owns all the actions of that thing, as its own, as far as that consciousness reaches, and no further; as everyone who reflects will perceive.”</w:t>
      </w:r>
      <w:r w:rsidDel="00000000" w:rsidR="00000000" w:rsidRPr="00000000">
        <w:rPr>
          <w:rFonts w:ascii="Times New Roman" w:cs="Times New Roman" w:eastAsia="Times New Roman" w:hAnsi="Times New Roman"/>
          <w:sz w:val="24"/>
          <w:szCs w:val="24"/>
          <w:vertAlign w:val="superscript"/>
        </w:rPr>
        <w:footnoteReference w:customMarkFollows="0" w:id="6"/>
      </w:r>
      <w:r w:rsidDel="00000000" w:rsidR="00000000" w:rsidRPr="00000000">
        <w:rPr>
          <w:rtl w:val="0"/>
        </w:rPr>
      </w:r>
    </w:p>
    <w:p w:rsidR="00000000" w:rsidDel="00000000" w:rsidP="00000000" w:rsidRDefault="00000000" w:rsidRPr="00000000" w14:paraId="00000017">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3"/>
          <w:szCs w:val="23"/>
          <w:highlight w:val="white"/>
          <w:rtl w:val="0"/>
        </w:rPr>
        <w:tab/>
      </w:r>
      <w:r w:rsidDel="00000000" w:rsidR="00000000" w:rsidRPr="00000000">
        <w:rPr>
          <w:rFonts w:ascii="Times New Roman" w:cs="Times New Roman" w:eastAsia="Times New Roman" w:hAnsi="Times New Roman"/>
          <w:sz w:val="24"/>
          <w:szCs w:val="24"/>
          <w:highlight w:val="white"/>
          <w:rtl w:val="0"/>
        </w:rPr>
        <w:t xml:space="preserve">Let us break this down. Locke utilizes, in this declaration, the term ‘consciousness’ as the existence of the intelligent being aforementioned. In other words, the action of consistently being an ‘intelligent being’ is now equivalent to his now philosophical term, ‘consciousness’. </w:t>
      </w:r>
    </w:p>
    <w:p w:rsidR="00000000" w:rsidDel="00000000" w:rsidP="00000000" w:rsidRDefault="00000000" w:rsidRPr="00000000" w14:paraId="00000018">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Allow us to take into account Flew’s concern. He claims that Locke is not consistent with his definition throughout his argument, and that the term may shift between two different meanings. He gives us two specific accounts. </w:t>
      </w:r>
    </w:p>
    <w:p w:rsidR="00000000" w:rsidDel="00000000" w:rsidP="00000000" w:rsidRDefault="00000000" w:rsidRPr="00000000" w14:paraId="0000001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sz w:val="24"/>
          <w:szCs w:val="24"/>
          <w:rtl w:val="0"/>
        </w:rPr>
        <w:t xml:space="preserve">“Sometimes it seems to mean ‘self conscious’ in that queer and dubious sense not equivalent to ‘embarrassed’; as when we read that "a being that . . . can consider itself as itself... does so only by that consciousness which is inseparable from think-ing". Sometimes it seems to be the ‘conscious- ness’ which is the opposite of ‘anaesthesia’; as when ‘self’ is denned as "a conscious thinking thing which is sensible or conscious of pleasure and pain, capable of happiness or misery". But in his main statements of his position ‘consciousness’ is equivalent to ‘memory,’ as can be seen from the words, "Could we suppose any spirit wholly stripped of all its memory or consciousness of past actions; as we find our minds always are of a great part of ours, and sometimes of them all…”</w:t>
      </w:r>
      <w:r w:rsidDel="00000000" w:rsidR="00000000" w:rsidRPr="00000000">
        <w:rPr>
          <w:rFonts w:ascii="Times New Roman" w:cs="Times New Roman" w:eastAsia="Times New Roman" w:hAnsi="Times New Roman"/>
          <w:sz w:val="24"/>
          <w:szCs w:val="24"/>
          <w:vertAlign w:val="superscript"/>
        </w:rPr>
        <w:footnoteReference w:customMarkFollows="0" w:id="7"/>
      </w:r>
      <w:r w:rsidDel="00000000" w:rsidR="00000000" w:rsidRPr="00000000">
        <w:rPr>
          <w:rtl w:val="0"/>
        </w:rPr>
      </w:r>
    </w:p>
    <w:p w:rsidR="00000000" w:rsidDel="00000000" w:rsidP="00000000" w:rsidRDefault="00000000" w:rsidRPr="00000000" w14:paraId="0000001A">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The worry here, in my opinion, seems to be mostly an organizational and/or careless error, rather than an error of inconsistency in philosophical theory. In plain English, the word consciousness can, in certain contexts, be equivalent to ‘self-concious’ and, therefore, ‘embarrassed’, as well as, in other contexts, equivalent to ‘conscious’ of physical stimulation of the body (or, in other words, pain). In this sense, Locke seems to be employing those alternative definitions of ‘consciousness’ simply due to, perhaps, carelessness, or lack of a more accurate term. That being said, we will give Locke the benefit of the doubt and henceforth allow ‘consciousness’ to have the definition he claimed previously, which is, as Flew points out, equivalent to memory, or awareness, of past actions. </w:t>
      </w:r>
    </w:p>
    <w:p w:rsidR="00000000" w:rsidDel="00000000" w:rsidP="00000000" w:rsidRDefault="00000000" w:rsidRPr="00000000" w14:paraId="0000001B">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Allow me to simplify in my own words. Locke’s theory of self-identity is this: the consciousness - or memory and awareness of past actions - of an intelligent being joining with the present intelligent being. This intelligent being (having no consciousness of other intelligent beings), furthermore, has the ability to allocate the possession of the consciousness it is aware of, to itself. </w:t>
      </w:r>
    </w:p>
    <w:p w:rsidR="00000000" w:rsidDel="00000000" w:rsidP="00000000" w:rsidRDefault="00000000" w:rsidRPr="00000000" w14:paraId="0000001C">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With this groundwork, I would like to begin the dissection. As Flew states, the ‘traditional’ argument against this theory was conceived by Bishop Butler. Butler claims that Locke uses consciousness as both a presupposition and a constituent of self-identity, and therefore his theory is invalid. To say, as Butler claims Locke does, that ‘X is the same being’ means also, that ‘X remembers that he is the same as X’ is absurd, even when put in the less explicit form: ‘X remembers his experiences’ means ‘what X remembers is that X, in that moment, is the same as the X who previously had those experiences’. </w:t>
      </w:r>
    </w:p>
    <w:p w:rsidR="00000000" w:rsidDel="00000000" w:rsidP="00000000" w:rsidRDefault="00000000" w:rsidRPr="00000000" w14:paraId="0000001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ab/>
        <w:t xml:space="preserve">Secondly, Butler argues that Locke’s definition of ‘same person’ is too strict, lacking the ability to use the term in ways that it is generally used in plain speech, and, on the other hand, in cases where it seems inappropriate to use the term, Locke wants us to use it. Let me introduce But</w:t>
      </w:r>
      <w:r w:rsidDel="00000000" w:rsidR="00000000" w:rsidRPr="00000000">
        <w:rPr>
          <w:rFonts w:ascii="Times New Roman" w:cs="Times New Roman" w:eastAsia="Times New Roman" w:hAnsi="Times New Roman"/>
          <w:sz w:val="24"/>
          <w:szCs w:val="24"/>
          <w:rtl w:val="0"/>
        </w:rPr>
        <w:t xml:space="preserve">ler’s symbolic example for simplification. </w:t>
      </w:r>
    </w:p>
    <w:p w:rsidR="00000000" w:rsidDel="00000000" w:rsidP="00000000" w:rsidRDefault="00000000" w:rsidRPr="00000000" w14:paraId="0000001E">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ab/>
      </w:r>
      <w:r w:rsidDel="00000000" w:rsidR="00000000" w:rsidRPr="00000000">
        <w:rPr>
          <w:rFonts w:ascii="Times New Roman" w:cs="Times New Roman" w:eastAsia="Times New Roman" w:hAnsi="Times New Roman"/>
          <w:sz w:val="24"/>
          <w:szCs w:val="24"/>
          <w:rtl w:val="0"/>
        </w:rPr>
        <w:t xml:space="preserve">“‘I know p’ entails ‘p,’ whereas ‘He said that he knew p and he was not lying’ does not entail ‘p.’ Similarly, ‘I remember p’ entails ‘p,’ but ‘He said that he remembered p and he was not lying’ does not entail ‘p.’”</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(56)</w:t>
      </w:r>
      <w:r w:rsidDel="00000000" w:rsidR="00000000" w:rsidRPr="00000000">
        <w:rPr>
          <w:rFonts w:ascii="Times New Roman" w:cs="Times New Roman" w:eastAsia="Times New Roman" w:hAnsi="Times New Roman"/>
          <w:sz w:val="24"/>
          <w:szCs w:val="24"/>
          <w:highlight w:val="white"/>
          <w:vertAlign w:val="superscript"/>
        </w:rPr>
        <w:footnoteReference w:customMarkFollows="0" w:id="8"/>
      </w:r>
      <w:r w:rsidDel="00000000" w:rsidR="00000000" w:rsidRPr="00000000">
        <w:rPr>
          <w:rtl w:val="0"/>
        </w:rPr>
      </w:r>
    </w:p>
    <w:p w:rsidR="00000000" w:rsidDel="00000000" w:rsidP="00000000" w:rsidRDefault="00000000" w:rsidRPr="00000000" w14:paraId="0000001F">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Butler brings the terms ‘know’ and ‘remember’ into this argument, using ‘p’ as equivalent to ‘consciousness’. He explains that the statement ‘I know ‘p’’, necessarily entails ‘p’, which can be translated as, ‘I know consciousness’ necessarily entails consciousness. Now, Butler’s argument is this: ‘He said that he knew consciousness and he was not lying’ does not necessarily entail consciousness (as an active participant in the statement). The active participants of the statement are ‘he said’ and ‘he is not lying’. Neither of these participants require consciousness to be active in order for the statement to hold true, so long as consciousness was active previously (which would make ‘he is not lying’ valid). </w:t>
      </w:r>
    </w:p>
    <w:p w:rsidR="00000000" w:rsidDel="00000000" w:rsidP="00000000" w:rsidRDefault="00000000" w:rsidRPr="00000000" w14:paraId="00000020">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With that in mind, Butler pushes the notion that one can make an honest mistake in knowing something and, furthermore, make an honest mistake in remembering something. Thus, there is a possibility that one remembers a ‘self-identity’ which is not theirs, not on purpose, but by honest mistake. Furthermore, (using my personal interpretation of Butler), I would also argue that Locke’s theory falls short in explaining whether or not self-identity is relative or absolute. Say one makes an honest mistake and misremembers something, allowing his personal-identity to be molded from that mis-memory, and not what truly happened. Is his personal-identity now relative (with his absolute personal-identity still existing beyond his perception), or has he then lost his personal-identity completely, and no longer possesses one (until the mis-memory is corrected). Moreover, can outside forces of your personal-identity (say, other personal-identities), hold the true nature of your personal identity in their consciousness, while you misremember yourself? With these questions posed, I will like to continue forward in this critique.</w:t>
      </w:r>
    </w:p>
    <w:p w:rsidR="00000000" w:rsidDel="00000000" w:rsidP="00000000" w:rsidRDefault="00000000" w:rsidRPr="00000000" w14:paraId="00000021">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Butler furthers the above mentioned concerns, pressing the issue of genuinely remembering something (which would seem to be vital for Locke’s definition to stand a chance against critiques) and honest memory claims. As Butler reminds, the former is in line with the truth, as it happened objectively, without fail, while the latter does not necessarily require the truth to still be a valid memory claim. With these caveats in mind, Butler has broken down four options for Locke’s theory to remain plausible.  </w:t>
      </w:r>
    </w:p>
    <w:p w:rsidR="00000000" w:rsidDel="00000000" w:rsidP="00000000" w:rsidRDefault="00000000" w:rsidRPr="00000000" w14:paraId="00000022">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Easily enough, Butler makes the claim that if Locke defined the terms ‘can’ and ‘remember’ with his own meaning in the context of his self-identity philosophy, he, perhaps, may be able to skip over minor yet ripple inducing errors in his account. Furthermore, however, Butler claims this change would do nothing but make the theory itself ineffectual - a conclusion we as philosophers never wish to come to. Even so, the change is as follows: if we take the term ‘can’ as logical (in the sense that in the revised definition, it logically follows), and ‘remember’ as entailing objective truth, as opposed to a possible mismemory. This being said, the definition would sound like this: that X at time two is the same person as Y at time one if and only if X and Y are both persons and X can (logical[ly]) remember at time two what Y did at time one.</w:t>
      </w:r>
      <w:r w:rsidDel="00000000" w:rsidR="00000000" w:rsidRPr="00000000">
        <w:rPr>
          <w:rFonts w:ascii="Times New Roman" w:cs="Times New Roman" w:eastAsia="Times New Roman" w:hAnsi="Times New Roman"/>
          <w:sz w:val="24"/>
          <w:szCs w:val="24"/>
          <w:highlight w:val="white"/>
          <w:vertAlign w:val="superscript"/>
        </w:rPr>
        <w:footnoteReference w:customMarkFollows="0" w:id="9"/>
      </w:r>
      <w:r w:rsidDel="00000000" w:rsidR="00000000" w:rsidRPr="00000000">
        <w:rPr>
          <w:rFonts w:ascii="Times New Roman" w:cs="Times New Roman" w:eastAsia="Times New Roman" w:hAnsi="Times New Roman"/>
          <w:sz w:val="24"/>
          <w:szCs w:val="24"/>
          <w:highlight w:val="white"/>
          <w:rtl w:val="0"/>
        </w:rPr>
        <w:t xml:space="preserve"> Because it is essentially impossible to assure one remembers, objectively, without fail, what they experienced in the past, I would have to agree with Butler that this definition, while wishful and valid within the parameters given, is not translatable to the relativity of humankind (of whom the definition is created for). Furthermore, with the emergence of modern psychology, and the millions of accounts of false memory recorded, it would be unreliable and irresponsible to lay the onus of self-identity onto memory alone, with the stacking evidence of how suggestable the human mind is. </w:t>
      </w:r>
    </w:p>
    <w:p w:rsidR="00000000" w:rsidDel="00000000" w:rsidP="00000000" w:rsidRDefault="00000000" w:rsidRPr="00000000" w14:paraId="00000023">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Butler’s second possible correction is adding on to the revisions made above regarding the definitions of ‘can’ and ‘remember’, with the minor, yet fundamental, addition that ‘can’ is not only logical, but factual as well. Assuming the above, Butler states that one can argue that it excludes too much. He uses the example of a lack of memory - knowing something, but not being able to, at that moment, recall it. If one learned in primary school, that the date of Halloween, let’s say, is October 31st, along with multiple other holiday dates to remember for a test the next day, one can, for sure, say that one had learned the date of Halloween. This is knowledge that one now knows. Now, the day of the test rolls around, and the child is able to recall all holiday dates, but Halloween. ‘I know this!’ is an exclamation the child would make, because she knew, for sure - as did her teacher who taught her directly, as did her peers were present when she learned, as did her parents the night before, who quizzed her on it - that that date was one that she learned. This knowledge wouldn’t simply disappear, but mental blocks occur in almost all walks of life. ‘I know that actress! Where have I seen her before?’ or ‘Ah! I know what I’m trying to say, but the word isn’t coming to me!’. These are all common occurrences on a daily basis. It has to do with delayed recall, not lack of memory. Bringing this directly into Lockean principles, suppose these three events:</w:t>
      </w:r>
    </w:p>
    <w:p w:rsidR="00000000" w:rsidDel="00000000" w:rsidP="00000000" w:rsidRDefault="00000000" w:rsidRPr="00000000" w14:paraId="00000024">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5">
      <w:pPr>
        <w:numPr>
          <w:ilvl w:val="0"/>
          <w:numId w:val="1"/>
        </w:numPr>
        <w:spacing w:line="480" w:lineRule="auto"/>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When Konrad was five, he stole a loaf of bread.</w:t>
      </w:r>
    </w:p>
    <w:p w:rsidR="00000000" w:rsidDel="00000000" w:rsidP="00000000" w:rsidRDefault="00000000" w:rsidRPr="00000000" w14:paraId="00000026">
      <w:pPr>
        <w:numPr>
          <w:ilvl w:val="0"/>
          <w:numId w:val="1"/>
        </w:numPr>
        <w:spacing w:line="480" w:lineRule="auto"/>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When Konrad was nineteen, he was drafted into the army.</w:t>
      </w:r>
    </w:p>
    <w:p w:rsidR="00000000" w:rsidDel="00000000" w:rsidP="00000000" w:rsidRDefault="00000000" w:rsidRPr="00000000" w14:paraId="00000027">
      <w:pPr>
        <w:numPr>
          <w:ilvl w:val="0"/>
          <w:numId w:val="1"/>
        </w:numPr>
        <w:spacing w:line="480" w:lineRule="auto"/>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When Konrad was thirty, he got married.</w:t>
      </w:r>
    </w:p>
    <w:p w:rsidR="00000000" w:rsidDel="00000000" w:rsidP="00000000" w:rsidRDefault="00000000" w:rsidRPr="00000000" w14:paraId="00000028">
      <w:pPr>
        <w:spacing w:line="480" w:lineRule="auto"/>
        <w:ind w:left="0" w:firstLine="72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029">
      <w:pPr>
        <w:spacing w:line="48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Let us assume, Konrad, at the age of seventy-five, was tried for the theft of the loaf of bread seventy years ago, but he claims that he can remember nothing of stealing a loaf of bread in his youth. With the definitions of ‘can’ and ‘remember’ being utilized with Butler’s revisions, by Lockean principles, Konrad cannot be punished for the theft of the bread, but it could not have been him, as in order from Konrad from event 2, 3, and the present be the same Konrad from event 1, Konrad himself must have memory of said event. And, of course, knowing now the fallibility of the mind and, therefore, the memory, if one honestly forgets wrongdoings, one cannot be punished for them. This is a large chink in Locke’s armor. </w:t>
      </w:r>
    </w:p>
    <w:p w:rsidR="00000000" w:rsidDel="00000000" w:rsidP="00000000" w:rsidRDefault="00000000" w:rsidRPr="00000000" w14:paraId="0000002A">
      <w:pPr>
        <w:spacing w:line="48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Because of this, Butler poses his third possibility. ‘Can’ in this account, is taken as logical, and not, as it was above, as necessarily factual.  Furthermore, ‘remember’, now, is defined as ‘an honest memory claim’ rather than an accurate memory claim. This, unfortunately, as Butler states, is too inclusive of a definition and therefore cannot lead to an accurate account of self-identity (since it would give us more than one possible solution). Berkeley first raised this issue, with a potential consciousness he calls ‘praeternatural potential consciousness’. In other words, a potential consciousness that exists outside of what currently is in existence. Another term could be, ‘the ability of consciousness’ or ‘ the faculty for which we can discern consciousness’. Touched on previously in the case of Konrad, Berkeley first claims that memory cannot be trusted to, without fail, give us a true recollection of past events that we were a part of, thus, we cannot rely upon it to serve us as the definition of personal identity. As we learned above, Konrad did, in fact, steal a loaf of bread, but his memory fails him seventy years later. Does this mean Konrad cannot be tried for thievery? This doesn’t seem right, to myself or to Berkeley. He further points out that if one were to be defined by potential consciousness (which Lockean principles abide by, since self-identity cannot, alone, be simply consciousness of the past) then it is impossible to establish who in the future may possess that identity, as every individual has the potential to claim that identity. This is certainly extreme, but as Hume and his Problem of Induction outline for us, dismissing any possibility in the future is futile - whether it be a problem of identity or the sun, itself, ceasing to rise. Thus, agreed upon by Berkeley, Butler, and myself, this possibility is too inclusive and, therefore, dismissed. </w:t>
      </w:r>
    </w:p>
    <w:p w:rsidR="00000000" w:rsidDel="00000000" w:rsidP="00000000" w:rsidRDefault="00000000" w:rsidRPr="00000000" w14:paraId="0000002B">
      <w:pPr>
        <w:spacing w:line="48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Now, lastly, Butler offers the fourth and final possibility that he conceives Locke may argue. And still, it involves the terminology of ‘can’ and ‘remember’. In option four, ‘can’ is taken as factual and ‘remember’ is taken as an honest memory claim. The critique of this possibility is simple, as it is open to the attacks given in interpretations two and three. Firstly, it does not allow the possibility of amnesia. Secondly, it ignores the possibility of paramnesia or false memory, which is an event that happens so frequently in the course of a human life, that it certainly cannot be ignored or discarded is irrelevant. Lastly, it is, as Flew states, ‘internally inconsistent’ defenseless against Flew’s galant officer paradox, or, in this essay, the paradox of Konrad’s Thievery.  </w:t>
      </w:r>
    </w:p>
    <w:p w:rsidR="00000000" w:rsidDel="00000000" w:rsidP="00000000" w:rsidRDefault="00000000" w:rsidRPr="00000000" w14:paraId="0000002C">
      <w:pPr>
        <w:spacing w:line="48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As we’ve concluded above, even given four separate interpretations of Locke’s self-identity solution - interpretations that needed to be developed, as Locke severely lacked proper concrete terminology beyond the need for clarification - we still find his theory wanting. What is the most concerning, in my opinion, is the lack of account for amnesia and paramnesia, as, we’ve noted multiple times, is a commonplace occurrence in humans, whether it be temporary or permanent. If it were temporary, there would be a point in time (the point when the amnesia is affecting party A) that consciousness A, and therefore self-identity A, would cease to exist and then, upon property memory restoration, would pop back into existence. This would bring up more issues, especially those regarding consistency. Now, permanent amnesia would play out a bit differently, in that there would be a point of time (the point of time that the amnesia begins to affect party A, making it then, party B) that consciousness A (and self-identity A), ceases to exist and then, miraculously, brings into creation consciousness and self-identity B. Not to mention the absolute chaos self-identity would be thrown into if one were to  suffer from a mental disorder such as Dissociative Identity Disorder or involving, at all, any sort of dissociation. </w:t>
      </w:r>
    </w:p>
    <w:p w:rsidR="00000000" w:rsidDel="00000000" w:rsidP="00000000" w:rsidRDefault="00000000" w:rsidRPr="00000000" w14:paraId="0000002D">
      <w:pPr>
        <w:spacing w:line="480" w:lineRule="auto"/>
        <w:ind w:left="0" w:firstLine="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ab/>
        <w:t xml:space="preserve">To conclude this critique, aided by Flew, Butler, and Berkeley, I can surmise that Locke’s principles of self-identity are lacking on many fronts, mainly that of consideration for memory that is not necessarily the truth. His principles seem to be founded in a perfect world that has no room for personal interpretation of events and has no cause for amnesia, paramnesia, or any sort of psychological or biological event that can affect one’s recollection of past events. Of course, one can make the argument for Locke’s principles with the harsh interpretation that it is correct, and therefore those who lack perfect recall and do not suffer from any aforementioned conditions simply do not have self-identity. As any other interpretation, this one has every right to be considered as well, but in my opinion, having this as a definition would be futile, considering it would match no living human and, thus, offer no human in current existence with personal-identity, which was the point of the construction of these principles in the first place. That being said, the Lockean principle cannot be utilized for the discernment of self-identity of existing intelligent beings, in good conscience, by modern philosophers, and therefore must be discarded as a possibility. </w:t>
      </w:r>
    </w:p>
    <w:p w:rsidR="00000000" w:rsidDel="00000000" w:rsidP="00000000" w:rsidRDefault="00000000" w:rsidRPr="00000000" w14:paraId="0000002E">
      <w:pPr>
        <w:spacing w:line="48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2F">
      <w:pPr>
        <w:spacing w:line="48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0">
      <w:pPr>
        <w:spacing w:line="48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1">
      <w:pPr>
        <w:spacing w:line="48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2">
      <w:pPr>
        <w:spacing w:line="48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3">
      <w:pPr>
        <w:spacing w:line="48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4">
      <w:pPr>
        <w:spacing w:line="480" w:lineRule="auto"/>
        <w:ind w:left="0" w:firstLine="0"/>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35">
      <w:pPr>
        <w:spacing w:line="480" w:lineRule="auto"/>
        <w:ind w:left="0" w:firstLine="0"/>
        <w:rPr>
          <w:rFonts w:ascii="Times New Roman" w:cs="Times New Roman" w:eastAsia="Times New Roman" w:hAnsi="Times New Roman"/>
          <w:sz w:val="24"/>
          <w:szCs w:val="24"/>
          <w:highlight w:val="white"/>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notes.xml><?xml version="1.0" encoding="utf-8"?>
<w:footnot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otnote w:id="1">
    <w:p w:rsidR="00000000" w:rsidDel="00000000" w:rsidP="00000000" w:rsidRDefault="00000000" w:rsidRPr="00000000" w14:paraId="00000036">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ibid</w:t>
      </w:r>
      <w:r w:rsidDel="00000000" w:rsidR="00000000" w:rsidRPr="00000000">
        <w:rPr>
          <w:rFonts w:ascii="Times New Roman" w:cs="Times New Roman" w:eastAsia="Times New Roman" w:hAnsi="Times New Roman"/>
          <w:sz w:val="20"/>
          <w:szCs w:val="20"/>
          <w:rtl w:val="0"/>
        </w:rPr>
        <w:t xml:space="preserve">, pg. 54</w:t>
      </w:r>
      <w:r w:rsidDel="00000000" w:rsidR="00000000" w:rsidRPr="00000000">
        <w:rPr>
          <w:rtl w:val="0"/>
        </w:rPr>
      </w:r>
    </w:p>
  </w:footnote>
  <w:footnote w:id="0">
    <w:p w:rsidR="00000000" w:rsidDel="00000000" w:rsidP="00000000" w:rsidRDefault="00000000" w:rsidRPr="00000000" w14:paraId="00000037">
      <w:pPr>
        <w:spacing w:line="240" w:lineRule="auto"/>
        <w:rPr>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Flew, Antony,</w:t>
      </w:r>
      <w:r w:rsidDel="00000000" w:rsidR="00000000" w:rsidRPr="00000000">
        <w:rPr>
          <w:rFonts w:ascii="Times New Roman" w:cs="Times New Roman" w:eastAsia="Times New Roman" w:hAnsi="Times New Roman"/>
          <w:i w:val="1"/>
          <w:sz w:val="20"/>
          <w:szCs w:val="20"/>
          <w:rtl w:val="0"/>
        </w:rPr>
        <w:t xml:space="preserve"> Locke and The Problem of Personal Identity, </w:t>
      </w:r>
      <w:r w:rsidDel="00000000" w:rsidR="00000000" w:rsidRPr="00000000">
        <w:rPr>
          <w:rFonts w:ascii="Times New Roman" w:cs="Times New Roman" w:eastAsia="Times New Roman" w:hAnsi="Times New Roman"/>
          <w:sz w:val="20"/>
          <w:szCs w:val="20"/>
          <w:rtl w:val="0"/>
        </w:rPr>
        <w:t xml:space="preserve">Cambridge, UK: Cambridge University Press Philosophy (London) 1951-01, Vol.26 (96), pg. 53</w:t>
      </w:r>
      <w:r w:rsidDel="00000000" w:rsidR="00000000" w:rsidRPr="00000000">
        <w:rPr>
          <w:rtl w:val="0"/>
        </w:rPr>
      </w:r>
    </w:p>
  </w:footnote>
  <w:footnote w:id="2">
    <w:p w:rsidR="00000000" w:rsidDel="00000000" w:rsidP="00000000" w:rsidRDefault="00000000" w:rsidRPr="00000000" w14:paraId="00000038">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ibid </w:t>
      </w:r>
      <w:r w:rsidDel="00000000" w:rsidR="00000000" w:rsidRPr="00000000">
        <w:rPr>
          <w:rFonts w:ascii="Times New Roman" w:cs="Times New Roman" w:eastAsia="Times New Roman" w:hAnsi="Times New Roman"/>
          <w:sz w:val="20"/>
          <w:szCs w:val="20"/>
          <w:rtl w:val="0"/>
        </w:rPr>
        <w:t xml:space="preserve">, pg. 54</w:t>
      </w:r>
    </w:p>
  </w:footnote>
  <w:footnote w:id="3">
    <w:p w:rsidR="00000000" w:rsidDel="00000000" w:rsidP="00000000" w:rsidRDefault="00000000" w:rsidRPr="00000000" w14:paraId="00000039">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ibid, </w:t>
      </w:r>
      <w:r w:rsidDel="00000000" w:rsidR="00000000" w:rsidRPr="00000000">
        <w:rPr>
          <w:rFonts w:ascii="Times New Roman" w:cs="Times New Roman" w:eastAsia="Times New Roman" w:hAnsi="Times New Roman"/>
          <w:sz w:val="20"/>
          <w:szCs w:val="20"/>
          <w:rtl w:val="0"/>
        </w:rPr>
        <w:t xml:space="preserve">pg. </w:t>
      </w:r>
      <w:r w:rsidDel="00000000" w:rsidR="00000000" w:rsidRPr="00000000">
        <w:rPr>
          <w:rFonts w:ascii="Times New Roman" w:cs="Times New Roman" w:eastAsia="Times New Roman" w:hAnsi="Times New Roman"/>
          <w:sz w:val="20"/>
          <w:szCs w:val="20"/>
          <w:highlight w:val="white"/>
          <w:rtl w:val="0"/>
        </w:rPr>
        <w:t xml:space="preserve">54-55</w:t>
      </w:r>
      <w:r w:rsidDel="00000000" w:rsidR="00000000" w:rsidRPr="00000000">
        <w:rPr>
          <w:rtl w:val="0"/>
        </w:rPr>
      </w:r>
    </w:p>
  </w:footnote>
  <w:footnote w:id="4">
    <w:p w:rsidR="00000000" w:rsidDel="00000000" w:rsidP="00000000" w:rsidRDefault="00000000" w:rsidRPr="00000000" w14:paraId="0000003A">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ibid</w:t>
      </w:r>
      <w:r w:rsidDel="00000000" w:rsidR="00000000" w:rsidRPr="00000000">
        <w:rPr>
          <w:rFonts w:ascii="Times New Roman" w:cs="Times New Roman" w:eastAsia="Times New Roman" w:hAnsi="Times New Roman"/>
          <w:sz w:val="20"/>
          <w:szCs w:val="20"/>
          <w:rtl w:val="0"/>
        </w:rPr>
        <w:t xml:space="preserve">, pg. 55</w:t>
      </w:r>
      <w:r w:rsidDel="00000000" w:rsidR="00000000" w:rsidRPr="00000000">
        <w:rPr>
          <w:rtl w:val="0"/>
        </w:rPr>
      </w:r>
    </w:p>
  </w:footnote>
  <w:footnote w:id="5">
    <w:p w:rsidR="00000000" w:rsidDel="00000000" w:rsidP="00000000" w:rsidRDefault="00000000" w:rsidRPr="00000000" w14:paraId="0000003B">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ibid , </w:t>
      </w:r>
      <w:r w:rsidDel="00000000" w:rsidR="00000000" w:rsidRPr="00000000">
        <w:rPr>
          <w:rFonts w:ascii="Times New Roman" w:cs="Times New Roman" w:eastAsia="Times New Roman" w:hAnsi="Times New Roman"/>
          <w:sz w:val="20"/>
          <w:szCs w:val="20"/>
          <w:rtl w:val="0"/>
        </w:rPr>
        <w:t xml:space="preserve">pg. 55</w:t>
      </w:r>
    </w:p>
  </w:footnote>
  <w:footnote w:id="7">
    <w:p w:rsidR="00000000" w:rsidDel="00000000" w:rsidP="00000000" w:rsidRDefault="00000000" w:rsidRPr="00000000" w14:paraId="0000003C">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ibid</w:t>
      </w:r>
      <w:r w:rsidDel="00000000" w:rsidR="00000000" w:rsidRPr="00000000">
        <w:rPr>
          <w:rFonts w:ascii="Times New Roman" w:cs="Times New Roman" w:eastAsia="Times New Roman" w:hAnsi="Times New Roman"/>
          <w:sz w:val="20"/>
          <w:szCs w:val="20"/>
          <w:rtl w:val="0"/>
        </w:rPr>
        <w:t xml:space="preserve">, pg. 55</w:t>
      </w:r>
      <w:r w:rsidDel="00000000" w:rsidR="00000000" w:rsidRPr="00000000">
        <w:rPr>
          <w:rtl w:val="0"/>
        </w:rPr>
      </w:r>
    </w:p>
  </w:footnote>
  <w:footnote w:id="8">
    <w:p w:rsidR="00000000" w:rsidDel="00000000" w:rsidP="00000000" w:rsidRDefault="00000000" w:rsidRPr="00000000" w14:paraId="0000003D">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ibid, </w:t>
      </w:r>
      <w:r w:rsidDel="00000000" w:rsidR="00000000" w:rsidRPr="00000000">
        <w:rPr>
          <w:rFonts w:ascii="Times New Roman" w:cs="Times New Roman" w:eastAsia="Times New Roman" w:hAnsi="Times New Roman"/>
          <w:sz w:val="20"/>
          <w:szCs w:val="20"/>
          <w:rtl w:val="0"/>
        </w:rPr>
        <w:t xml:space="preserve">56</w:t>
      </w:r>
    </w:p>
  </w:footnote>
  <w:footnote w:id="9">
    <w:p w:rsidR="00000000" w:rsidDel="00000000" w:rsidP="00000000" w:rsidRDefault="00000000" w:rsidRPr="00000000" w14:paraId="0000003E">
      <w:pPr>
        <w:spacing w:line="240" w:lineRule="auto"/>
        <w:rPr>
          <w:rFonts w:ascii="Times New Roman" w:cs="Times New Roman" w:eastAsia="Times New Roman" w:hAnsi="Times New Roman"/>
          <w:sz w:val="20"/>
          <w:szCs w:val="20"/>
        </w:rPr>
      </w:pPr>
      <w:r w:rsidDel="00000000" w:rsidR="00000000" w:rsidRPr="00000000">
        <w:rPr>
          <w:rStyle w:val="FootnoteReference"/>
          <w:vertAlign w:val="superscript"/>
        </w:rPr>
        <w:footnoteRef/>
      </w:r>
      <w:r w:rsidDel="00000000" w:rsidR="00000000" w:rsidRPr="00000000">
        <w:rPr>
          <w:rFonts w:ascii="Times New Roman" w:cs="Times New Roman" w:eastAsia="Times New Roman" w:hAnsi="Times New Roman"/>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ibid</w:t>
      </w:r>
      <w:r w:rsidDel="00000000" w:rsidR="00000000" w:rsidRPr="00000000">
        <w:rPr>
          <w:rFonts w:ascii="Times New Roman" w:cs="Times New Roman" w:eastAsia="Times New Roman" w:hAnsi="Times New Roman"/>
          <w:sz w:val="20"/>
          <w:szCs w:val="20"/>
          <w:rtl w:val="0"/>
        </w:rPr>
        <w:t xml:space="preserve">, 56</w:t>
      </w:r>
    </w:p>
  </w:footnote>
  <w:footnote w:id="6">
    <w:p w:rsidR="00000000" w:rsidDel="00000000" w:rsidP="00000000" w:rsidRDefault="00000000" w:rsidRPr="00000000" w14:paraId="0000003F">
      <w:pPr>
        <w:spacing w:line="240" w:lineRule="auto"/>
        <w:rPr>
          <w:sz w:val="20"/>
          <w:szCs w:val="20"/>
        </w:rPr>
      </w:pPr>
      <w:r w:rsidDel="00000000" w:rsidR="00000000" w:rsidRPr="00000000">
        <w:rPr>
          <w:rStyle w:val="FootnoteReference"/>
          <w:vertAlign w:val="superscript"/>
        </w:rPr>
        <w:footnoteRef/>
      </w:r>
      <w:r w:rsidDel="00000000" w:rsidR="00000000" w:rsidRPr="00000000">
        <w:rPr>
          <w:sz w:val="20"/>
          <w:szCs w:val="20"/>
          <w:rtl w:val="0"/>
        </w:rPr>
        <w:t xml:space="preserve"> </w:t>
      </w:r>
      <w:r w:rsidDel="00000000" w:rsidR="00000000" w:rsidRPr="00000000">
        <w:rPr>
          <w:rFonts w:ascii="Times New Roman" w:cs="Times New Roman" w:eastAsia="Times New Roman" w:hAnsi="Times New Roman"/>
          <w:i w:val="1"/>
          <w:sz w:val="20"/>
          <w:szCs w:val="20"/>
          <w:rtl w:val="0"/>
        </w:rPr>
        <w:t xml:space="preserve">ibid , </w:t>
      </w:r>
      <w:r w:rsidDel="00000000" w:rsidR="00000000" w:rsidRPr="00000000">
        <w:rPr>
          <w:rFonts w:ascii="Times New Roman" w:cs="Times New Roman" w:eastAsia="Times New Roman" w:hAnsi="Times New Roman"/>
          <w:sz w:val="20"/>
          <w:szCs w:val="20"/>
          <w:rtl w:val="0"/>
        </w:rPr>
        <w:t xml:space="preserve">pg. 55</w:t>
      </w:r>
      <w:r w:rsidDel="00000000" w:rsidR="00000000" w:rsidRPr="00000000">
        <w:rPr>
          <w:rtl w:val="0"/>
        </w:rPr>
      </w:r>
    </w:p>
  </w:footnote>
</w:footnote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footnotes" Target="footnotes.xml"/><Relationship Id="rId5" Type="http://schemas.openxmlformats.org/officeDocument/2006/relationships/numbering" Target="numbering.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