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E48E5" w14:textId="58905684" w:rsidR="0094646C" w:rsidRDefault="00B130D2">
      <w:pPr>
        <w:rPr>
          <w:sz w:val="36"/>
          <w:szCs w:val="36"/>
        </w:rPr>
      </w:pPr>
      <w:r>
        <w:rPr>
          <w:sz w:val="36"/>
          <w:szCs w:val="36"/>
        </w:rPr>
        <w:t>Student Name: Cristian Florian Olaru</w:t>
      </w:r>
    </w:p>
    <w:p w14:paraId="33D99F78" w14:textId="782FD0CE" w:rsidR="00B130D2" w:rsidRPr="00B130D2" w:rsidRDefault="00B130D2">
      <w:pPr>
        <w:rPr>
          <w:sz w:val="36"/>
          <w:szCs w:val="36"/>
        </w:rPr>
      </w:pPr>
      <w:r>
        <w:rPr>
          <w:sz w:val="36"/>
          <w:szCs w:val="36"/>
        </w:rPr>
        <w:t>Student ID Number: 2025410</w:t>
      </w:r>
    </w:p>
    <w:p w14:paraId="3AC68BAA" w14:textId="273B041E" w:rsidR="00E143D0" w:rsidRDefault="00B130D2" w:rsidP="00245108">
      <w:pPr>
        <w:rPr>
          <w:sz w:val="36"/>
          <w:szCs w:val="36"/>
        </w:rPr>
      </w:pPr>
      <w:r>
        <w:rPr>
          <w:sz w:val="36"/>
          <w:szCs w:val="36"/>
        </w:rPr>
        <w:t>Module:</w:t>
      </w:r>
      <w:r w:rsidR="00245108">
        <w:rPr>
          <w:sz w:val="36"/>
          <w:szCs w:val="36"/>
        </w:rPr>
        <w:t xml:space="preserve"> </w:t>
      </w:r>
      <w:r w:rsidR="00E977DA">
        <w:rPr>
          <w:sz w:val="36"/>
          <w:szCs w:val="36"/>
        </w:rPr>
        <w:t>Financial Management for the Hotel Industry BMIH5007</w:t>
      </w:r>
    </w:p>
    <w:p w14:paraId="4633FFBB" w14:textId="7E871B37" w:rsidR="00E977DA" w:rsidRPr="00B130D2" w:rsidRDefault="00E977DA">
      <w:pPr>
        <w:rPr>
          <w:sz w:val="36"/>
          <w:szCs w:val="36"/>
        </w:rPr>
      </w:pPr>
      <w:r>
        <w:rPr>
          <w:sz w:val="36"/>
          <w:szCs w:val="36"/>
        </w:rPr>
        <w:t>Lecturer: Dale Clarke</w:t>
      </w:r>
    </w:p>
    <w:p w14:paraId="2E40A650" w14:textId="77777777" w:rsidR="00E977DA" w:rsidRDefault="00E977DA" w:rsidP="00E977DA">
      <w:pPr>
        <w:pStyle w:val="NoSpacing"/>
        <w:rPr>
          <w:sz w:val="36"/>
          <w:szCs w:val="36"/>
        </w:rPr>
      </w:pPr>
    </w:p>
    <w:p w14:paraId="5AA42730" w14:textId="3FEBEE0B" w:rsidR="00F5266B" w:rsidRPr="00E977DA" w:rsidRDefault="00E977DA" w:rsidP="00E977DA">
      <w:pPr>
        <w:pStyle w:val="NoSpacing"/>
        <w:rPr>
          <w:sz w:val="36"/>
          <w:szCs w:val="36"/>
        </w:rPr>
      </w:pPr>
      <w:r>
        <w:rPr>
          <w:sz w:val="36"/>
          <w:szCs w:val="36"/>
        </w:rPr>
        <w:t xml:space="preserve">Assignment 2:     </w:t>
      </w:r>
      <w:r w:rsidRPr="00E977DA">
        <w:rPr>
          <w:sz w:val="44"/>
          <w:szCs w:val="44"/>
        </w:rPr>
        <w:t>Marriott International</w:t>
      </w:r>
    </w:p>
    <w:p w14:paraId="65530533" w14:textId="79AD6187" w:rsidR="00E143D0" w:rsidRPr="00E977DA" w:rsidRDefault="00E143D0" w:rsidP="00E977DA">
      <w:pPr>
        <w:pStyle w:val="Title"/>
        <w:rPr>
          <w:sz w:val="36"/>
          <w:szCs w:val="36"/>
        </w:rPr>
      </w:pPr>
    </w:p>
    <w:p w14:paraId="7FCDF474" w14:textId="1B27F1AA" w:rsidR="00E143D0" w:rsidRDefault="00E143D0"/>
    <w:p w14:paraId="666ED368" w14:textId="44B13604" w:rsidR="00E143D0" w:rsidRDefault="00E143D0"/>
    <w:p w14:paraId="5D720D3F" w14:textId="7B7302E6" w:rsidR="00E143D0" w:rsidRDefault="00E143D0"/>
    <w:p w14:paraId="064329AB" w14:textId="59A23F30" w:rsidR="00E143D0" w:rsidRDefault="00E143D0"/>
    <w:p w14:paraId="405F0BE0" w14:textId="19575862" w:rsidR="00E143D0" w:rsidRDefault="00E143D0"/>
    <w:p w14:paraId="46E6706F" w14:textId="11741B15" w:rsidR="00E143D0" w:rsidRDefault="00E143D0"/>
    <w:p w14:paraId="2E3FB66B" w14:textId="5D45ECC7" w:rsidR="00E143D0" w:rsidRDefault="00E143D0"/>
    <w:p w14:paraId="5E997A30" w14:textId="40F172DB" w:rsidR="00E143D0" w:rsidRDefault="00E143D0"/>
    <w:p w14:paraId="09D01939" w14:textId="0F645522" w:rsidR="00E143D0" w:rsidRDefault="00E143D0"/>
    <w:p w14:paraId="1722C063" w14:textId="2B3B50EF" w:rsidR="00E143D0" w:rsidRDefault="00E143D0"/>
    <w:p w14:paraId="1D9CB8CB" w14:textId="206A00AA" w:rsidR="00E143D0" w:rsidRDefault="00E143D0"/>
    <w:p w14:paraId="1DA84716" w14:textId="5BBBDBDA" w:rsidR="00E143D0" w:rsidRDefault="00E143D0"/>
    <w:p w14:paraId="50EE1143" w14:textId="581913BA" w:rsidR="00E143D0" w:rsidRDefault="00E143D0"/>
    <w:p w14:paraId="55169EFC" w14:textId="5FDE1046" w:rsidR="00E143D0" w:rsidRDefault="00E143D0"/>
    <w:p w14:paraId="65232864" w14:textId="10D171CD" w:rsidR="00E143D0" w:rsidRDefault="00E143D0"/>
    <w:p w14:paraId="3D60BF91" w14:textId="43A1E77B" w:rsidR="00E143D0" w:rsidRDefault="00E143D0"/>
    <w:p w14:paraId="353A304D" w14:textId="6BF9C066" w:rsidR="00E143D0" w:rsidRPr="00F5266B" w:rsidRDefault="00A6470E">
      <w:pPr>
        <w:rPr>
          <w:b/>
          <w:bCs/>
          <w:sz w:val="28"/>
        </w:rPr>
      </w:pPr>
      <w:r w:rsidRPr="00F5266B">
        <w:rPr>
          <w:b/>
          <w:bCs/>
          <w:sz w:val="28"/>
        </w:rPr>
        <w:t>Executive Summary</w:t>
      </w:r>
    </w:p>
    <w:p w14:paraId="73D4B2F5" w14:textId="195CBB95" w:rsidR="00ED5F77" w:rsidRDefault="00F5266B">
      <w:r>
        <w:t xml:space="preserve">This research aims at elaborating </w:t>
      </w:r>
      <w:r w:rsidR="00073F08">
        <w:t xml:space="preserve">on </w:t>
      </w:r>
      <w:r>
        <w:t>the use of accounting ratios to express business proces</w:t>
      </w:r>
      <w:r w:rsidR="00073F08">
        <w:t>se</w:t>
      </w:r>
      <w:r>
        <w:t>s and performance during each financial year. In terms of exploring these, financial ratios like profitability, liquidity and gearing ratios are evaluated for 2020 and 2021. Here, the difference assist</w:t>
      </w:r>
      <w:r w:rsidR="00073F08">
        <w:t>s</w:t>
      </w:r>
      <w:r>
        <w:t xml:space="preserve"> in setting a roadmap for future business strategy and goals. </w:t>
      </w:r>
      <w:r w:rsidR="002F2BE5">
        <w:t>It is found that Marriot</w:t>
      </w:r>
      <w:r w:rsidR="00073F08">
        <w:t>'s</w:t>
      </w:r>
      <w:r w:rsidR="002F2BE5">
        <w:t xml:space="preserve"> financial performance</w:t>
      </w:r>
      <w:r w:rsidR="00954BA5">
        <w:t xml:space="preserve"> as </w:t>
      </w:r>
      <w:r w:rsidR="00073F08">
        <w:t>of</w:t>
      </w:r>
      <w:r w:rsidR="00954BA5">
        <w:t xml:space="preserve"> 2021</w:t>
      </w:r>
      <w:r w:rsidR="002F2BE5">
        <w:t xml:space="preserve"> is better </w:t>
      </w:r>
      <w:r w:rsidR="00073F08">
        <w:t>than that of 2020,</w:t>
      </w:r>
      <w:r w:rsidR="00954BA5">
        <w:t xml:space="preserve"> </w:t>
      </w:r>
      <w:r w:rsidR="00073F08">
        <w:t>and</w:t>
      </w:r>
      <w:r w:rsidR="00954BA5">
        <w:t xml:space="preserve"> most of the investors are interested </w:t>
      </w:r>
      <w:r w:rsidR="00073F08">
        <w:t>in investing</w:t>
      </w:r>
      <w:r w:rsidR="00954BA5">
        <w:t xml:space="preserve"> in the organisation to achieve </w:t>
      </w:r>
      <w:r w:rsidR="00073F08">
        <w:t>its</w:t>
      </w:r>
      <w:r w:rsidR="00954BA5">
        <w:t xml:space="preserve"> purpose. It is seen that most of the accounting ratios are </w:t>
      </w:r>
      <w:r w:rsidR="00280D44">
        <w:t>clarified regarding the financial performance, which impacts highlighting the ability of the company to mitigate all the long and short-term obligation</w:t>
      </w:r>
      <w:r w:rsidR="00073F08">
        <w:t>s</w:t>
      </w:r>
      <w:r w:rsidR="00280D44">
        <w:t xml:space="preserve">. </w:t>
      </w:r>
      <w:r w:rsidR="00ED5F77">
        <w:t>The financial performance in 2020 was not better</w:t>
      </w:r>
      <w:r w:rsidR="00073F08">
        <w:t>,</w:t>
      </w:r>
      <w:r w:rsidR="00ED5F77">
        <w:t xml:space="preserve"> as seen from the accounting ratio analysis, which indicates </w:t>
      </w:r>
      <w:r w:rsidR="00073F08">
        <w:t>an unnatural</w:t>
      </w:r>
      <w:r w:rsidR="00ED5F77">
        <w:t xml:space="preserve"> </w:t>
      </w:r>
      <w:r w:rsidR="00624B16">
        <w:t xml:space="preserve">condition than the condition of 2021.  </w:t>
      </w:r>
    </w:p>
    <w:p w14:paraId="264F1C3B" w14:textId="43FAD315" w:rsidR="00E143D0" w:rsidRDefault="00E143D0"/>
    <w:p w14:paraId="0880A9B2" w14:textId="4AFAB5B4" w:rsidR="00E143D0" w:rsidRDefault="00E143D0"/>
    <w:p w14:paraId="0F19A265" w14:textId="6577B4A9" w:rsidR="00E143D0" w:rsidRDefault="00E143D0"/>
    <w:p w14:paraId="3C5AAB89" w14:textId="7D736F12" w:rsidR="00E143D0" w:rsidRDefault="00E143D0"/>
    <w:p w14:paraId="5079109B" w14:textId="4F7EE8F1" w:rsidR="00E143D0" w:rsidRDefault="00E143D0"/>
    <w:p w14:paraId="52BB4F33" w14:textId="76DA35B6" w:rsidR="00E143D0" w:rsidRDefault="00E143D0"/>
    <w:p w14:paraId="2C4B6D52" w14:textId="64ADB356" w:rsidR="00E143D0" w:rsidRDefault="00E143D0"/>
    <w:p w14:paraId="76C5CE32" w14:textId="1D8439D8" w:rsidR="00E143D0" w:rsidRDefault="00E143D0"/>
    <w:p w14:paraId="74ABD9AC" w14:textId="7FCAA340" w:rsidR="00E143D0" w:rsidRDefault="00E143D0"/>
    <w:p w14:paraId="1BE5D38D" w14:textId="5AF18118" w:rsidR="00E143D0" w:rsidRDefault="00E143D0"/>
    <w:p w14:paraId="7DF24A62" w14:textId="531C9B8B" w:rsidR="00E143D0" w:rsidRDefault="00E143D0"/>
    <w:p w14:paraId="0B880CC6" w14:textId="7D5EC345" w:rsidR="00E143D0" w:rsidRDefault="00E143D0"/>
    <w:p w14:paraId="377628E0" w14:textId="4B0AE820" w:rsidR="00E143D0" w:rsidRDefault="00E143D0"/>
    <w:p w14:paraId="7C77E9CA" w14:textId="1F50E63E" w:rsidR="00E143D0" w:rsidRDefault="00E143D0"/>
    <w:p w14:paraId="7D9D95BD" w14:textId="21865CDD" w:rsidR="00E143D0" w:rsidRDefault="00E143D0"/>
    <w:p w14:paraId="7BED7B0C" w14:textId="6096885F" w:rsidR="00E143D0" w:rsidRDefault="00E143D0"/>
    <w:sdt>
      <w:sdtPr>
        <w:rPr>
          <w:rFonts w:ascii="Times New Roman" w:eastAsiaTheme="minorHAnsi" w:hAnsi="Times New Roman" w:cstheme="minorBidi"/>
          <w:color w:val="auto"/>
          <w:sz w:val="24"/>
          <w:szCs w:val="28"/>
          <w:lang w:val="en-IN" w:bidi="th-TH"/>
        </w:rPr>
        <w:id w:val="1973095147"/>
        <w:docPartObj>
          <w:docPartGallery w:val="Table of Contents"/>
          <w:docPartUnique/>
        </w:docPartObj>
      </w:sdtPr>
      <w:sdtEndPr>
        <w:rPr>
          <w:b/>
          <w:bCs/>
          <w:noProof/>
        </w:rPr>
      </w:sdtEndPr>
      <w:sdtContent>
        <w:p w14:paraId="258F0515" w14:textId="41CB9988" w:rsidR="00A6470E" w:rsidRDefault="00A6470E">
          <w:pPr>
            <w:pStyle w:val="TOCHeading"/>
          </w:pPr>
          <w:r>
            <w:t>Table of Contents</w:t>
          </w:r>
        </w:p>
        <w:p w14:paraId="30847BB5" w14:textId="77777777" w:rsidR="002351C5" w:rsidRDefault="002F2BE5">
          <w:pPr>
            <w:pStyle w:val="TOC1"/>
            <w:tabs>
              <w:tab w:val="right" w:leader="dot" w:pos="9016"/>
            </w:tabs>
            <w:rPr>
              <w:rFonts w:asciiTheme="minorHAnsi" w:eastAsiaTheme="minorEastAsia" w:hAnsiTheme="minorHAnsi"/>
              <w:noProof/>
              <w:sz w:val="22"/>
              <w:szCs w:val="22"/>
              <w:lang w:eastAsia="en-IN" w:bidi="ar-SA"/>
            </w:rPr>
          </w:pPr>
          <w:r>
            <w:fldChar w:fldCharType="begin"/>
          </w:r>
          <w:r>
            <w:instrText xml:space="preserve"> TOC \o "1-3" \h \z \u </w:instrText>
          </w:r>
          <w:r>
            <w:fldChar w:fldCharType="separate"/>
          </w:r>
          <w:hyperlink w:anchor="_Toc119599529" w:history="1">
            <w:r w:rsidR="002351C5" w:rsidRPr="004A6CF7">
              <w:rPr>
                <w:rStyle w:val="Hyperlink"/>
                <w:noProof/>
              </w:rPr>
              <w:t>Introduction</w:t>
            </w:r>
            <w:r w:rsidR="002351C5">
              <w:rPr>
                <w:noProof/>
                <w:webHidden/>
              </w:rPr>
              <w:tab/>
            </w:r>
            <w:r w:rsidR="002351C5">
              <w:rPr>
                <w:noProof/>
                <w:webHidden/>
              </w:rPr>
              <w:fldChar w:fldCharType="begin"/>
            </w:r>
            <w:r w:rsidR="002351C5">
              <w:rPr>
                <w:noProof/>
                <w:webHidden/>
              </w:rPr>
              <w:instrText xml:space="preserve"> PAGEREF _Toc119599529 \h </w:instrText>
            </w:r>
            <w:r w:rsidR="002351C5">
              <w:rPr>
                <w:noProof/>
                <w:webHidden/>
              </w:rPr>
            </w:r>
            <w:r w:rsidR="002351C5">
              <w:rPr>
                <w:noProof/>
                <w:webHidden/>
              </w:rPr>
              <w:fldChar w:fldCharType="separate"/>
            </w:r>
            <w:r w:rsidR="002351C5">
              <w:rPr>
                <w:noProof/>
                <w:webHidden/>
              </w:rPr>
              <w:t>4</w:t>
            </w:r>
            <w:r w:rsidR="002351C5">
              <w:rPr>
                <w:noProof/>
                <w:webHidden/>
              </w:rPr>
              <w:fldChar w:fldCharType="end"/>
            </w:r>
          </w:hyperlink>
        </w:p>
        <w:p w14:paraId="658AAC90" w14:textId="77777777" w:rsidR="002351C5" w:rsidRDefault="00000000">
          <w:pPr>
            <w:pStyle w:val="TOC1"/>
            <w:tabs>
              <w:tab w:val="right" w:leader="dot" w:pos="9016"/>
            </w:tabs>
            <w:rPr>
              <w:rFonts w:asciiTheme="minorHAnsi" w:eastAsiaTheme="minorEastAsia" w:hAnsiTheme="minorHAnsi"/>
              <w:noProof/>
              <w:sz w:val="22"/>
              <w:szCs w:val="22"/>
              <w:lang w:eastAsia="en-IN" w:bidi="ar-SA"/>
            </w:rPr>
          </w:pPr>
          <w:hyperlink w:anchor="_Toc119599530" w:history="1">
            <w:r w:rsidR="002351C5" w:rsidRPr="004A6CF7">
              <w:rPr>
                <w:rStyle w:val="Hyperlink"/>
                <w:noProof/>
              </w:rPr>
              <w:t>Financial Performance Evaluation Trend</w:t>
            </w:r>
            <w:r w:rsidR="002351C5">
              <w:rPr>
                <w:noProof/>
                <w:webHidden/>
              </w:rPr>
              <w:tab/>
            </w:r>
            <w:r w:rsidR="002351C5">
              <w:rPr>
                <w:noProof/>
                <w:webHidden/>
              </w:rPr>
              <w:fldChar w:fldCharType="begin"/>
            </w:r>
            <w:r w:rsidR="002351C5">
              <w:rPr>
                <w:noProof/>
                <w:webHidden/>
              </w:rPr>
              <w:instrText xml:space="preserve"> PAGEREF _Toc119599530 \h </w:instrText>
            </w:r>
            <w:r w:rsidR="002351C5">
              <w:rPr>
                <w:noProof/>
                <w:webHidden/>
              </w:rPr>
            </w:r>
            <w:r w:rsidR="002351C5">
              <w:rPr>
                <w:noProof/>
                <w:webHidden/>
              </w:rPr>
              <w:fldChar w:fldCharType="separate"/>
            </w:r>
            <w:r w:rsidR="002351C5">
              <w:rPr>
                <w:noProof/>
                <w:webHidden/>
              </w:rPr>
              <w:t>4</w:t>
            </w:r>
            <w:r w:rsidR="002351C5">
              <w:rPr>
                <w:noProof/>
                <w:webHidden/>
              </w:rPr>
              <w:fldChar w:fldCharType="end"/>
            </w:r>
          </w:hyperlink>
        </w:p>
        <w:p w14:paraId="140AFA0A" w14:textId="77777777" w:rsidR="002351C5" w:rsidRDefault="00000000">
          <w:pPr>
            <w:pStyle w:val="TOC2"/>
            <w:tabs>
              <w:tab w:val="right" w:leader="dot" w:pos="9016"/>
            </w:tabs>
            <w:rPr>
              <w:rFonts w:asciiTheme="minorHAnsi" w:eastAsiaTheme="minorEastAsia" w:hAnsiTheme="minorHAnsi"/>
              <w:noProof/>
              <w:sz w:val="22"/>
              <w:szCs w:val="22"/>
              <w:lang w:eastAsia="en-IN" w:bidi="ar-SA"/>
            </w:rPr>
          </w:pPr>
          <w:hyperlink w:anchor="_Toc119599531" w:history="1">
            <w:r w:rsidR="002351C5" w:rsidRPr="004A6CF7">
              <w:rPr>
                <w:rStyle w:val="Hyperlink"/>
                <w:noProof/>
              </w:rPr>
              <w:t>Profitability</w:t>
            </w:r>
            <w:r w:rsidR="002351C5">
              <w:rPr>
                <w:noProof/>
                <w:webHidden/>
              </w:rPr>
              <w:tab/>
            </w:r>
            <w:r w:rsidR="002351C5">
              <w:rPr>
                <w:noProof/>
                <w:webHidden/>
              </w:rPr>
              <w:fldChar w:fldCharType="begin"/>
            </w:r>
            <w:r w:rsidR="002351C5">
              <w:rPr>
                <w:noProof/>
                <w:webHidden/>
              </w:rPr>
              <w:instrText xml:space="preserve"> PAGEREF _Toc119599531 \h </w:instrText>
            </w:r>
            <w:r w:rsidR="002351C5">
              <w:rPr>
                <w:noProof/>
                <w:webHidden/>
              </w:rPr>
            </w:r>
            <w:r w:rsidR="002351C5">
              <w:rPr>
                <w:noProof/>
                <w:webHidden/>
              </w:rPr>
              <w:fldChar w:fldCharType="separate"/>
            </w:r>
            <w:r w:rsidR="002351C5">
              <w:rPr>
                <w:noProof/>
                <w:webHidden/>
              </w:rPr>
              <w:t>4</w:t>
            </w:r>
            <w:r w:rsidR="002351C5">
              <w:rPr>
                <w:noProof/>
                <w:webHidden/>
              </w:rPr>
              <w:fldChar w:fldCharType="end"/>
            </w:r>
          </w:hyperlink>
        </w:p>
        <w:p w14:paraId="0427106D" w14:textId="77777777" w:rsidR="002351C5" w:rsidRDefault="00000000">
          <w:pPr>
            <w:pStyle w:val="TOC2"/>
            <w:tabs>
              <w:tab w:val="right" w:leader="dot" w:pos="9016"/>
            </w:tabs>
            <w:rPr>
              <w:rFonts w:asciiTheme="minorHAnsi" w:eastAsiaTheme="minorEastAsia" w:hAnsiTheme="minorHAnsi"/>
              <w:noProof/>
              <w:sz w:val="22"/>
              <w:szCs w:val="22"/>
              <w:lang w:eastAsia="en-IN" w:bidi="ar-SA"/>
            </w:rPr>
          </w:pPr>
          <w:hyperlink w:anchor="_Toc119599532" w:history="1">
            <w:r w:rsidR="002351C5" w:rsidRPr="004A6CF7">
              <w:rPr>
                <w:rStyle w:val="Hyperlink"/>
                <w:noProof/>
              </w:rPr>
              <w:t>Liquidity</w:t>
            </w:r>
            <w:r w:rsidR="002351C5">
              <w:rPr>
                <w:noProof/>
                <w:webHidden/>
              </w:rPr>
              <w:tab/>
            </w:r>
            <w:r w:rsidR="002351C5">
              <w:rPr>
                <w:noProof/>
                <w:webHidden/>
              </w:rPr>
              <w:fldChar w:fldCharType="begin"/>
            </w:r>
            <w:r w:rsidR="002351C5">
              <w:rPr>
                <w:noProof/>
                <w:webHidden/>
              </w:rPr>
              <w:instrText xml:space="preserve"> PAGEREF _Toc119599532 \h </w:instrText>
            </w:r>
            <w:r w:rsidR="002351C5">
              <w:rPr>
                <w:noProof/>
                <w:webHidden/>
              </w:rPr>
            </w:r>
            <w:r w:rsidR="002351C5">
              <w:rPr>
                <w:noProof/>
                <w:webHidden/>
              </w:rPr>
              <w:fldChar w:fldCharType="separate"/>
            </w:r>
            <w:r w:rsidR="002351C5">
              <w:rPr>
                <w:noProof/>
                <w:webHidden/>
              </w:rPr>
              <w:t>7</w:t>
            </w:r>
            <w:r w:rsidR="002351C5">
              <w:rPr>
                <w:noProof/>
                <w:webHidden/>
              </w:rPr>
              <w:fldChar w:fldCharType="end"/>
            </w:r>
          </w:hyperlink>
        </w:p>
        <w:p w14:paraId="69ADE150" w14:textId="77777777" w:rsidR="002351C5" w:rsidRDefault="00000000">
          <w:pPr>
            <w:pStyle w:val="TOC2"/>
            <w:tabs>
              <w:tab w:val="right" w:leader="dot" w:pos="9016"/>
            </w:tabs>
            <w:rPr>
              <w:rFonts w:asciiTheme="minorHAnsi" w:eastAsiaTheme="minorEastAsia" w:hAnsiTheme="minorHAnsi"/>
              <w:noProof/>
              <w:sz w:val="22"/>
              <w:szCs w:val="22"/>
              <w:lang w:eastAsia="en-IN" w:bidi="ar-SA"/>
            </w:rPr>
          </w:pPr>
          <w:hyperlink w:anchor="_Toc119599533" w:history="1">
            <w:r w:rsidR="002351C5" w:rsidRPr="004A6CF7">
              <w:rPr>
                <w:rStyle w:val="Hyperlink"/>
                <w:noProof/>
              </w:rPr>
              <w:t>Gearing</w:t>
            </w:r>
            <w:r w:rsidR="002351C5">
              <w:rPr>
                <w:noProof/>
                <w:webHidden/>
              </w:rPr>
              <w:tab/>
            </w:r>
            <w:r w:rsidR="002351C5">
              <w:rPr>
                <w:noProof/>
                <w:webHidden/>
              </w:rPr>
              <w:fldChar w:fldCharType="begin"/>
            </w:r>
            <w:r w:rsidR="002351C5">
              <w:rPr>
                <w:noProof/>
                <w:webHidden/>
              </w:rPr>
              <w:instrText xml:space="preserve"> PAGEREF _Toc119599533 \h </w:instrText>
            </w:r>
            <w:r w:rsidR="002351C5">
              <w:rPr>
                <w:noProof/>
                <w:webHidden/>
              </w:rPr>
            </w:r>
            <w:r w:rsidR="002351C5">
              <w:rPr>
                <w:noProof/>
                <w:webHidden/>
              </w:rPr>
              <w:fldChar w:fldCharType="separate"/>
            </w:r>
            <w:r w:rsidR="002351C5">
              <w:rPr>
                <w:noProof/>
                <w:webHidden/>
              </w:rPr>
              <w:t>9</w:t>
            </w:r>
            <w:r w:rsidR="002351C5">
              <w:rPr>
                <w:noProof/>
                <w:webHidden/>
              </w:rPr>
              <w:fldChar w:fldCharType="end"/>
            </w:r>
          </w:hyperlink>
        </w:p>
        <w:p w14:paraId="4EA9B159" w14:textId="77777777" w:rsidR="002351C5" w:rsidRDefault="00000000">
          <w:pPr>
            <w:pStyle w:val="TOC1"/>
            <w:tabs>
              <w:tab w:val="right" w:leader="dot" w:pos="9016"/>
            </w:tabs>
            <w:rPr>
              <w:rFonts w:asciiTheme="minorHAnsi" w:eastAsiaTheme="minorEastAsia" w:hAnsiTheme="minorHAnsi"/>
              <w:noProof/>
              <w:sz w:val="22"/>
              <w:szCs w:val="22"/>
              <w:lang w:eastAsia="en-IN" w:bidi="ar-SA"/>
            </w:rPr>
          </w:pPr>
          <w:hyperlink w:anchor="_Toc119599534" w:history="1">
            <w:r w:rsidR="002351C5" w:rsidRPr="004A6CF7">
              <w:rPr>
                <w:rStyle w:val="Hyperlink"/>
                <w:noProof/>
              </w:rPr>
              <w:t>Interpretations from the Ratio Analysis</w:t>
            </w:r>
            <w:r w:rsidR="002351C5">
              <w:rPr>
                <w:noProof/>
                <w:webHidden/>
              </w:rPr>
              <w:tab/>
            </w:r>
            <w:r w:rsidR="002351C5">
              <w:rPr>
                <w:noProof/>
                <w:webHidden/>
              </w:rPr>
              <w:fldChar w:fldCharType="begin"/>
            </w:r>
            <w:r w:rsidR="002351C5">
              <w:rPr>
                <w:noProof/>
                <w:webHidden/>
              </w:rPr>
              <w:instrText xml:space="preserve"> PAGEREF _Toc119599534 \h </w:instrText>
            </w:r>
            <w:r w:rsidR="002351C5">
              <w:rPr>
                <w:noProof/>
                <w:webHidden/>
              </w:rPr>
            </w:r>
            <w:r w:rsidR="002351C5">
              <w:rPr>
                <w:noProof/>
                <w:webHidden/>
              </w:rPr>
              <w:fldChar w:fldCharType="separate"/>
            </w:r>
            <w:r w:rsidR="002351C5">
              <w:rPr>
                <w:noProof/>
                <w:webHidden/>
              </w:rPr>
              <w:t>10</w:t>
            </w:r>
            <w:r w:rsidR="002351C5">
              <w:rPr>
                <w:noProof/>
                <w:webHidden/>
              </w:rPr>
              <w:fldChar w:fldCharType="end"/>
            </w:r>
          </w:hyperlink>
        </w:p>
        <w:p w14:paraId="5F0583C3" w14:textId="77777777" w:rsidR="002351C5" w:rsidRDefault="00000000">
          <w:pPr>
            <w:pStyle w:val="TOC1"/>
            <w:tabs>
              <w:tab w:val="right" w:leader="dot" w:pos="9016"/>
            </w:tabs>
            <w:rPr>
              <w:rFonts w:asciiTheme="minorHAnsi" w:eastAsiaTheme="minorEastAsia" w:hAnsiTheme="minorHAnsi"/>
              <w:noProof/>
              <w:sz w:val="22"/>
              <w:szCs w:val="22"/>
              <w:lang w:eastAsia="en-IN" w:bidi="ar-SA"/>
            </w:rPr>
          </w:pPr>
          <w:hyperlink w:anchor="_Toc119599535" w:history="1">
            <w:r w:rsidR="002351C5" w:rsidRPr="004A6CF7">
              <w:rPr>
                <w:rStyle w:val="Hyperlink"/>
                <w:noProof/>
              </w:rPr>
              <w:t>Advantages and disadvantages of Accounting Ratios</w:t>
            </w:r>
            <w:r w:rsidR="002351C5">
              <w:rPr>
                <w:noProof/>
                <w:webHidden/>
              </w:rPr>
              <w:tab/>
            </w:r>
            <w:r w:rsidR="002351C5">
              <w:rPr>
                <w:noProof/>
                <w:webHidden/>
              </w:rPr>
              <w:fldChar w:fldCharType="begin"/>
            </w:r>
            <w:r w:rsidR="002351C5">
              <w:rPr>
                <w:noProof/>
                <w:webHidden/>
              </w:rPr>
              <w:instrText xml:space="preserve"> PAGEREF _Toc119599535 \h </w:instrText>
            </w:r>
            <w:r w:rsidR="002351C5">
              <w:rPr>
                <w:noProof/>
                <w:webHidden/>
              </w:rPr>
            </w:r>
            <w:r w:rsidR="002351C5">
              <w:rPr>
                <w:noProof/>
                <w:webHidden/>
              </w:rPr>
              <w:fldChar w:fldCharType="separate"/>
            </w:r>
            <w:r w:rsidR="002351C5">
              <w:rPr>
                <w:noProof/>
                <w:webHidden/>
              </w:rPr>
              <w:t>11</w:t>
            </w:r>
            <w:r w:rsidR="002351C5">
              <w:rPr>
                <w:noProof/>
                <w:webHidden/>
              </w:rPr>
              <w:fldChar w:fldCharType="end"/>
            </w:r>
          </w:hyperlink>
        </w:p>
        <w:p w14:paraId="719CC746" w14:textId="77777777" w:rsidR="002351C5" w:rsidRDefault="00000000">
          <w:pPr>
            <w:pStyle w:val="TOC1"/>
            <w:tabs>
              <w:tab w:val="right" w:leader="dot" w:pos="9016"/>
            </w:tabs>
            <w:rPr>
              <w:rFonts w:asciiTheme="minorHAnsi" w:eastAsiaTheme="minorEastAsia" w:hAnsiTheme="minorHAnsi"/>
              <w:noProof/>
              <w:sz w:val="22"/>
              <w:szCs w:val="22"/>
              <w:lang w:eastAsia="en-IN" w:bidi="ar-SA"/>
            </w:rPr>
          </w:pPr>
          <w:hyperlink w:anchor="_Toc119599536" w:history="1">
            <w:r w:rsidR="002351C5" w:rsidRPr="004A6CF7">
              <w:rPr>
                <w:rStyle w:val="Hyperlink"/>
                <w:noProof/>
              </w:rPr>
              <w:t>Conclusion</w:t>
            </w:r>
            <w:r w:rsidR="002351C5">
              <w:rPr>
                <w:noProof/>
                <w:webHidden/>
              </w:rPr>
              <w:tab/>
            </w:r>
            <w:r w:rsidR="002351C5">
              <w:rPr>
                <w:noProof/>
                <w:webHidden/>
              </w:rPr>
              <w:fldChar w:fldCharType="begin"/>
            </w:r>
            <w:r w:rsidR="002351C5">
              <w:rPr>
                <w:noProof/>
                <w:webHidden/>
              </w:rPr>
              <w:instrText xml:space="preserve"> PAGEREF _Toc119599536 \h </w:instrText>
            </w:r>
            <w:r w:rsidR="002351C5">
              <w:rPr>
                <w:noProof/>
                <w:webHidden/>
              </w:rPr>
            </w:r>
            <w:r w:rsidR="002351C5">
              <w:rPr>
                <w:noProof/>
                <w:webHidden/>
              </w:rPr>
              <w:fldChar w:fldCharType="separate"/>
            </w:r>
            <w:r w:rsidR="002351C5">
              <w:rPr>
                <w:noProof/>
                <w:webHidden/>
              </w:rPr>
              <w:t>12</w:t>
            </w:r>
            <w:r w:rsidR="002351C5">
              <w:rPr>
                <w:noProof/>
                <w:webHidden/>
              </w:rPr>
              <w:fldChar w:fldCharType="end"/>
            </w:r>
          </w:hyperlink>
        </w:p>
        <w:p w14:paraId="2695B6CD" w14:textId="77777777" w:rsidR="002351C5" w:rsidRDefault="00000000">
          <w:pPr>
            <w:pStyle w:val="TOC1"/>
            <w:tabs>
              <w:tab w:val="right" w:leader="dot" w:pos="9016"/>
            </w:tabs>
            <w:rPr>
              <w:rFonts w:asciiTheme="minorHAnsi" w:eastAsiaTheme="minorEastAsia" w:hAnsiTheme="minorHAnsi"/>
              <w:noProof/>
              <w:sz w:val="22"/>
              <w:szCs w:val="22"/>
              <w:lang w:eastAsia="en-IN" w:bidi="ar-SA"/>
            </w:rPr>
          </w:pPr>
          <w:hyperlink w:anchor="_Toc119599537" w:history="1">
            <w:r w:rsidR="002351C5" w:rsidRPr="004A6CF7">
              <w:rPr>
                <w:rStyle w:val="Hyperlink"/>
                <w:noProof/>
              </w:rPr>
              <w:t>References</w:t>
            </w:r>
            <w:r w:rsidR="002351C5">
              <w:rPr>
                <w:noProof/>
                <w:webHidden/>
              </w:rPr>
              <w:tab/>
            </w:r>
            <w:r w:rsidR="002351C5">
              <w:rPr>
                <w:noProof/>
                <w:webHidden/>
              </w:rPr>
              <w:fldChar w:fldCharType="begin"/>
            </w:r>
            <w:r w:rsidR="002351C5">
              <w:rPr>
                <w:noProof/>
                <w:webHidden/>
              </w:rPr>
              <w:instrText xml:space="preserve"> PAGEREF _Toc119599537 \h </w:instrText>
            </w:r>
            <w:r w:rsidR="002351C5">
              <w:rPr>
                <w:noProof/>
                <w:webHidden/>
              </w:rPr>
            </w:r>
            <w:r w:rsidR="002351C5">
              <w:rPr>
                <w:noProof/>
                <w:webHidden/>
              </w:rPr>
              <w:fldChar w:fldCharType="separate"/>
            </w:r>
            <w:r w:rsidR="002351C5">
              <w:rPr>
                <w:noProof/>
                <w:webHidden/>
              </w:rPr>
              <w:t>13</w:t>
            </w:r>
            <w:r w:rsidR="002351C5">
              <w:rPr>
                <w:noProof/>
                <w:webHidden/>
              </w:rPr>
              <w:fldChar w:fldCharType="end"/>
            </w:r>
          </w:hyperlink>
        </w:p>
        <w:p w14:paraId="7AC2BE2F" w14:textId="041C03D4" w:rsidR="00A6470E" w:rsidRDefault="002F2BE5">
          <w:r>
            <w:rPr>
              <w:b/>
              <w:bCs/>
              <w:noProof/>
              <w:lang w:val="en-US"/>
            </w:rPr>
            <w:fldChar w:fldCharType="end"/>
          </w:r>
        </w:p>
      </w:sdtContent>
    </w:sdt>
    <w:p w14:paraId="09FA9F06" w14:textId="6EB35BFB" w:rsidR="00E143D0" w:rsidRDefault="00E143D0"/>
    <w:p w14:paraId="71DC8BDD" w14:textId="34EE9BD7" w:rsidR="00E143D0" w:rsidRDefault="00E143D0"/>
    <w:p w14:paraId="40DD5901" w14:textId="06AC434C" w:rsidR="00E143D0" w:rsidRDefault="00E143D0"/>
    <w:p w14:paraId="199E7C79" w14:textId="7019FAD5" w:rsidR="00E143D0" w:rsidRDefault="00E143D0"/>
    <w:p w14:paraId="2FB8A528" w14:textId="59A4B909" w:rsidR="00E143D0" w:rsidRDefault="00E143D0"/>
    <w:p w14:paraId="1F5B6F61" w14:textId="11CC9F4D" w:rsidR="00E143D0" w:rsidRDefault="00E143D0"/>
    <w:p w14:paraId="72081640" w14:textId="3B4A87D1" w:rsidR="00E143D0" w:rsidRDefault="00E143D0"/>
    <w:p w14:paraId="35492C6D" w14:textId="533A20B9" w:rsidR="00E143D0" w:rsidRDefault="00E143D0"/>
    <w:p w14:paraId="78062BDA" w14:textId="1FCD3173" w:rsidR="00E143D0" w:rsidRDefault="00E143D0"/>
    <w:p w14:paraId="1DEEC7F2" w14:textId="6C79471C" w:rsidR="00E143D0" w:rsidRDefault="00E143D0"/>
    <w:p w14:paraId="64B2857C" w14:textId="2FB7DEFC" w:rsidR="00E143D0" w:rsidRDefault="00E143D0"/>
    <w:p w14:paraId="56D77988" w14:textId="77777777" w:rsidR="00F5266B" w:rsidRDefault="00F5266B">
      <w:pPr>
        <w:spacing w:line="259" w:lineRule="auto"/>
        <w:jc w:val="left"/>
        <w:rPr>
          <w:rFonts w:asciiTheme="majorHAnsi" w:eastAsiaTheme="majorEastAsia" w:hAnsiTheme="majorHAnsi" w:cstheme="majorBidi"/>
          <w:color w:val="2F5496" w:themeColor="accent1" w:themeShade="BF"/>
          <w:sz w:val="32"/>
          <w:szCs w:val="40"/>
        </w:rPr>
      </w:pPr>
      <w:r>
        <w:br w:type="page"/>
      </w:r>
    </w:p>
    <w:p w14:paraId="3BF22378" w14:textId="5C8E36C1" w:rsidR="00E143D0" w:rsidRDefault="002F2BE5" w:rsidP="002F2BE5">
      <w:pPr>
        <w:pStyle w:val="Heading1"/>
        <w:tabs>
          <w:tab w:val="left" w:pos="3000"/>
        </w:tabs>
      </w:pPr>
      <w:bookmarkStart w:id="0" w:name="_Toc119599529"/>
      <w:r>
        <w:lastRenderedPageBreak/>
        <w:t>Introduction</w:t>
      </w:r>
      <w:bookmarkEnd w:id="0"/>
      <w:r>
        <w:t xml:space="preserve"> </w:t>
      </w:r>
    </w:p>
    <w:p w14:paraId="16B3EDF8" w14:textId="46224441" w:rsidR="00F5266B" w:rsidRDefault="00286A1C">
      <w:r>
        <w:t xml:space="preserve">Financial accounting is important for </w:t>
      </w:r>
      <w:r w:rsidR="00555DAE">
        <w:t>executing</w:t>
      </w:r>
      <w:r>
        <w:t xml:space="preserve"> financial records</w:t>
      </w:r>
      <w:r w:rsidR="00555DAE">
        <w:t xml:space="preserve"> of financial</w:t>
      </w:r>
      <w:r>
        <w:t xml:space="preserve"> </w:t>
      </w:r>
      <w:r w:rsidR="00555DAE">
        <w:t xml:space="preserve">transactions, which is clarified in the financial statement </w:t>
      </w:r>
      <w:r w:rsidR="00C30D64">
        <w:t>of the reports</w:t>
      </w:r>
      <w:sdt>
        <w:sdtPr>
          <w:id w:val="-2007587876"/>
          <w:citation/>
        </w:sdtPr>
        <w:sdtContent>
          <w:r w:rsidR="00F5266B">
            <w:fldChar w:fldCharType="begin"/>
          </w:r>
          <w:r w:rsidR="00F5266B">
            <w:rPr>
              <w:lang w:val="en-US"/>
            </w:rPr>
            <w:instrText xml:space="preserve"> CITATION Phi15 \l 1033 </w:instrText>
          </w:r>
          <w:r w:rsidR="00F5266B">
            <w:fldChar w:fldCharType="separate"/>
          </w:r>
          <w:r w:rsidR="002351C5">
            <w:rPr>
              <w:noProof/>
              <w:lang w:val="en-US"/>
            </w:rPr>
            <w:t xml:space="preserve"> </w:t>
          </w:r>
          <w:r w:rsidR="002351C5" w:rsidRPr="002351C5">
            <w:rPr>
              <w:noProof/>
              <w:lang w:val="en-US"/>
            </w:rPr>
            <w:t>(Phillips, et al., 2015)</w:t>
          </w:r>
          <w:r w:rsidR="00F5266B">
            <w:fldChar w:fldCharType="end"/>
          </w:r>
        </w:sdtContent>
      </w:sdt>
      <w:r w:rsidR="005774CC">
        <w:t xml:space="preserve">. The financial </w:t>
      </w:r>
      <w:r w:rsidR="00FE5316">
        <w:t xml:space="preserve">ratios are justified to compare the </w:t>
      </w:r>
      <w:r w:rsidR="004F09D8">
        <w:t xml:space="preserve">financial performance, understand the trend line as well as justify the operational activities and </w:t>
      </w:r>
      <w:r w:rsidR="00073F08">
        <w:t>their</w:t>
      </w:r>
      <w:r w:rsidR="004F09D8">
        <w:t xml:space="preserve"> efficiency </w:t>
      </w:r>
      <w:r w:rsidR="006550C2">
        <w:t>to strengthen the company. The auditors are involved in performing these activities through inspection and observation.</w:t>
      </w:r>
      <w:r w:rsidR="00C30D64">
        <w:t xml:space="preserve"> </w:t>
      </w:r>
    </w:p>
    <w:p w14:paraId="777C572E" w14:textId="5371F99F" w:rsidR="00E143D0" w:rsidRDefault="00555DAE">
      <w:r>
        <w:t xml:space="preserve">In the assignment, financial </w:t>
      </w:r>
      <w:r w:rsidR="00C30D64">
        <w:t xml:space="preserve">performance is evaluated to identify the financial </w:t>
      </w:r>
      <w:r w:rsidR="006850DB">
        <w:t>condition of Marriott by analysing important financial ratios.</w:t>
      </w:r>
      <w:r w:rsidR="00F5266B">
        <w:t xml:space="preserve"> Marriott is recognised as a global portfolio of business hotels</w:t>
      </w:r>
      <w:r w:rsidR="00073F08">
        <w:t>,</w:t>
      </w:r>
      <w:r w:rsidR="00F5266B">
        <w:t xml:space="preserve"> and it is known for its unique </w:t>
      </w:r>
      <w:r w:rsidR="00D668DC">
        <w:t>service deliverables</w:t>
      </w:r>
      <w:sdt>
        <w:sdtPr>
          <w:id w:val="2063054847"/>
          <w:citation/>
        </w:sdtPr>
        <w:sdtContent>
          <w:r w:rsidR="00073F08">
            <w:fldChar w:fldCharType="begin"/>
          </w:r>
          <w:r w:rsidR="00073F08">
            <w:rPr>
              <w:lang w:val="en-US"/>
            </w:rPr>
            <w:instrText xml:space="preserve"> CITATION Mar224 \l 1033 </w:instrText>
          </w:r>
          <w:r w:rsidR="00073F08">
            <w:fldChar w:fldCharType="separate"/>
          </w:r>
          <w:r w:rsidR="002351C5">
            <w:rPr>
              <w:noProof/>
              <w:lang w:val="en-US"/>
            </w:rPr>
            <w:t xml:space="preserve"> </w:t>
          </w:r>
          <w:r w:rsidR="002351C5" w:rsidRPr="002351C5">
            <w:rPr>
              <w:noProof/>
              <w:lang w:val="en-US"/>
            </w:rPr>
            <w:t>(Marriott, 2022)</w:t>
          </w:r>
          <w:r w:rsidR="00073F08">
            <w:fldChar w:fldCharType="end"/>
          </w:r>
        </w:sdtContent>
      </w:sdt>
      <w:r w:rsidR="00707962">
        <w:t xml:space="preserve">. </w:t>
      </w:r>
      <w:r w:rsidR="00265EA9">
        <w:t>The study also identif</w:t>
      </w:r>
      <w:r w:rsidR="00073F08">
        <w:t>ies</w:t>
      </w:r>
      <w:r w:rsidR="00265EA9">
        <w:t xml:space="preserve"> the limitations of the ratios analysis to investigate </w:t>
      </w:r>
      <w:r w:rsidR="00F82BF1">
        <w:t xml:space="preserve">the fluctuations </w:t>
      </w:r>
      <w:r w:rsidR="00073F08">
        <w:t>i</w:t>
      </w:r>
      <w:r w:rsidR="00F82BF1">
        <w:t xml:space="preserve">n the economic condition. In the assignment, financial </w:t>
      </w:r>
      <w:r w:rsidR="008F30CE">
        <w:t>statements like b</w:t>
      </w:r>
      <w:r w:rsidR="006A7EA5">
        <w:t>alance sheet</w:t>
      </w:r>
      <w:r w:rsidR="00073F08">
        <w:t>s</w:t>
      </w:r>
      <w:r w:rsidR="006A7EA5">
        <w:t>, income statement</w:t>
      </w:r>
      <w:r w:rsidR="00073F08">
        <w:t>s</w:t>
      </w:r>
      <w:r w:rsidR="006A7EA5">
        <w:t>, changes in equity and cash flow statement</w:t>
      </w:r>
      <w:r w:rsidR="00073F08">
        <w:t>s</w:t>
      </w:r>
      <w:r w:rsidR="006A7EA5">
        <w:t xml:space="preserve"> </w:t>
      </w:r>
      <w:r w:rsidR="008F30CE">
        <w:t xml:space="preserve">are </w:t>
      </w:r>
      <w:r w:rsidR="006A7EA5">
        <w:t xml:space="preserve">observed to calculate financial ratios. </w:t>
      </w:r>
      <w:r w:rsidR="0022459E">
        <w:t xml:space="preserve">The </w:t>
      </w:r>
      <w:r w:rsidR="00F27687">
        <w:t>study also clarified financial benefits and its limitations, which also evaluate</w:t>
      </w:r>
      <w:r w:rsidR="00073F08">
        <w:t>d</w:t>
      </w:r>
      <w:r w:rsidR="00F27687">
        <w:t xml:space="preserve"> the financial imbalance </w:t>
      </w:r>
      <w:r w:rsidR="00456461">
        <w:t>to understand the ratios and the capability of Marriott as well as the decision making</w:t>
      </w:r>
      <w:r w:rsidR="00620352">
        <w:t xml:space="preserve"> power. </w:t>
      </w:r>
    </w:p>
    <w:p w14:paraId="6873C47A" w14:textId="1F287607" w:rsidR="00E143D0" w:rsidRDefault="00A6470E" w:rsidP="00EF325D">
      <w:pPr>
        <w:pStyle w:val="Heading1"/>
      </w:pPr>
      <w:bookmarkStart w:id="1" w:name="_Toc119599530"/>
      <w:r>
        <w:t>Financial Performance Evaluation Trend</w:t>
      </w:r>
      <w:bookmarkEnd w:id="1"/>
      <w:r>
        <w:t xml:space="preserve"> </w:t>
      </w:r>
    </w:p>
    <w:p w14:paraId="4FB2FEC4" w14:textId="5FC54A64" w:rsidR="00E143D0" w:rsidRDefault="00C53F25">
      <w:r>
        <w:t xml:space="preserve">In order to justify the financial analysis trends, </w:t>
      </w:r>
      <w:r w:rsidR="000D155C">
        <w:t>the following effective financial ratios are analysed to justify financial condition</w:t>
      </w:r>
      <w:r w:rsidR="00073F08">
        <w:t>s</w:t>
      </w:r>
      <w:r w:rsidR="000D155C">
        <w:t xml:space="preserve">. </w:t>
      </w:r>
      <w:r w:rsidR="004E0EE8">
        <w:t>The ratio analysis trend is justified by</w:t>
      </w:r>
      <w:r w:rsidR="00D2579C">
        <w:t xml:space="preserve"> comparing </w:t>
      </w:r>
      <w:r w:rsidR="00073F08">
        <w:t xml:space="preserve">the </w:t>
      </w:r>
      <w:r w:rsidR="00D2579C">
        <w:t>2020 and 2021 financial statement</w:t>
      </w:r>
      <w:r w:rsidR="00073F08">
        <w:t>s</w:t>
      </w:r>
      <w:r w:rsidR="00D2579C">
        <w:t xml:space="preserve"> on annual reports. </w:t>
      </w:r>
    </w:p>
    <w:p w14:paraId="7AA546C0" w14:textId="5FAF216F" w:rsidR="00E143D0" w:rsidRDefault="00A6470E" w:rsidP="00C53F25">
      <w:pPr>
        <w:pStyle w:val="Heading2"/>
        <w:tabs>
          <w:tab w:val="left" w:pos="3075"/>
        </w:tabs>
      </w:pPr>
      <w:bookmarkStart w:id="2" w:name="_Toc119599531"/>
      <w:r>
        <w:t>Profitability</w:t>
      </w:r>
      <w:bookmarkEnd w:id="2"/>
      <w:r w:rsidR="00C53F25">
        <w:tab/>
      </w:r>
    </w:p>
    <w:p w14:paraId="7CD65F2B" w14:textId="470DF2F3" w:rsidR="00F5266B" w:rsidRDefault="00D2579C">
      <w:pPr>
        <w:rPr>
          <w:b/>
        </w:rPr>
      </w:pPr>
      <w:r w:rsidRPr="00AB33C3">
        <w:rPr>
          <w:b/>
        </w:rPr>
        <w:t xml:space="preserve">Gross </w:t>
      </w:r>
      <w:r w:rsidR="00F5266B" w:rsidRPr="00AB33C3">
        <w:rPr>
          <w:b/>
        </w:rPr>
        <w:t xml:space="preserve">Profit Margin </w:t>
      </w:r>
    </w:p>
    <w:p w14:paraId="65AD729B" w14:textId="6B947F5A" w:rsidR="00931F57" w:rsidRDefault="00F5266B" w:rsidP="00931F57">
      <w:pPr>
        <w:keepNext/>
        <w:jc w:val="center"/>
      </w:pPr>
      <w:r>
        <w:rPr>
          <w:noProof/>
          <w:lang w:eastAsia="en-IN" w:bidi="ar-SA"/>
        </w:rPr>
        <w:lastRenderedPageBreak/>
        <w:drawing>
          <wp:inline distT="0" distB="0" distL="0" distR="0" wp14:anchorId="3AE696AF" wp14:editId="3B2F7C22">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8D9C5AD" w14:textId="4B1F7C00" w:rsidR="00931F57" w:rsidRPr="00AB33C3" w:rsidRDefault="00931F57" w:rsidP="00931F57">
      <w:pPr>
        <w:pStyle w:val="Caption"/>
        <w:jc w:val="center"/>
        <w:rPr>
          <w:b/>
        </w:rPr>
      </w:pPr>
      <w:r>
        <w:t xml:space="preserve">Figure </w:t>
      </w:r>
      <w:fldSimple w:instr=" SEQ Figure \* ARABIC ">
        <w:r w:rsidR="000E59A9">
          <w:rPr>
            <w:noProof/>
          </w:rPr>
          <w:t>1</w:t>
        </w:r>
      </w:fldSimple>
      <w:r>
        <w:t>: Gross Profit Margin; Source: Author</w:t>
      </w:r>
    </w:p>
    <w:p w14:paraId="308F3BFB" w14:textId="7A5C4AA5" w:rsidR="000E022F" w:rsidRDefault="00EF44EF">
      <w:r>
        <w:t xml:space="preserve">The Gross profit margin ratio is a kind of profitability ratio which clarifies and compares gross revenue from the sales </w:t>
      </w:r>
      <w:r w:rsidR="00D51F34">
        <w:t>with the value of the marketing</w:t>
      </w:r>
      <w:sdt>
        <w:sdtPr>
          <w:id w:val="-847333551"/>
          <w:citation/>
        </w:sdtPr>
        <w:sdtContent>
          <w:r w:rsidR="003C2C3B">
            <w:fldChar w:fldCharType="begin"/>
          </w:r>
          <w:r w:rsidR="003C2C3B">
            <w:rPr>
              <w:lang w:val="en-US"/>
            </w:rPr>
            <w:instrText xml:space="preserve"> CITATION Jef21 \l 1033 </w:instrText>
          </w:r>
          <w:r w:rsidR="003C2C3B">
            <w:fldChar w:fldCharType="separate"/>
          </w:r>
          <w:r w:rsidR="002351C5">
            <w:rPr>
              <w:noProof/>
              <w:lang w:val="en-US"/>
            </w:rPr>
            <w:t xml:space="preserve"> </w:t>
          </w:r>
          <w:r w:rsidR="002351C5" w:rsidRPr="002351C5">
            <w:rPr>
              <w:noProof/>
              <w:lang w:val="en-US"/>
            </w:rPr>
            <w:t>(Jefriyanto, 2021)</w:t>
          </w:r>
          <w:r w:rsidR="003C2C3B">
            <w:fldChar w:fldCharType="end"/>
          </w:r>
        </w:sdtContent>
      </w:sdt>
      <w:r w:rsidR="00D51F34">
        <w:t xml:space="preserve">. The </w:t>
      </w:r>
      <w:r w:rsidR="00247E06">
        <w:t>gross profit margin</w:t>
      </w:r>
      <w:r w:rsidR="007968F7">
        <w:t xml:space="preserve"> ratios</w:t>
      </w:r>
      <w:r w:rsidR="00247E06">
        <w:t xml:space="preserve"> </w:t>
      </w:r>
      <w:r w:rsidR="007968F7">
        <w:t>are 20.21% and 13.80% for 2021 and 2020</w:t>
      </w:r>
      <w:r w:rsidR="00073F08">
        <w:t>,</w:t>
      </w:r>
      <w:r w:rsidR="007968F7">
        <w:t xml:space="preserve"> respectively. The effective ratios evaluate the condition of the financial health that </w:t>
      </w:r>
      <w:r w:rsidR="00374206">
        <w:t>identified good condition of Marriott in 2021 than the</w:t>
      </w:r>
      <w:r w:rsidR="00743CE3">
        <w:t xml:space="preserve"> value of 2020. The company makes their profit by calculating the financial performance by confirming </w:t>
      </w:r>
      <w:r w:rsidR="00073F08">
        <w:t>its</w:t>
      </w:r>
      <w:r w:rsidR="00743CE3">
        <w:t xml:space="preserve"> effectiveness. </w:t>
      </w:r>
      <w:r w:rsidR="00061812">
        <w:t xml:space="preserve">The sales value in 2021 is </w:t>
      </w:r>
      <w:r w:rsidR="005E35B8">
        <w:t>$13857 million</w:t>
      </w:r>
      <w:r w:rsidR="00073F08">
        <w:t>,</w:t>
      </w:r>
      <w:r w:rsidR="005E35B8">
        <w:t xml:space="preserve"> and </w:t>
      </w:r>
      <w:r w:rsidR="00073F08">
        <w:t xml:space="preserve">in </w:t>
      </w:r>
      <w:r w:rsidR="005E35B8">
        <w:t>2020 is $10571 million</w:t>
      </w:r>
      <w:sdt>
        <w:sdtPr>
          <w:id w:val="6037085"/>
          <w:citation/>
        </w:sdtPr>
        <w:sdtContent>
          <w:r w:rsidR="002351C5">
            <w:fldChar w:fldCharType="begin"/>
          </w:r>
          <w:r w:rsidR="002351C5">
            <w:rPr>
              <w:lang w:val="en-US"/>
            </w:rPr>
            <w:instrText xml:space="preserve"> CITATION Mac225 \l 1033 </w:instrText>
          </w:r>
          <w:r w:rsidR="002351C5">
            <w:fldChar w:fldCharType="separate"/>
          </w:r>
          <w:r w:rsidR="002351C5">
            <w:rPr>
              <w:noProof/>
              <w:lang w:val="en-US"/>
            </w:rPr>
            <w:t xml:space="preserve"> </w:t>
          </w:r>
          <w:r w:rsidR="002351C5" w:rsidRPr="002351C5">
            <w:rPr>
              <w:noProof/>
              <w:lang w:val="en-US"/>
            </w:rPr>
            <w:t>(Macro Trends, 2022)</w:t>
          </w:r>
          <w:r w:rsidR="002351C5">
            <w:fldChar w:fldCharType="end"/>
          </w:r>
        </w:sdtContent>
      </w:sdt>
      <w:r w:rsidR="00073F08">
        <w:t>. B</w:t>
      </w:r>
      <w:r w:rsidR="005E35B8">
        <w:t xml:space="preserve">ased on comparing the sales value, the gross profit is </w:t>
      </w:r>
      <w:r w:rsidR="00572125">
        <w:t>$2801 million and $1459 million in 2021 and 2020</w:t>
      </w:r>
      <w:r w:rsidR="00073F08">
        <w:t>,</w:t>
      </w:r>
      <w:r w:rsidR="00572125">
        <w:t xml:space="preserve"> respectively</w:t>
      </w:r>
      <w:r w:rsidR="00073F08">
        <w:t>,</w:t>
      </w:r>
      <w:r w:rsidR="00572125">
        <w:t xml:space="preserve"> </w:t>
      </w:r>
      <w:r w:rsidR="00073F08">
        <w:t>which</w:t>
      </w:r>
      <w:r w:rsidR="00572125">
        <w:t xml:space="preserve"> indicates </w:t>
      </w:r>
      <w:r w:rsidR="00373A05">
        <w:t xml:space="preserve">minimum financial health. </w:t>
      </w:r>
    </w:p>
    <w:p w14:paraId="1ED9B9FB" w14:textId="280B6FC1" w:rsidR="007326B3" w:rsidRDefault="007326B3">
      <w:pPr>
        <w:rPr>
          <w:b/>
        </w:rPr>
      </w:pPr>
      <w:r w:rsidRPr="00783BC8">
        <w:rPr>
          <w:b/>
        </w:rPr>
        <w:t xml:space="preserve">Net Profit </w:t>
      </w:r>
      <w:r w:rsidR="00073F08" w:rsidRPr="00783BC8">
        <w:rPr>
          <w:b/>
        </w:rPr>
        <w:t xml:space="preserve">Margin </w:t>
      </w:r>
    </w:p>
    <w:p w14:paraId="4FDB9236" w14:textId="0C917AFC" w:rsidR="00931F57" w:rsidRDefault="00F5266B" w:rsidP="00931F57">
      <w:pPr>
        <w:keepNext/>
        <w:jc w:val="center"/>
      </w:pPr>
      <w:r>
        <w:rPr>
          <w:noProof/>
          <w:lang w:eastAsia="en-IN" w:bidi="ar-SA"/>
        </w:rPr>
        <w:lastRenderedPageBreak/>
        <w:drawing>
          <wp:inline distT="0" distB="0" distL="0" distR="0" wp14:anchorId="4427D84F" wp14:editId="47A22278">
            <wp:extent cx="4572000" cy="254317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1E4DB0D" w14:textId="209BA434" w:rsidR="00931F57" w:rsidRPr="00783BC8" w:rsidRDefault="00931F57" w:rsidP="00931F57">
      <w:pPr>
        <w:pStyle w:val="Caption"/>
        <w:jc w:val="center"/>
        <w:rPr>
          <w:b/>
        </w:rPr>
      </w:pPr>
      <w:r>
        <w:t xml:space="preserve">Figure </w:t>
      </w:r>
      <w:fldSimple w:instr=" SEQ Figure \* ARABIC ">
        <w:r w:rsidR="000E59A9">
          <w:rPr>
            <w:noProof/>
          </w:rPr>
          <w:t>2</w:t>
        </w:r>
      </w:fldSimple>
      <w:r>
        <w:t>: Net Profit Margin; Source: Author</w:t>
      </w:r>
    </w:p>
    <w:p w14:paraId="3E0AF18E" w14:textId="35520640" w:rsidR="00373A05" w:rsidRDefault="00A9768D">
      <w:r>
        <w:t>The net profit margin ratio is such kind of profitability ratio, which assess the net income and profit of the company based on its revenue percentage</w:t>
      </w:r>
      <w:sdt>
        <w:sdtPr>
          <w:id w:val="1034695076"/>
          <w:citation/>
        </w:sdtPr>
        <w:sdtContent>
          <w:r w:rsidR="000E022F">
            <w:fldChar w:fldCharType="begin"/>
          </w:r>
          <w:r w:rsidR="000E022F">
            <w:rPr>
              <w:lang w:val="en-US"/>
            </w:rPr>
            <w:instrText xml:space="preserve"> CITATION Sir21 \l 1033 </w:instrText>
          </w:r>
          <w:r w:rsidR="000E022F">
            <w:fldChar w:fldCharType="separate"/>
          </w:r>
          <w:r w:rsidR="002351C5">
            <w:rPr>
              <w:noProof/>
              <w:lang w:val="en-US"/>
            </w:rPr>
            <w:t xml:space="preserve"> </w:t>
          </w:r>
          <w:r w:rsidR="002351C5" w:rsidRPr="002351C5">
            <w:rPr>
              <w:noProof/>
              <w:lang w:val="en-US"/>
            </w:rPr>
            <w:t>(Siregar, et al., 2021)</w:t>
          </w:r>
          <w:r w:rsidR="000E022F">
            <w:fldChar w:fldCharType="end"/>
          </w:r>
        </w:sdtContent>
      </w:sdt>
      <w:r>
        <w:t xml:space="preserve">. </w:t>
      </w:r>
      <w:r w:rsidR="00F969B5">
        <w:t>This ratio is based on the net profit or income of Marriott</w:t>
      </w:r>
      <w:r w:rsidR="00073F08">
        <w:t>,</w:t>
      </w:r>
      <w:r w:rsidR="00F969B5">
        <w:t xml:space="preserve"> </w:t>
      </w:r>
      <w:r w:rsidR="00073F08">
        <w:t>which</w:t>
      </w:r>
      <w:r w:rsidR="00F969B5">
        <w:t xml:space="preserve"> measures the efficiency of the business</w:t>
      </w:r>
      <w:r w:rsidR="00073F08">
        <w:t>,</w:t>
      </w:r>
      <w:r w:rsidR="00F969B5">
        <w:t xml:space="preserve"> </w:t>
      </w:r>
      <w:r w:rsidR="007F1A5A">
        <w:t xml:space="preserve">and the actual profit is evaluated after deducting all the expenses. </w:t>
      </w:r>
      <w:r w:rsidR="00F06795">
        <w:t xml:space="preserve">It is evaluated </w:t>
      </w:r>
      <w:r w:rsidR="00073F08">
        <w:t xml:space="preserve">by </w:t>
      </w:r>
      <w:r w:rsidR="00F06795">
        <w:t xml:space="preserve">dividing net profit by sales to justify the financial health of generating profit. The net profit margin </w:t>
      </w:r>
      <w:r w:rsidR="00073F08">
        <w:t>is</w:t>
      </w:r>
      <w:r w:rsidR="00F06795">
        <w:t xml:space="preserve"> </w:t>
      </w:r>
      <w:r w:rsidR="00AA2D94">
        <w:t xml:space="preserve">7.931% and </w:t>
      </w:r>
      <w:r w:rsidR="00FE515F">
        <w:t>-2.526% in 2021 and 2020</w:t>
      </w:r>
      <w:r w:rsidR="00073F08">
        <w:t>,</w:t>
      </w:r>
      <w:r w:rsidR="00FE515F">
        <w:t xml:space="preserve"> </w:t>
      </w:r>
      <w:r w:rsidR="00073F08">
        <w:t>which</w:t>
      </w:r>
      <w:r w:rsidR="00FE515F">
        <w:t xml:space="preserve"> </w:t>
      </w:r>
      <w:r w:rsidR="00A316C5">
        <w:t xml:space="preserve">identifies </w:t>
      </w:r>
      <w:r w:rsidR="00073F08">
        <w:t xml:space="preserve">the </w:t>
      </w:r>
      <w:r w:rsidR="00A316C5">
        <w:t>medium margin of the net profit as well</w:t>
      </w:r>
      <w:r w:rsidR="00073F08">
        <w:t xml:space="preserve"> </w:t>
      </w:r>
      <w:r w:rsidR="00A316C5">
        <w:t xml:space="preserve">as in </w:t>
      </w:r>
      <w:r w:rsidR="00073F08">
        <w:t xml:space="preserve">the </w:t>
      </w:r>
      <w:r w:rsidR="00A316C5">
        <w:t>case of 2020</w:t>
      </w:r>
      <w:r w:rsidR="00073F08">
        <w:t>,</w:t>
      </w:r>
      <w:r w:rsidR="00A316C5">
        <w:t xml:space="preserve"> the margin value of </w:t>
      </w:r>
      <w:r w:rsidR="00073F08">
        <w:t xml:space="preserve">the </w:t>
      </w:r>
      <w:r w:rsidR="00A316C5">
        <w:t>rati</w:t>
      </w:r>
      <w:r w:rsidR="00C900F5">
        <w:t xml:space="preserve">o is not good for the company, which </w:t>
      </w:r>
      <w:r w:rsidR="00073F08">
        <w:t xml:space="preserve">is </w:t>
      </w:r>
      <w:r w:rsidR="00C900F5">
        <w:t xml:space="preserve">considered </w:t>
      </w:r>
      <w:r w:rsidR="00073F08">
        <w:t xml:space="preserve">the </w:t>
      </w:r>
      <w:r w:rsidR="00C900F5">
        <w:t>poor profit</w:t>
      </w:r>
      <w:r w:rsidR="00073F08">
        <w:t>-</w:t>
      </w:r>
      <w:r w:rsidR="00C900F5">
        <w:t>generating ability of ten company</w:t>
      </w:r>
      <w:sdt>
        <w:sdtPr>
          <w:id w:val="-761148822"/>
          <w:citation/>
        </w:sdtPr>
        <w:sdtContent>
          <w:r w:rsidR="002351C5">
            <w:fldChar w:fldCharType="begin"/>
          </w:r>
          <w:r w:rsidR="002351C5">
            <w:rPr>
              <w:lang w:val="en-US"/>
            </w:rPr>
            <w:instrText xml:space="preserve"> CITATION Mac225 \l 1033 </w:instrText>
          </w:r>
          <w:r w:rsidR="002351C5">
            <w:fldChar w:fldCharType="separate"/>
          </w:r>
          <w:r w:rsidR="002351C5">
            <w:rPr>
              <w:noProof/>
              <w:lang w:val="en-US"/>
            </w:rPr>
            <w:t xml:space="preserve"> </w:t>
          </w:r>
          <w:r w:rsidR="002351C5" w:rsidRPr="002351C5">
            <w:rPr>
              <w:noProof/>
              <w:lang w:val="en-US"/>
            </w:rPr>
            <w:t>(Macro Trends, 2022)</w:t>
          </w:r>
          <w:r w:rsidR="002351C5">
            <w:fldChar w:fldCharType="end"/>
          </w:r>
        </w:sdtContent>
      </w:sdt>
      <w:r w:rsidR="00C900F5">
        <w:t xml:space="preserve">. The net income of the company in 2020 was </w:t>
      </w:r>
      <w:r w:rsidR="002C6421">
        <w:t>$-267</w:t>
      </w:r>
      <w:r w:rsidR="00A556C2">
        <w:t xml:space="preserve"> million</w:t>
      </w:r>
      <w:r w:rsidR="002C6421">
        <w:t xml:space="preserve">, which clarifies </w:t>
      </w:r>
      <w:r w:rsidR="00073F08">
        <w:t xml:space="preserve">the </w:t>
      </w:r>
      <w:r w:rsidR="002C6421">
        <w:t>bad condition of the company</w:t>
      </w:r>
      <w:r w:rsidR="00073F08">
        <w:t>, as well as the negative figure of the net profit,</w:t>
      </w:r>
      <w:r w:rsidR="00A556C2">
        <w:t xml:space="preserve"> </w:t>
      </w:r>
      <w:r w:rsidR="00073F08">
        <w:t xml:space="preserve">which </w:t>
      </w:r>
      <w:r w:rsidR="00A556C2">
        <w:t>indicate</w:t>
      </w:r>
      <w:r w:rsidR="00073F08">
        <w:t>s</w:t>
      </w:r>
      <w:r w:rsidR="00A556C2">
        <w:t xml:space="preserve"> bad financial health in 2020. </w:t>
      </w:r>
      <w:r w:rsidR="00A316C5">
        <w:t xml:space="preserve">  </w:t>
      </w:r>
    </w:p>
    <w:p w14:paraId="763E233D" w14:textId="5DE84D10" w:rsidR="007326B3" w:rsidRDefault="007326B3">
      <w:pPr>
        <w:rPr>
          <w:b/>
        </w:rPr>
      </w:pPr>
      <w:r w:rsidRPr="00783BC8">
        <w:rPr>
          <w:b/>
        </w:rPr>
        <w:t xml:space="preserve">Return on </w:t>
      </w:r>
      <w:r w:rsidR="00073F08" w:rsidRPr="00783BC8">
        <w:rPr>
          <w:b/>
        </w:rPr>
        <w:t xml:space="preserve">Assets </w:t>
      </w:r>
    </w:p>
    <w:p w14:paraId="6DD5BFF0" w14:textId="48AE4F1B" w:rsidR="00931F57" w:rsidRDefault="00F5266B" w:rsidP="00931F57">
      <w:pPr>
        <w:keepNext/>
        <w:jc w:val="center"/>
      </w:pPr>
      <w:r>
        <w:rPr>
          <w:noProof/>
          <w:lang w:eastAsia="en-IN" w:bidi="ar-SA"/>
        </w:rPr>
        <w:drawing>
          <wp:inline distT="0" distB="0" distL="0" distR="0" wp14:anchorId="621D9BA5" wp14:editId="24E8E4CE">
            <wp:extent cx="4572000" cy="234315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2267542" w14:textId="775F10E4" w:rsidR="00931F57" w:rsidRPr="00783BC8" w:rsidRDefault="00931F57" w:rsidP="00931F57">
      <w:pPr>
        <w:pStyle w:val="Caption"/>
        <w:jc w:val="center"/>
        <w:rPr>
          <w:b/>
        </w:rPr>
      </w:pPr>
      <w:r>
        <w:t xml:space="preserve">Figure </w:t>
      </w:r>
      <w:fldSimple w:instr=" SEQ Figure \* ARABIC ">
        <w:r w:rsidR="000E59A9">
          <w:rPr>
            <w:noProof/>
          </w:rPr>
          <w:t>3</w:t>
        </w:r>
      </w:fldSimple>
      <w:r>
        <w:t>: Return On Assets; Source: Author</w:t>
      </w:r>
    </w:p>
    <w:p w14:paraId="719F30FB" w14:textId="10CEF0AD" w:rsidR="00C74498" w:rsidRDefault="00A556C2">
      <w:r>
        <w:lastRenderedPageBreak/>
        <w:t xml:space="preserve">The return on assets ratio identifies the </w:t>
      </w:r>
      <w:r w:rsidR="00463736">
        <w:t>financial condition by indicating the profitable ability in relation to the total assets of the company</w:t>
      </w:r>
      <w:sdt>
        <w:sdtPr>
          <w:id w:val="2111926988"/>
          <w:citation/>
        </w:sdtPr>
        <w:sdtContent>
          <w:r w:rsidR="0074069F">
            <w:fldChar w:fldCharType="begin"/>
          </w:r>
          <w:r w:rsidR="0074069F">
            <w:rPr>
              <w:lang w:val="en-US"/>
            </w:rPr>
            <w:instrText xml:space="preserve"> CITATION Kur21 \l 1033 </w:instrText>
          </w:r>
          <w:r w:rsidR="0074069F">
            <w:fldChar w:fldCharType="separate"/>
          </w:r>
          <w:r w:rsidR="002351C5">
            <w:rPr>
              <w:noProof/>
              <w:lang w:val="en-US"/>
            </w:rPr>
            <w:t xml:space="preserve"> </w:t>
          </w:r>
          <w:r w:rsidR="002351C5" w:rsidRPr="002351C5">
            <w:rPr>
              <w:noProof/>
              <w:lang w:val="en-US"/>
            </w:rPr>
            <w:t>(Kurniawan, 2021)</w:t>
          </w:r>
          <w:r w:rsidR="0074069F">
            <w:fldChar w:fldCharType="end"/>
          </w:r>
        </w:sdtContent>
      </w:sdt>
      <w:r w:rsidR="00463736">
        <w:t xml:space="preserve">. The ratio is </w:t>
      </w:r>
      <w:r w:rsidR="00C74498">
        <w:t xml:space="preserve">evaluated by diving net income by the average of total assets. The effective ratios value are </w:t>
      </w:r>
      <w:r w:rsidR="00F12E14">
        <w:t>4.33009% and -1.0809% for 202[1 and 2020</w:t>
      </w:r>
      <w:r w:rsidR="00073F08">
        <w:t>,</w:t>
      </w:r>
      <w:r w:rsidR="00F12E14">
        <w:t xml:space="preserve"> respectively. It is seen by calculating that the </w:t>
      </w:r>
      <w:r w:rsidR="00214E4A">
        <w:t xml:space="preserve">financial health condition </w:t>
      </w:r>
      <w:r w:rsidR="00073F08">
        <w:t>wa</w:t>
      </w:r>
      <w:r w:rsidR="00214E4A">
        <w:t xml:space="preserve">s </w:t>
      </w:r>
      <w:r w:rsidR="00073F08">
        <w:t xml:space="preserve">a </w:t>
      </w:r>
      <w:r w:rsidR="00214E4A">
        <w:t>little better in 2021</w:t>
      </w:r>
      <w:r w:rsidR="00073F08">
        <w:t>,</w:t>
      </w:r>
      <w:r w:rsidR="00214E4A">
        <w:t xml:space="preserve"> but the negative percentage value in 2020 indicates low, which justif</w:t>
      </w:r>
      <w:r w:rsidR="00073F08">
        <w:t>ies</w:t>
      </w:r>
      <w:r w:rsidR="00214E4A">
        <w:t xml:space="preserve"> that </w:t>
      </w:r>
      <w:r w:rsidR="00F41B7B">
        <w:t>Marriott has limited ability to generate its profit</w:t>
      </w:r>
      <w:sdt>
        <w:sdtPr>
          <w:id w:val="-465813039"/>
          <w:citation/>
        </w:sdtPr>
        <w:sdtContent>
          <w:r w:rsidR="002351C5">
            <w:fldChar w:fldCharType="begin"/>
          </w:r>
          <w:r w:rsidR="002351C5">
            <w:rPr>
              <w:lang w:val="en-US"/>
            </w:rPr>
            <w:instrText xml:space="preserve"> CITATION Mac225 \l 1033 </w:instrText>
          </w:r>
          <w:r w:rsidR="002351C5">
            <w:fldChar w:fldCharType="separate"/>
          </w:r>
          <w:r w:rsidR="002351C5">
            <w:rPr>
              <w:noProof/>
              <w:lang w:val="en-US"/>
            </w:rPr>
            <w:t xml:space="preserve"> </w:t>
          </w:r>
          <w:r w:rsidR="002351C5" w:rsidRPr="002351C5">
            <w:rPr>
              <w:noProof/>
              <w:lang w:val="en-US"/>
            </w:rPr>
            <w:t>(Macro Trends, 2022)</w:t>
          </w:r>
          <w:r w:rsidR="002351C5">
            <w:fldChar w:fldCharType="end"/>
          </w:r>
        </w:sdtContent>
      </w:sdt>
      <w:r w:rsidR="00F41B7B">
        <w:t xml:space="preserve">. </w:t>
      </w:r>
      <w:r w:rsidR="00651FFA">
        <w:t>The value of the net income also affects the company</w:t>
      </w:r>
      <w:r w:rsidR="00073F08">
        <w:t>,</w:t>
      </w:r>
      <w:r w:rsidR="00651FFA">
        <w:t xml:space="preserve"> </w:t>
      </w:r>
      <w:r w:rsidR="00073F08">
        <w:t>which</w:t>
      </w:r>
      <w:r w:rsidR="00651FFA">
        <w:t xml:space="preserve"> is </w:t>
      </w:r>
      <w:r w:rsidR="004E3D46">
        <w:t xml:space="preserve">$1099 million in 2021 and $-267 million in 2020. </w:t>
      </w:r>
      <w:r w:rsidR="00214E4A">
        <w:t xml:space="preserve"> </w:t>
      </w:r>
    </w:p>
    <w:p w14:paraId="42275879" w14:textId="118ABC77" w:rsidR="007326B3" w:rsidRDefault="00254AFA">
      <w:pPr>
        <w:rPr>
          <w:b/>
        </w:rPr>
      </w:pPr>
      <w:r w:rsidRPr="00783BC8">
        <w:rPr>
          <w:b/>
        </w:rPr>
        <w:t xml:space="preserve">Return on Equity </w:t>
      </w:r>
    </w:p>
    <w:p w14:paraId="5076DAD5" w14:textId="0549F2C0" w:rsidR="000E59A9" w:rsidRDefault="00F5266B" w:rsidP="000E59A9">
      <w:pPr>
        <w:keepNext/>
        <w:jc w:val="center"/>
      </w:pPr>
      <w:r>
        <w:rPr>
          <w:noProof/>
          <w:lang w:eastAsia="en-IN" w:bidi="ar-SA"/>
        </w:rPr>
        <w:drawing>
          <wp:inline distT="0" distB="0" distL="0" distR="0" wp14:anchorId="00F26507" wp14:editId="02666C0D">
            <wp:extent cx="4572000" cy="234315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92798F6" w14:textId="58314181" w:rsidR="00931F57" w:rsidRPr="00783BC8" w:rsidRDefault="000E59A9" w:rsidP="000E59A9">
      <w:pPr>
        <w:pStyle w:val="Caption"/>
        <w:jc w:val="center"/>
        <w:rPr>
          <w:b/>
        </w:rPr>
      </w:pPr>
      <w:r>
        <w:t xml:space="preserve">Figure </w:t>
      </w:r>
      <w:fldSimple w:instr=" SEQ Figure \* ARABIC ">
        <w:r>
          <w:rPr>
            <w:noProof/>
          </w:rPr>
          <w:t>4</w:t>
        </w:r>
      </w:fldSimple>
      <w:r>
        <w:t>: Return On Equity; Source: Author</w:t>
      </w:r>
    </w:p>
    <w:p w14:paraId="459D79A0" w14:textId="1E03B4F7" w:rsidR="004E3D46" w:rsidRDefault="004E3D46">
      <w:r>
        <w:t xml:space="preserve">The return on equity is </w:t>
      </w:r>
      <w:r w:rsidR="00BB48B2">
        <w:t>a kind of profitability ratio which measures the financial condition and its long-term performance</w:t>
      </w:r>
      <w:r w:rsidR="00073F08">
        <w:t>,</w:t>
      </w:r>
      <w:r w:rsidR="00BB48B2">
        <w:t xml:space="preserve"> </w:t>
      </w:r>
      <w:r w:rsidR="005F7267">
        <w:t>and it indicates the ability of the company to generate profit annually</w:t>
      </w:r>
      <w:sdt>
        <w:sdtPr>
          <w:id w:val="2032135222"/>
          <w:citation/>
        </w:sdtPr>
        <w:sdtContent>
          <w:r w:rsidR="00306334">
            <w:fldChar w:fldCharType="begin"/>
          </w:r>
          <w:r w:rsidR="00306334">
            <w:rPr>
              <w:lang w:val="en-US"/>
            </w:rPr>
            <w:instrText xml:space="preserve"> CITATION Yan21 \l 1033 </w:instrText>
          </w:r>
          <w:r w:rsidR="00306334">
            <w:fldChar w:fldCharType="separate"/>
          </w:r>
          <w:r w:rsidR="002351C5">
            <w:rPr>
              <w:noProof/>
              <w:lang w:val="en-US"/>
            </w:rPr>
            <w:t xml:space="preserve"> </w:t>
          </w:r>
          <w:r w:rsidR="002351C5" w:rsidRPr="002351C5">
            <w:rPr>
              <w:noProof/>
              <w:lang w:val="en-US"/>
            </w:rPr>
            <w:t>(Yanto, et al., 2021)</w:t>
          </w:r>
          <w:r w:rsidR="00306334">
            <w:fldChar w:fldCharType="end"/>
          </w:r>
        </w:sdtContent>
      </w:sdt>
      <w:r w:rsidR="005F7267">
        <w:t xml:space="preserve">. The </w:t>
      </w:r>
      <w:r w:rsidR="00EB6B28">
        <w:t xml:space="preserve">return on equity ratio values are </w:t>
      </w:r>
      <w:r w:rsidR="00047384">
        <w:t>77.7228% and -62.093% in 2021 and 2020</w:t>
      </w:r>
      <w:r w:rsidR="00073F08">
        <w:t>,</w:t>
      </w:r>
      <w:r w:rsidR="00047384">
        <w:t xml:space="preserve"> respectively, which clarifies </w:t>
      </w:r>
      <w:r w:rsidR="00073F08">
        <w:t xml:space="preserve">the </w:t>
      </w:r>
      <w:r w:rsidR="0057794D">
        <w:t xml:space="preserve">very strong performance of the company to generate profit from equity </w:t>
      </w:r>
      <w:r w:rsidR="00B62F4E">
        <w:t>as well as</w:t>
      </w:r>
      <w:r w:rsidR="00073F08">
        <w:t>;</w:t>
      </w:r>
      <w:r w:rsidR="00B62F4E">
        <w:t xml:space="preserve"> in 2020, the performance of the company was very bad</w:t>
      </w:r>
      <w:r w:rsidR="00073F08">
        <w:t>,</w:t>
      </w:r>
      <w:r w:rsidR="00B62F4E">
        <w:t xml:space="preserve"> as seen the percentage value and it is for the value of </w:t>
      </w:r>
      <w:r w:rsidR="00AD0DD4">
        <w:t xml:space="preserve">net income, which was </w:t>
      </w:r>
      <w:r w:rsidR="002351C5">
        <w:t>negative in 2020 as well as the</w:t>
      </w:r>
      <w:r w:rsidR="00AD0DD4">
        <w:t xml:space="preserve"> shareholders equity value of </w:t>
      </w:r>
      <w:r w:rsidR="004B4CA4">
        <w:t>$430 million that was low in 2020, on the other hand</w:t>
      </w:r>
      <w:r w:rsidR="00073F08">
        <w:t>,</w:t>
      </w:r>
      <w:r w:rsidR="004B4CA4">
        <w:t xml:space="preserve"> the value of $1414 million in 2021for which the strong condition was seen. </w:t>
      </w:r>
      <w:r w:rsidR="00B62F4E">
        <w:t xml:space="preserve"> </w:t>
      </w:r>
    </w:p>
    <w:p w14:paraId="3E764FAC" w14:textId="11C7D266" w:rsidR="00E143D0" w:rsidRDefault="00A6470E" w:rsidP="00EF325D">
      <w:pPr>
        <w:pStyle w:val="Heading2"/>
      </w:pPr>
      <w:bookmarkStart w:id="3" w:name="_Toc119599532"/>
      <w:r>
        <w:t>Liquidity</w:t>
      </w:r>
      <w:bookmarkEnd w:id="3"/>
      <w:r>
        <w:t xml:space="preserve"> </w:t>
      </w:r>
    </w:p>
    <w:p w14:paraId="68F50B9F" w14:textId="6585EAF6" w:rsidR="00982CAF" w:rsidRDefault="00982CAF" w:rsidP="00982CAF">
      <w:pPr>
        <w:rPr>
          <w:b/>
        </w:rPr>
      </w:pPr>
      <w:r w:rsidRPr="00783BC8">
        <w:rPr>
          <w:b/>
        </w:rPr>
        <w:t xml:space="preserve">Current </w:t>
      </w:r>
      <w:r w:rsidR="00073F08" w:rsidRPr="00783BC8">
        <w:rPr>
          <w:b/>
        </w:rPr>
        <w:t xml:space="preserve">Ratio </w:t>
      </w:r>
    </w:p>
    <w:p w14:paraId="6A6A7FAA" w14:textId="7DFECA68" w:rsidR="000E59A9" w:rsidRDefault="00F5266B" w:rsidP="000E59A9">
      <w:pPr>
        <w:keepNext/>
        <w:jc w:val="center"/>
      </w:pPr>
      <w:r>
        <w:rPr>
          <w:noProof/>
          <w:lang w:eastAsia="en-IN" w:bidi="ar-SA"/>
        </w:rPr>
        <w:lastRenderedPageBreak/>
        <w:drawing>
          <wp:inline distT="0" distB="0" distL="0" distR="0" wp14:anchorId="32A7E301" wp14:editId="6DBC7481">
            <wp:extent cx="4572000" cy="234315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733DBFC" w14:textId="572A3617" w:rsidR="000E59A9" w:rsidRPr="00783BC8" w:rsidRDefault="000E59A9" w:rsidP="000E59A9">
      <w:pPr>
        <w:pStyle w:val="Caption"/>
        <w:jc w:val="center"/>
        <w:rPr>
          <w:b/>
        </w:rPr>
      </w:pPr>
      <w:r>
        <w:t xml:space="preserve">Figure </w:t>
      </w:r>
      <w:fldSimple w:instr=" SEQ Figure \* ARABIC ">
        <w:r>
          <w:rPr>
            <w:noProof/>
          </w:rPr>
          <w:t>5</w:t>
        </w:r>
      </w:fldSimple>
      <w:r>
        <w:t>: Current Ratio; Source: Author</w:t>
      </w:r>
    </w:p>
    <w:p w14:paraId="739B9387" w14:textId="279DEC96" w:rsidR="004B4CA4" w:rsidRDefault="004B4CA4" w:rsidP="00982CAF">
      <w:r>
        <w:t>The current ratio is a kind of liquidity ratio, which indicates the measurement of the capability of the company to repay the short-term obligation within the time period</w:t>
      </w:r>
      <w:r w:rsidR="00073F08">
        <w:rPr>
          <w:noProof/>
          <w:lang w:val="en-US"/>
        </w:rPr>
        <w:t xml:space="preserve"> </w:t>
      </w:r>
      <w:r w:rsidR="00073F08" w:rsidRPr="00073F08">
        <w:rPr>
          <w:noProof/>
          <w:lang w:val="en-US"/>
        </w:rPr>
        <w:t xml:space="preserve">(Kusmawati </w:t>
      </w:r>
      <w:r w:rsidR="00073F08">
        <w:rPr>
          <w:noProof/>
        </w:rPr>
        <w:t>and</w:t>
      </w:r>
      <w:r w:rsidR="00073F08" w:rsidRPr="00073F08">
        <w:rPr>
          <w:noProof/>
          <w:lang w:val="en-US"/>
        </w:rPr>
        <w:t xml:space="preserve"> Ovalianti, 2022)</w:t>
      </w:r>
      <w:r>
        <w:t xml:space="preserve">. The current ratio values are </w:t>
      </w:r>
      <w:r w:rsidR="00681757">
        <w:t xml:space="preserve">0.5659% and </w:t>
      </w:r>
      <w:r w:rsidR="00B30DFE">
        <w:t>0.4911% for 2021 and 2020</w:t>
      </w:r>
      <w:r w:rsidR="00073F08">
        <w:t>,</w:t>
      </w:r>
      <w:r w:rsidR="00B30DFE">
        <w:t xml:space="preserve"> respectively. It is </w:t>
      </w:r>
      <w:r w:rsidR="000D5C38">
        <w:t>seen</w:t>
      </w:r>
      <w:r w:rsidR="00B30DFE">
        <w:t xml:space="preserve"> from the calculation that the current ratio values are not ideal</w:t>
      </w:r>
      <w:r w:rsidR="00073F08">
        <w:t>,</w:t>
      </w:r>
      <w:r w:rsidR="00B30DFE">
        <w:t xml:space="preserve"> and the company has </w:t>
      </w:r>
      <w:r w:rsidR="00073F08">
        <w:t xml:space="preserve">a </w:t>
      </w:r>
      <w:r w:rsidR="00B30DFE">
        <w:t xml:space="preserve">low ability to pay short-term </w:t>
      </w:r>
      <w:r w:rsidR="000D5C38">
        <w:t>obligations</w:t>
      </w:r>
      <w:sdt>
        <w:sdtPr>
          <w:id w:val="-1269077293"/>
          <w:citation/>
        </w:sdtPr>
        <w:sdtContent>
          <w:r w:rsidR="002351C5">
            <w:fldChar w:fldCharType="begin"/>
          </w:r>
          <w:r w:rsidR="002351C5">
            <w:rPr>
              <w:lang w:val="en-US"/>
            </w:rPr>
            <w:instrText xml:space="preserve"> CITATION Mac225 \l 1033 </w:instrText>
          </w:r>
          <w:r w:rsidR="002351C5">
            <w:fldChar w:fldCharType="separate"/>
          </w:r>
          <w:r w:rsidR="002351C5">
            <w:rPr>
              <w:noProof/>
              <w:lang w:val="en-US"/>
            </w:rPr>
            <w:t xml:space="preserve"> </w:t>
          </w:r>
          <w:r w:rsidR="002351C5" w:rsidRPr="002351C5">
            <w:rPr>
              <w:noProof/>
              <w:lang w:val="en-US"/>
            </w:rPr>
            <w:t>(Macro Trends, 2022)</w:t>
          </w:r>
          <w:r w:rsidR="002351C5">
            <w:fldChar w:fldCharType="end"/>
          </w:r>
        </w:sdtContent>
      </w:sdt>
      <w:r w:rsidR="000D5C38">
        <w:t>. The current assets value is not ideal</w:t>
      </w:r>
      <w:r w:rsidR="00073F08">
        <w:t>,</w:t>
      </w:r>
      <w:r w:rsidR="000D5C38">
        <w:t xml:space="preserve"> and that is </w:t>
      </w:r>
      <w:r w:rsidR="001D7946">
        <w:t>$3626 million and $2825 million for 2021 and 2020</w:t>
      </w:r>
      <w:r w:rsidR="00073F08">
        <w:t>,</w:t>
      </w:r>
      <w:r w:rsidR="001D7946">
        <w:t xml:space="preserve"> respectively. </w:t>
      </w:r>
    </w:p>
    <w:p w14:paraId="0671DBD7" w14:textId="0CA15977" w:rsidR="00E143D0" w:rsidRDefault="005E5159">
      <w:pPr>
        <w:rPr>
          <w:b/>
        </w:rPr>
      </w:pPr>
      <w:r w:rsidRPr="00783BC8">
        <w:rPr>
          <w:b/>
        </w:rPr>
        <w:t xml:space="preserve">Operating Cash flow </w:t>
      </w:r>
      <w:r w:rsidR="00073F08" w:rsidRPr="00783BC8">
        <w:rPr>
          <w:b/>
        </w:rPr>
        <w:t xml:space="preserve">Per Share </w:t>
      </w:r>
    </w:p>
    <w:p w14:paraId="493B8557" w14:textId="725B3980" w:rsidR="000E59A9" w:rsidRDefault="00F5266B" w:rsidP="000E59A9">
      <w:pPr>
        <w:keepNext/>
        <w:jc w:val="center"/>
      </w:pPr>
      <w:r>
        <w:rPr>
          <w:noProof/>
          <w:lang w:eastAsia="en-IN" w:bidi="ar-SA"/>
        </w:rPr>
        <w:drawing>
          <wp:inline distT="0" distB="0" distL="0" distR="0" wp14:anchorId="30B9D2FF" wp14:editId="63E03EE6">
            <wp:extent cx="4572000" cy="234315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945B036" w14:textId="704101F4" w:rsidR="000E59A9" w:rsidRPr="00783BC8" w:rsidRDefault="000E59A9" w:rsidP="000E59A9">
      <w:pPr>
        <w:pStyle w:val="Caption"/>
        <w:jc w:val="center"/>
        <w:rPr>
          <w:b/>
        </w:rPr>
      </w:pPr>
      <w:r>
        <w:t xml:space="preserve">Figure </w:t>
      </w:r>
      <w:fldSimple w:instr=" SEQ Figure \* ARABIC ">
        <w:r>
          <w:rPr>
            <w:noProof/>
          </w:rPr>
          <w:t>6</w:t>
        </w:r>
      </w:fldSimple>
      <w:r>
        <w:t>: Operating cash flow per share; Source: Author</w:t>
      </w:r>
    </w:p>
    <w:p w14:paraId="2DAC1AC0" w14:textId="2F3E92B0" w:rsidR="001D7946" w:rsidRDefault="00BA1597" w:rsidP="00B75D28">
      <w:r>
        <w:t xml:space="preserve">The cash flow per share ratio is the effective ratio, which </w:t>
      </w:r>
      <w:r w:rsidR="0049337E">
        <w:t xml:space="preserve">measures the firm’s strength to identify the </w:t>
      </w:r>
      <w:r w:rsidR="00EE5BD2">
        <w:t>cash flow of the firm by indicating the share value</w:t>
      </w:r>
      <w:sdt>
        <w:sdtPr>
          <w:id w:val="-1893331572"/>
          <w:citation/>
        </w:sdtPr>
        <w:sdtContent>
          <w:r w:rsidR="000D1029">
            <w:fldChar w:fldCharType="begin"/>
          </w:r>
          <w:r w:rsidR="000D1029">
            <w:rPr>
              <w:lang w:val="en-US"/>
            </w:rPr>
            <w:instrText xml:space="preserve"> CITATION Bel21 \l 1033 </w:instrText>
          </w:r>
          <w:r w:rsidR="000D1029">
            <w:fldChar w:fldCharType="separate"/>
          </w:r>
          <w:r w:rsidR="002351C5">
            <w:rPr>
              <w:noProof/>
              <w:lang w:val="en-US"/>
            </w:rPr>
            <w:t xml:space="preserve"> </w:t>
          </w:r>
          <w:r w:rsidR="002351C5" w:rsidRPr="002351C5">
            <w:rPr>
              <w:noProof/>
              <w:lang w:val="en-US"/>
            </w:rPr>
            <w:t>(Beladi, et al., 2021)</w:t>
          </w:r>
          <w:r w:rsidR="000D1029">
            <w:fldChar w:fldCharType="end"/>
          </w:r>
        </w:sdtContent>
      </w:sdt>
      <w:r w:rsidR="00EE5BD2">
        <w:t xml:space="preserve">. The </w:t>
      </w:r>
      <w:r w:rsidR="002D3626">
        <w:t xml:space="preserve">operating cash flow values are </w:t>
      </w:r>
      <w:r w:rsidR="00BB27F9">
        <w:t>-1.456 and 0.0083 for 2021 and 2020</w:t>
      </w:r>
      <w:r w:rsidR="00073F08">
        <w:t>,</w:t>
      </w:r>
      <w:r w:rsidR="00BB27F9">
        <w:t xml:space="preserve"> respectively</w:t>
      </w:r>
      <w:r w:rsidR="00073F08">
        <w:t>,</w:t>
      </w:r>
      <w:r w:rsidR="00BB27F9">
        <w:t xml:space="preserve"> and the ratios are valuable to justify the financial health o</w:t>
      </w:r>
      <w:r w:rsidR="00073F08">
        <w:t>f</w:t>
      </w:r>
      <w:r w:rsidR="00BB27F9">
        <w:t xml:space="preserve"> the evaluation. </w:t>
      </w:r>
      <w:r w:rsidR="00740E22">
        <w:t xml:space="preserve">It is seen that the ratio values </w:t>
      </w:r>
      <w:r w:rsidR="00740E22">
        <w:lastRenderedPageBreak/>
        <w:t xml:space="preserve">are not ideal in the years that indicate Marriott is not able to cover </w:t>
      </w:r>
      <w:r w:rsidR="00073F08">
        <w:t>its</w:t>
      </w:r>
      <w:r w:rsidR="00702297">
        <w:t xml:space="preserve"> current short-term liabilities. In order to calculate the ratio, </w:t>
      </w:r>
      <w:r w:rsidR="00CD2ABF">
        <w:t xml:space="preserve">the operating cash flow value is subtracted from the preferred divided and </w:t>
      </w:r>
      <w:r w:rsidR="009C4B74">
        <w:t xml:space="preserve">dividing </w:t>
      </w:r>
      <w:r w:rsidR="00CD2ABF">
        <w:t xml:space="preserve">the </w:t>
      </w:r>
      <w:r w:rsidR="009C4B74">
        <w:t xml:space="preserve">actual value </w:t>
      </w:r>
      <w:r w:rsidR="00B75D28">
        <w:t xml:space="preserve">by </w:t>
      </w:r>
      <w:r w:rsidR="00073F08">
        <w:t xml:space="preserve">the </w:t>
      </w:r>
      <w:r w:rsidR="00B75D28">
        <w:t xml:space="preserve">weighted average number of shares. </w:t>
      </w:r>
    </w:p>
    <w:p w14:paraId="2725A66B" w14:textId="4191EF8A" w:rsidR="00E143D0" w:rsidRDefault="00A6470E" w:rsidP="00EF325D">
      <w:pPr>
        <w:pStyle w:val="Heading2"/>
      </w:pPr>
      <w:bookmarkStart w:id="4" w:name="_Toc119599533"/>
      <w:r>
        <w:t>Gearing</w:t>
      </w:r>
      <w:bookmarkEnd w:id="4"/>
    </w:p>
    <w:p w14:paraId="1B4AA19A" w14:textId="6E6B9392" w:rsidR="00E143D0" w:rsidRDefault="00E270B3">
      <w:pPr>
        <w:rPr>
          <w:b/>
        </w:rPr>
      </w:pPr>
      <w:r w:rsidRPr="00783BC8">
        <w:rPr>
          <w:b/>
        </w:rPr>
        <w:t xml:space="preserve">Debt to </w:t>
      </w:r>
      <w:r w:rsidR="00073F08" w:rsidRPr="00783BC8">
        <w:rPr>
          <w:b/>
        </w:rPr>
        <w:t xml:space="preserve">Equity Ratio </w:t>
      </w:r>
    </w:p>
    <w:p w14:paraId="5B7CE70C" w14:textId="5B5C441B" w:rsidR="000E59A9" w:rsidRDefault="00F5266B" w:rsidP="000E59A9">
      <w:pPr>
        <w:keepNext/>
        <w:jc w:val="center"/>
      </w:pPr>
      <w:r>
        <w:rPr>
          <w:noProof/>
          <w:lang w:eastAsia="en-IN" w:bidi="ar-SA"/>
        </w:rPr>
        <w:drawing>
          <wp:inline distT="0" distB="0" distL="0" distR="0" wp14:anchorId="7DADA136" wp14:editId="090E99EB">
            <wp:extent cx="4572000" cy="2447925"/>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2C689F0" w14:textId="70F88743" w:rsidR="000E59A9" w:rsidRPr="00783BC8" w:rsidRDefault="000E59A9" w:rsidP="000E59A9">
      <w:pPr>
        <w:pStyle w:val="Caption"/>
        <w:jc w:val="center"/>
        <w:rPr>
          <w:b/>
        </w:rPr>
      </w:pPr>
      <w:r>
        <w:t xml:space="preserve">Figure </w:t>
      </w:r>
      <w:fldSimple w:instr=" SEQ Figure \* ARABIC ">
        <w:r>
          <w:rPr>
            <w:noProof/>
          </w:rPr>
          <w:t>7</w:t>
        </w:r>
      </w:fldSimple>
      <w:r>
        <w:t>: Debt to Equity Ratio; Source: Author</w:t>
      </w:r>
    </w:p>
    <w:p w14:paraId="5CA28367" w14:textId="2732B085" w:rsidR="00B75D28" w:rsidRDefault="0092367B">
      <w:r>
        <w:t>The debt</w:t>
      </w:r>
      <w:r w:rsidR="00073F08">
        <w:t>-to-</w:t>
      </w:r>
      <w:r>
        <w:t xml:space="preserve">equity ratio is a kind of gearing ratio, which is calculated by </w:t>
      </w:r>
      <w:r w:rsidR="00AB3EE2">
        <w:t>dividing total liabilities or debt by total shareholders’ equity, which identifies the contribution of the company</w:t>
      </w:r>
      <w:r w:rsidR="00466B59">
        <w:t xml:space="preserve">’s creditors as well as shareholders in the capital employed </w:t>
      </w:r>
      <w:r w:rsidR="00F87393">
        <w:t>or the business</w:t>
      </w:r>
      <w:sdt>
        <w:sdtPr>
          <w:id w:val="559683166"/>
          <w:citation/>
        </w:sdtPr>
        <w:sdtContent>
          <w:r w:rsidR="000D1029">
            <w:fldChar w:fldCharType="begin"/>
          </w:r>
          <w:r w:rsidR="000D1029">
            <w:rPr>
              <w:lang w:val="en-US"/>
            </w:rPr>
            <w:instrText xml:space="preserve"> CITATION Sir211 \l 1033 </w:instrText>
          </w:r>
          <w:r w:rsidR="000D1029">
            <w:fldChar w:fldCharType="separate"/>
          </w:r>
          <w:r w:rsidR="002351C5">
            <w:rPr>
              <w:noProof/>
              <w:lang w:val="en-US"/>
            </w:rPr>
            <w:t xml:space="preserve"> </w:t>
          </w:r>
          <w:r w:rsidR="002351C5" w:rsidRPr="002351C5">
            <w:rPr>
              <w:noProof/>
              <w:lang w:val="en-US"/>
            </w:rPr>
            <w:t>(Sirait, et al., 2021)</w:t>
          </w:r>
          <w:r w:rsidR="000D1029">
            <w:fldChar w:fldCharType="end"/>
          </w:r>
        </w:sdtContent>
      </w:sdt>
      <w:r w:rsidR="00F87393">
        <w:t>. The debt</w:t>
      </w:r>
      <w:r w:rsidR="00073F08">
        <w:t>-to-</w:t>
      </w:r>
      <w:r w:rsidR="00F87393">
        <w:t xml:space="preserve">equity ratio values </w:t>
      </w:r>
      <w:r w:rsidR="00073F08">
        <w:t>are</w:t>
      </w:r>
      <w:r w:rsidR="00F87393">
        <w:t xml:space="preserve"> 7.1697 and 24.1302 for 2021 and 2020</w:t>
      </w:r>
      <w:r w:rsidR="00073F08">
        <w:t>,</w:t>
      </w:r>
      <w:r w:rsidR="00F87393">
        <w:t xml:space="preserve"> respectively. It is seen that Marriott has </w:t>
      </w:r>
      <w:r w:rsidR="00073F08">
        <w:t xml:space="preserve">a </w:t>
      </w:r>
      <w:r w:rsidR="00F87393">
        <w:t xml:space="preserve">high debt </w:t>
      </w:r>
      <w:r w:rsidR="00850317">
        <w:t>to tackle liabilities</w:t>
      </w:r>
      <w:r w:rsidR="00073F08">
        <w:t>,</w:t>
      </w:r>
      <w:r w:rsidR="00850317">
        <w:t xml:space="preserve"> and the high debt is found due to the high </w:t>
      </w:r>
      <w:r w:rsidR="006615DB">
        <w:t>debt of the company as well as the total liabilities vales that are $24139 million and $24271 million for 2021 and 2020</w:t>
      </w:r>
      <w:r w:rsidR="00073F08">
        <w:t>,</w:t>
      </w:r>
      <w:r w:rsidR="006615DB">
        <w:t xml:space="preserve"> respectively</w:t>
      </w:r>
      <w:r w:rsidR="00073F08">
        <w:t>,</w:t>
      </w:r>
      <w:r w:rsidR="006615DB">
        <w:t xml:space="preserve"> and on the other side</w:t>
      </w:r>
      <w:r w:rsidR="00073F08">
        <w:t>,</w:t>
      </w:r>
      <w:r w:rsidR="006615DB">
        <w:t xml:space="preserve"> the </w:t>
      </w:r>
      <w:r w:rsidR="001B2E62">
        <w:t>shareholder</w:t>
      </w:r>
      <w:r w:rsidR="00073F08">
        <w:t>'</w:t>
      </w:r>
      <w:r w:rsidR="001B2E62">
        <w:t xml:space="preserve">s equity values are $1414 million and $430 million for 2021 and </w:t>
      </w:r>
      <w:r w:rsidR="00D33629">
        <w:t>2020 respectively</w:t>
      </w:r>
      <w:sdt>
        <w:sdtPr>
          <w:id w:val="-720591228"/>
          <w:citation/>
        </w:sdtPr>
        <w:sdtContent>
          <w:r w:rsidR="002351C5">
            <w:fldChar w:fldCharType="begin"/>
          </w:r>
          <w:r w:rsidR="002351C5">
            <w:rPr>
              <w:lang w:val="en-US"/>
            </w:rPr>
            <w:instrText xml:space="preserve"> CITATION Mac225 \l 1033 </w:instrText>
          </w:r>
          <w:r w:rsidR="002351C5">
            <w:fldChar w:fldCharType="separate"/>
          </w:r>
          <w:r w:rsidR="002351C5">
            <w:rPr>
              <w:noProof/>
              <w:lang w:val="en-US"/>
            </w:rPr>
            <w:t xml:space="preserve"> </w:t>
          </w:r>
          <w:r w:rsidR="002351C5" w:rsidRPr="002351C5">
            <w:rPr>
              <w:noProof/>
              <w:lang w:val="en-US"/>
            </w:rPr>
            <w:t>(Macro Trends, 2022)</w:t>
          </w:r>
          <w:r w:rsidR="002351C5">
            <w:fldChar w:fldCharType="end"/>
          </w:r>
        </w:sdtContent>
      </w:sdt>
      <w:r w:rsidR="00D33629">
        <w:t>. It is seen that the shareholder</w:t>
      </w:r>
      <w:r w:rsidR="00073F08">
        <w:t>'</w:t>
      </w:r>
      <w:r w:rsidR="00D33629">
        <w:t>s equity value of 2020 is not good enough</w:t>
      </w:r>
      <w:r w:rsidR="00073F08">
        <w:t>,</w:t>
      </w:r>
      <w:r w:rsidR="00D33629">
        <w:t xml:space="preserve"> for which the </w:t>
      </w:r>
      <w:r w:rsidR="00CE717E">
        <w:t>debt</w:t>
      </w:r>
      <w:r w:rsidR="00073F08">
        <w:t>-to-</w:t>
      </w:r>
      <w:r w:rsidR="0004350C">
        <w:t xml:space="preserve">equity ratio value is very high and not ideal for Marriott. </w:t>
      </w:r>
    </w:p>
    <w:p w14:paraId="1B6D3AE5" w14:textId="6B179308" w:rsidR="00E270B3" w:rsidRDefault="00814BD1">
      <w:pPr>
        <w:rPr>
          <w:b/>
        </w:rPr>
      </w:pPr>
      <w:r w:rsidRPr="008B2E1B">
        <w:rPr>
          <w:b/>
        </w:rPr>
        <w:t xml:space="preserve">Debt to </w:t>
      </w:r>
      <w:r w:rsidR="00073F08" w:rsidRPr="008B2E1B">
        <w:rPr>
          <w:b/>
        </w:rPr>
        <w:t xml:space="preserve">Capital Ratio </w:t>
      </w:r>
    </w:p>
    <w:p w14:paraId="6D98D8DB" w14:textId="7266BE48" w:rsidR="000E59A9" w:rsidRDefault="00F5266B" w:rsidP="000E59A9">
      <w:pPr>
        <w:keepNext/>
        <w:jc w:val="center"/>
      </w:pPr>
      <w:r>
        <w:rPr>
          <w:noProof/>
          <w:lang w:eastAsia="en-IN" w:bidi="ar-SA"/>
        </w:rPr>
        <w:lastRenderedPageBreak/>
        <w:drawing>
          <wp:inline distT="0" distB="0" distL="0" distR="0" wp14:anchorId="6A9EB7A1" wp14:editId="65F795D8">
            <wp:extent cx="4572000" cy="260985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3D83EBD" w14:textId="65D356CA" w:rsidR="000E59A9" w:rsidRPr="008B2E1B" w:rsidRDefault="000E59A9" w:rsidP="000E59A9">
      <w:pPr>
        <w:pStyle w:val="Caption"/>
        <w:jc w:val="center"/>
        <w:rPr>
          <w:b/>
        </w:rPr>
      </w:pPr>
      <w:r>
        <w:t xml:space="preserve">Figure </w:t>
      </w:r>
      <w:fldSimple w:instr=" SEQ Figure \* ARABIC ">
        <w:r>
          <w:rPr>
            <w:noProof/>
          </w:rPr>
          <w:t>8</w:t>
        </w:r>
      </w:fldSimple>
      <w:r>
        <w:t>: Debt to Capital Ratio; Source: Author</w:t>
      </w:r>
    </w:p>
    <w:p w14:paraId="2F2EA42B" w14:textId="62D3E004" w:rsidR="0004350C" w:rsidRDefault="00175315">
      <w:r>
        <w:t>The debt</w:t>
      </w:r>
      <w:r w:rsidR="00073F08">
        <w:t>-to-</w:t>
      </w:r>
      <w:r>
        <w:t xml:space="preserve">capital ratio is calculated to measure the financial leverage of the company </w:t>
      </w:r>
      <w:r w:rsidR="00F85DA5">
        <w:t>by taking the compan</w:t>
      </w:r>
      <w:r w:rsidR="00073F08">
        <w:t>y's</w:t>
      </w:r>
      <w:r w:rsidR="00F85DA5">
        <w:t xml:space="preserve"> bearing liabilities for both long-term and short-term liabilities</w:t>
      </w:r>
      <w:sdt>
        <w:sdtPr>
          <w:id w:val="-3587921"/>
          <w:citation/>
        </w:sdtPr>
        <w:sdtContent>
          <w:r w:rsidR="00073F08">
            <w:fldChar w:fldCharType="begin"/>
          </w:r>
          <w:r w:rsidR="00073F08">
            <w:rPr>
              <w:lang w:val="en-US"/>
            </w:rPr>
            <w:instrText xml:space="preserve"> CITATION YuT18 \l 1033 </w:instrText>
          </w:r>
          <w:r w:rsidR="00073F08">
            <w:fldChar w:fldCharType="separate"/>
          </w:r>
          <w:r w:rsidR="002351C5">
            <w:rPr>
              <w:noProof/>
              <w:lang w:val="en-US"/>
            </w:rPr>
            <w:t xml:space="preserve"> </w:t>
          </w:r>
          <w:r w:rsidR="002351C5" w:rsidRPr="002351C5">
            <w:rPr>
              <w:noProof/>
              <w:lang w:val="en-US"/>
            </w:rPr>
            <w:t>(Yu, et al., 2018)</w:t>
          </w:r>
          <w:r w:rsidR="00073F08">
            <w:fldChar w:fldCharType="end"/>
          </w:r>
        </w:sdtContent>
      </w:sdt>
      <w:r w:rsidR="00927B4D">
        <w:t xml:space="preserve">. </w:t>
      </w:r>
      <w:r w:rsidR="00580E4A">
        <w:t>The debt</w:t>
      </w:r>
      <w:r w:rsidR="00073F08">
        <w:t>-to-</w:t>
      </w:r>
      <w:r w:rsidR="00580E4A">
        <w:t xml:space="preserve">capital ratio </w:t>
      </w:r>
      <w:r w:rsidR="00AA1A1F">
        <w:t>is evaluated</w:t>
      </w:r>
      <w:r w:rsidR="00580E4A">
        <w:t xml:space="preserve"> by dividing total liabilities by </w:t>
      </w:r>
      <w:r w:rsidR="00AA1A1F">
        <w:t xml:space="preserve">the value of debt plus shareholder equity. The ratio values are </w:t>
      </w:r>
      <w:r w:rsidR="00F74BCF">
        <w:t xml:space="preserve">0.9447 and </w:t>
      </w:r>
      <w:r w:rsidR="00967780">
        <w:t>0.9826 for 2021 and 2020</w:t>
      </w:r>
      <w:r w:rsidR="00073F08">
        <w:t>,</w:t>
      </w:r>
      <w:r w:rsidR="00967780">
        <w:t xml:space="preserve"> respectively</w:t>
      </w:r>
      <w:r w:rsidR="00073F08">
        <w:t>,</w:t>
      </w:r>
      <w:r w:rsidR="00967780">
        <w:t xml:space="preserve"> </w:t>
      </w:r>
      <w:r w:rsidR="00073F08">
        <w:t>which</w:t>
      </w:r>
      <w:r w:rsidR="00967780">
        <w:t xml:space="preserve"> clarifies Marriott has </w:t>
      </w:r>
      <w:r w:rsidR="00801D70">
        <w:t>significantly</w:t>
      </w:r>
      <w:r w:rsidR="00FA1E19">
        <w:t xml:space="preserve"> more debt than equity as well as identifie</w:t>
      </w:r>
      <w:r w:rsidR="00073F08">
        <w:t>d</w:t>
      </w:r>
      <w:r w:rsidR="00FA1E19">
        <w:t xml:space="preserve"> weak financial condition. This occurred due to the high </w:t>
      </w:r>
      <w:r w:rsidR="008B2E1B">
        <w:t xml:space="preserve">liabilities of the firm, which directly </w:t>
      </w:r>
      <w:r w:rsidR="00073F08">
        <w:t>a</w:t>
      </w:r>
      <w:r w:rsidR="008B2E1B">
        <w:t>ffect</w:t>
      </w:r>
      <w:r w:rsidR="00073F08">
        <w:t>ed</w:t>
      </w:r>
      <w:r w:rsidR="008B2E1B">
        <w:t xml:space="preserve"> the financial condition.  </w:t>
      </w:r>
      <w:r w:rsidR="00801D70">
        <w:t xml:space="preserve"> </w:t>
      </w:r>
    </w:p>
    <w:p w14:paraId="6C245484" w14:textId="3887B3F9" w:rsidR="00E143D0" w:rsidRDefault="000A6544" w:rsidP="00EF325D">
      <w:pPr>
        <w:pStyle w:val="Heading1"/>
      </w:pPr>
      <w:bookmarkStart w:id="5" w:name="_Toc119599534"/>
      <w:r>
        <w:t>Interpretations</w:t>
      </w:r>
      <w:r w:rsidR="00A6470E">
        <w:t xml:space="preserve"> from the Ratio Analysis</w:t>
      </w:r>
      <w:bookmarkEnd w:id="5"/>
      <w:r w:rsidR="00A6470E">
        <w:t xml:space="preserve"> </w:t>
      </w:r>
    </w:p>
    <w:p w14:paraId="3849E252" w14:textId="40BDB768" w:rsidR="00E143D0" w:rsidRDefault="00994DB6" w:rsidP="00EF325D">
      <w:r>
        <w:t xml:space="preserve">The interpretation of the accounting ratio analysis clarifies the year-end changes, which </w:t>
      </w:r>
      <w:r w:rsidR="00073F08">
        <w:t>are</w:t>
      </w:r>
      <w:r>
        <w:t xml:space="preserve"> documented in </w:t>
      </w:r>
      <w:r w:rsidR="00073F08">
        <w:t xml:space="preserve">a </w:t>
      </w:r>
      <w:r>
        <w:t>financial statement</w:t>
      </w:r>
      <w:r w:rsidR="000F7342">
        <w:t xml:space="preserve"> as well as it is seen that the ratios are ignored the price level of the changes due to the inflation issue. The limitation </w:t>
      </w:r>
      <w:r w:rsidR="00F13E2E">
        <w:t xml:space="preserve">completely measures the financial health of Marriott to justify the financial condition internally and externally. The ratio of Marriott is important to justify understanding the </w:t>
      </w:r>
      <w:r w:rsidR="00CD1D61">
        <w:t>financial healthiness, which impact</w:t>
      </w:r>
      <w:r w:rsidR="00073F08">
        <w:t>s</w:t>
      </w:r>
      <w:r w:rsidR="00CD1D61">
        <w:t xml:space="preserve"> the current and future financial </w:t>
      </w:r>
      <w:r w:rsidR="00384DF2">
        <w:t>activities</w:t>
      </w:r>
      <w:sdt>
        <w:sdtPr>
          <w:id w:val="1127969311"/>
          <w:citation/>
        </w:sdtPr>
        <w:sdtContent>
          <w:r w:rsidR="00F059EF">
            <w:fldChar w:fldCharType="begin"/>
          </w:r>
          <w:r w:rsidR="00F059EF">
            <w:rPr>
              <w:lang w:val="en-US"/>
            </w:rPr>
            <w:instrText xml:space="preserve"> CITATION Mao22 \l 1033 </w:instrText>
          </w:r>
          <w:r w:rsidR="00F059EF">
            <w:fldChar w:fldCharType="separate"/>
          </w:r>
          <w:r w:rsidR="002351C5">
            <w:rPr>
              <w:noProof/>
              <w:lang w:val="en-US"/>
            </w:rPr>
            <w:t xml:space="preserve"> </w:t>
          </w:r>
          <w:r w:rsidR="002351C5" w:rsidRPr="002351C5">
            <w:rPr>
              <w:noProof/>
              <w:lang w:val="en-US"/>
            </w:rPr>
            <w:t>(Mao, et al., 2022)</w:t>
          </w:r>
          <w:r w:rsidR="00F059EF">
            <w:fldChar w:fldCharType="end"/>
          </w:r>
        </w:sdtContent>
      </w:sdt>
      <w:r w:rsidR="00384DF2">
        <w:t xml:space="preserve">. The accounting ratios are evaluated based on the financial information from </w:t>
      </w:r>
      <w:r w:rsidR="00073F08">
        <w:t xml:space="preserve">the </w:t>
      </w:r>
      <w:r w:rsidR="00384DF2">
        <w:t xml:space="preserve">financial statement to justify the accounting need </w:t>
      </w:r>
      <w:r w:rsidR="00653E82">
        <w:t xml:space="preserve">to understand the ability of the company to tackle </w:t>
      </w:r>
      <w:r w:rsidR="00073F08">
        <w:t xml:space="preserve">a </w:t>
      </w:r>
      <w:r w:rsidR="00653E82">
        <w:t xml:space="preserve">financial crisis. </w:t>
      </w:r>
      <w:r w:rsidR="00577F68">
        <w:t xml:space="preserve">The fluctuations of the financial ratios </w:t>
      </w:r>
      <w:r w:rsidR="00073F08">
        <w:t>are</w:t>
      </w:r>
      <w:r w:rsidR="00577F68">
        <w:t xml:space="preserve"> important for hotel management</w:t>
      </w:r>
      <w:r w:rsidR="00073F08">
        <w:t>,</w:t>
      </w:r>
      <w:r w:rsidR="00577F68">
        <w:t xml:space="preserve"> as seen from the financial statement of Marriott. The </w:t>
      </w:r>
      <w:r w:rsidR="00B5176D">
        <w:t xml:space="preserve">ratios calculations provide an understanding to the stakeholders about the long-term solvency in </w:t>
      </w:r>
      <w:r w:rsidR="00073F08">
        <w:t xml:space="preserve">the </w:t>
      </w:r>
      <w:r w:rsidR="00B5176D">
        <w:t xml:space="preserve">hospitality industry. </w:t>
      </w:r>
      <w:r w:rsidR="004114B6">
        <w:t xml:space="preserve">Ratio evaluation is important for Marriot to justify </w:t>
      </w:r>
      <w:r w:rsidR="00073F08">
        <w:t>its</w:t>
      </w:r>
      <w:r w:rsidR="004114B6">
        <w:t xml:space="preserve"> ability to pay long-term debt obligations, which </w:t>
      </w:r>
      <w:r w:rsidR="00073F08">
        <w:t>a</w:t>
      </w:r>
      <w:r w:rsidR="004114B6">
        <w:t xml:space="preserve">ffects </w:t>
      </w:r>
      <w:r w:rsidR="00073F08">
        <w:t>its</w:t>
      </w:r>
      <w:r w:rsidR="004114B6">
        <w:t xml:space="preserve"> financial condition. It is seen that</w:t>
      </w:r>
      <w:r w:rsidR="00F929BA">
        <w:t xml:space="preserve"> the ratio analysis of 20221 and 2020 provides a clear scenario regarding </w:t>
      </w:r>
      <w:r w:rsidR="00073F08">
        <w:t xml:space="preserve">the </w:t>
      </w:r>
      <w:r w:rsidR="00F929BA">
        <w:t xml:space="preserve">financial condition </w:t>
      </w:r>
      <w:r w:rsidR="00F929BA">
        <w:lastRenderedPageBreak/>
        <w:t xml:space="preserve">of the hotel management as well as its consequence understanding for </w:t>
      </w:r>
      <w:r w:rsidR="00073F08">
        <w:t>a</w:t>
      </w:r>
      <w:r w:rsidR="00F929BA">
        <w:t xml:space="preserve">ffecting Marriott directly. </w:t>
      </w:r>
    </w:p>
    <w:p w14:paraId="77BDAA5F" w14:textId="1A41D3F8" w:rsidR="0098437C" w:rsidRDefault="00F929BA" w:rsidP="00EF325D">
      <w:r>
        <w:t>The ratio analysis interpretation provide</w:t>
      </w:r>
      <w:r w:rsidR="00073F08">
        <w:t>s</w:t>
      </w:r>
      <w:r>
        <w:t xml:space="preserve"> factual information about hospitality management to understand </w:t>
      </w:r>
      <w:r w:rsidR="00073F08">
        <w:t xml:space="preserve">the </w:t>
      </w:r>
      <w:r>
        <w:t xml:space="preserve">organisation’s debt and its ability to pay </w:t>
      </w:r>
      <w:r w:rsidR="006F7281">
        <w:t>these</w:t>
      </w:r>
      <w:r w:rsidR="00073F08">
        <w:rPr>
          <w:noProof/>
          <w:lang w:val="en-US"/>
        </w:rPr>
        <w:t xml:space="preserve"> </w:t>
      </w:r>
      <w:r w:rsidR="00073F08" w:rsidRPr="00073F08">
        <w:rPr>
          <w:noProof/>
          <w:lang w:val="en-US"/>
        </w:rPr>
        <w:t xml:space="preserve">(Hertina </w:t>
      </w:r>
      <w:r w:rsidR="00073F08">
        <w:rPr>
          <w:noProof/>
        </w:rPr>
        <w:t>and</w:t>
      </w:r>
      <w:r w:rsidR="00073F08" w:rsidRPr="00073F08">
        <w:rPr>
          <w:noProof/>
          <w:lang w:val="en-US"/>
        </w:rPr>
        <w:t xml:space="preserve"> Saudi, 2019)</w:t>
      </w:r>
      <w:r w:rsidR="006F7281">
        <w:t xml:space="preserve">. The profitability ratios identified </w:t>
      </w:r>
      <w:r w:rsidR="00073F08">
        <w:t xml:space="preserve">a </w:t>
      </w:r>
      <w:r w:rsidR="006F7281">
        <w:t xml:space="preserve">clear scenario about Marriott, which identifies low net income and its effect on the </w:t>
      </w:r>
      <w:r w:rsidR="00B16C02">
        <w:t>ratios that directly identifies financial healthiness that is not ideal for the hotel management</w:t>
      </w:r>
      <w:r w:rsidR="00073F08">
        <w:t>,</w:t>
      </w:r>
      <w:r w:rsidR="00B16C02">
        <w:t xml:space="preserve"> but </w:t>
      </w:r>
      <w:r w:rsidR="00073F08">
        <w:t xml:space="preserve">the </w:t>
      </w:r>
      <w:r w:rsidR="00B16C02">
        <w:t xml:space="preserve">evaluation is important to know the future possibility as well as </w:t>
      </w:r>
      <w:r w:rsidR="00FC6607">
        <w:t>changing of the accounting and organisation’s activities to involve in high productivity</w:t>
      </w:r>
      <w:sdt>
        <w:sdtPr>
          <w:id w:val="1998002030"/>
          <w:citation/>
        </w:sdtPr>
        <w:sdtContent>
          <w:r w:rsidR="00414A3E">
            <w:fldChar w:fldCharType="begin"/>
          </w:r>
          <w:r w:rsidR="00414A3E">
            <w:rPr>
              <w:lang w:val="en-US"/>
            </w:rPr>
            <w:instrText xml:space="preserve"> CITATION Tze21 \l 1033 </w:instrText>
          </w:r>
          <w:r w:rsidR="00414A3E">
            <w:fldChar w:fldCharType="separate"/>
          </w:r>
          <w:r w:rsidR="002351C5">
            <w:rPr>
              <w:noProof/>
              <w:lang w:val="en-US"/>
            </w:rPr>
            <w:t xml:space="preserve"> </w:t>
          </w:r>
          <w:r w:rsidR="002351C5" w:rsidRPr="002351C5">
            <w:rPr>
              <w:noProof/>
              <w:lang w:val="en-US"/>
            </w:rPr>
            <w:t>(Tzermias, et al., 2021)</w:t>
          </w:r>
          <w:r w:rsidR="00414A3E">
            <w:fldChar w:fldCharType="end"/>
          </w:r>
        </w:sdtContent>
      </w:sdt>
      <w:r w:rsidR="00FC6607">
        <w:t xml:space="preserve">. </w:t>
      </w:r>
      <w:r w:rsidR="00073F08">
        <w:t>F</w:t>
      </w:r>
      <w:r w:rsidR="00FC6607">
        <w:t>inancial steadiness also identifies the financial healthiness that need</w:t>
      </w:r>
      <w:r w:rsidR="00073F08">
        <w:t>s</w:t>
      </w:r>
      <w:r w:rsidR="00FC6607">
        <w:t xml:space="preserve"> to improve</w:t>
      </w:r>
      <w:r w:rsidR="00073F08">
        <w:t>,</w:t>
      </w:r>
      <w:r w:rsidR="00FC6607">
        <w:t xml:space="preserve"> and it is also seen that 2021 </w:t>
      </w:r>
      <w:r w:rsidR="003317E8">
        <w:t xml:space="preserve">is </w:t>
      </w:r>
      <w:r w:rsidR="00073F08">
        <w:t xml:space="preserve">a </w:t>
      </w:r>
      <w:r w:rsidR="003317E8">
        <w:t>little better condition of financial health compared to 2020. The analysis of the ratio also indicates th</w:t>
      </w:r>
      <w:r w:rsidR="00073F08">
        <w:t>at</w:t>
      </w:r>
      <w:r w:rsidR="003317E8">
        <w:t xml:space="preserve"> financial accuracy is important as it is the blueprint of </w:t>
      </w:r>
      <w:r w:rsidR="0098437C">
        <w:t>hotel management. The ratio evaluation provides adequate data and understanding about the hospitality industry</w:t>
      </w:r>
      <w:r w:rsidR="00073F08">
        <w:t>,</w:t>
      </w:r>
      <w:r w:rsidR="0098437C">
        <w:t xml:space="preserve"> justifying their financial healthiness accordingly. The accounting ratios are played </w:t>
      </w:r>
      <w:r w:rsidR="00073F08">
        <w:t xml:space="preserve">a </w:t>
      </w:r>
      <w:r w:rsidR="0098437C">
        <w:t>crucial role in highlighting the information about hospit</w:t>
      </w:r>
      <w:r w:rsidR="005D4F7A">
        <w:t xml:space="preserve">ality management to justify the future possibility. </w:t>
      </w:r>
      <w:r w:rsidR="00073F08">
        <w:t>The r</w:t>
      </w:r>
      <w:r w:rsidR="005D4F7A">
        <w:t xml:space="preserve">eturn on equity (ROE) ratio is </w:t>
      </w:r>
      <w:r w:rsidR="00073F08">
        <w:t xml:space="preserve">a </w:t>
      </w:r>
      <w:r w:rsidR="005D4F7A">
        <w:t xml:space="preserve">crucial ratio that identifies the </w:t>
      </w:r>
      <w:r w:rsidR="002F7078">
        <w:t xml:space="preserve">overall profitability information about the organisation. </w:t>
      </w:r>
    </w:p>
    <w:p w14:paraId="22008258" w14:textId="239844E5" w:rsidR="00FC6607" w:rsidRDefault="00085C3B" w:rsidP="00EF325D">
      <w:r>
        <w:t xml:space="preserve">It is seen from the ratio analysis of Marriott that the organisation need to improve financial healthiness by increasing sales </w:t>
      </w:r>
      <w:r w:rsidR="00E2697F">
        <w:t>as the profitability condition of Marriot is not ideal for the grow</w:t>
      </w:r>
      <w:r w:rsidR="00073F08">
        <w:t>th</w:t>
      </w:r>
      <w:r w:rsidR="00E2697F">
        <w:t xml:space="preserve"> of the business. </w:t>
      </w:r>
      <w:r w:rsidR="001B362F">
        <w:t>The</w:t>
      </w:r>
      <w:r w:rsidR="00E2697F">
        <w:t xml:space="preserve"> hospitality industry </w:t>
      </w:r>
      <w:r w:rsidR="00073F08">
        <w:t xml:space="preserve">is </w:t>
      </w:r>
      <w:r w:rsidR="00E2697F">
        <w:t xml:space="preserve">always involved in generating </w:t>
      </w:r>
      <w:r w:rsidR="000D7BE2">
        <w:t>profits</w:t>
      </w:r>
      <w:r w:rsidR="00073F08">
        <w:t>,</w:t>
      </w:r>
      <w:r w:rsidR="000D7BE2">
        <w:t xml:space="preserve"> but the organisation has the chance to resolve financial </w:t>
      </w:r>
      <w:r w:rsidR="002B7E46">
        <w:t>condition</w:t>
      </w:r>
      <w:r w:rsidR="00073F08">
        <w:t>s</w:t>
      </w:r>
      <w:r w:rsidR="002B7E46">
        <w:t xml:space="preserve">. </w:t>
      </w:r>
    </w:p>
    <w:p w14:paraId="06A365B6" w14:textId="60D0CA59" w:rsidR="00E143D0" w:rsidRDefault="004A5E59" w:rsidP="00EF325D">
      <w:pPr>
        <w:pStyle w:val="Heading1"/>
      </w:pPr>
      <w:bookmarkStart w:id="6" w:name="_Toc119599535"/>
      <w:r>
        <w:t>Advantages</w:t>
      </w:r>
      <w:r w:rsidR="00A6470E">
        <w:t xml:space="preserve"> and </w:t>
      </w:r>
      <w:r>
        <w:t>disadvantages</w:t>
      </w:r>
      <w:r w:rsidR="00A6470E">
        <w:t xml:space="preserve"> of Accounting Ratios</w:t>
      </w:r>
      <w:bookmarkEnd w:id="6"/>
      <w:r w:rsidR="002F2BE5">
        <w:t xml:space="preserve"> </w:t>
      </w:r>
    </w:p>
    <w:p w14:paraId="5DE31B8D" w14:textId="08AF1C13" w:rsidR="004A5E59" w:rsidRPr="00462595" w:rsidRDefault="004A5E59" w:rsidP="004A5E59">
      <w:pPr>
        <w:rPr>
          <w:b/>
        </w:rPr>
      </w:pPr>
      <w:r w:rsidRPr="00462595">
        <w:rPr>
          <w:b/>
        </w:rPr>
        <w:t>Advantages</w:t>
      </w:r>
    </w:p>
    <w:p w14:paraId="63FD84FC" w14:textId="103AF0EB" w:rsidR="002B7E46" w:rsidRDefault="00073F08" w:rsidP="002B7E46">
      <w:r>
        <w:t>A</w:t>
      </w:r>
      <w:r w:rsidR="00FB1B23">
        <w:t>ccounting practice is impor</w:t>
      </w:r>
      <w:r w:rsidR="009F698B">
        <w:t xml:space="preserve">tant for any organisation as it provides accurate and significant information regarding the performance of the firm as well as assists </w:t>
      </w:r>
      <w:r>
        <w:t>in comparing</w:t>
      </w:r>
      <w:r w:rsidR="009F698B">
        <w:t xml:space="preserve"> </w:t>
      </w:r>
      <w:r w:rsidR="00575F5A">
        <w:t>two or more firms</w:t>
      </w:r>
      <w:sdt>
        <w:sdtPr>
          <w:id w:val="-2037262610"/>
          <w:citation/>
        </w:sdtPr>
        <w:sdtContent>
          <w:r>
            <w:fldChar w:fldCharType="begin"/>
          </w:r>
          <w:r>
            <w:rPr>
              <w:lang w:val="en-US"/>
            </w:rPr>
            <w:instrText xml:space="preserve"> CITATION Sir211 \l 1033 </w:instrText>
          </w:r>
          <w:r>
            <w:fldChar w:fldCharType="separate"/>
          </w:r>
          <w:r w:rsidR="002351C5">
            <w:rPr>
              <w:noProof/>
              <w:lang w:val="en-US"/>
            </w:rPr>
            <w:t xml:space="preserve"> </w:t>
          </w:r>
          <w:r w:rsidR="002351C5" w:rsidRPr="002351C5">
            <w:rPr>
              <w:noProof/>
              <w:lang w:val="en-US"/>
            </w:rPr>
            <w:t>(Sirait, et al., 2021)</w:t>
          </w:r>
          <w:r>
            <w:fldChar w:fldCharType="end"/>
          </w:r>
        </w:sdtContent>
      </w:sdt>
      <w:r w:rsidR="00575F5A">
        <w:t xml:space="preserve">. The ratio analysis also helps in comparing the organisation </w:t>
      </w:r>
      <w:r w:rsidR="002D5F8D">
        <w:t>between the previous and current condition to identify the accounting and financi</w:t>
      </w:r>
      <w:r w:rsidR="00693399">
        <w:t>al implication</w:t>
      </w:r>
      <w:r>
        <w:t>s</w:t>
      </w:r>
      <w:r w:rsidR="00693399">
        <w:t xml:space="preserve"> by measuring profits, los</w:t>
      </w:r>
      <w:r>
        <w:t>se</w:t>
      </w:r>
      <w:r w:rsidR="00693399">
        <w:t>s and selling annually</w:t>
      </w:r>
      <w:sdt>
        <w:sdtPr>
          <w:id w:val="230279269"/>
          <w:citation/>
        </w:sdtPr>
        <w:sdtContent>
          <w:r w:rsidR="006D6CA6">
            <w:fldChar w:fldCharType="begin"/>
          </w:r>
          <w:r w:rsidR="006D6CA6">
            <w:rPr>
              <w:lang w:val="en-US"/>
            </w:rPr>
            <w:instrText xml:space="preserve"> CITATION Den22 \l 1033 </w:instrText>
          </w:r>
          <w:r w:rsidR="006D6CA6">
            <w:fldChar w:fldCharType="separate"/>
          </w:r>
          <w:r w:rsidR="002351C5">
            <w:rPr>
              <w:noProof/>
              <w:lang w:val="en-US"/>
            </w:rPr>
            <w:t xml:space="preserve"> </w:t>
          </w:r>
          <w:r w:rsidR="002351C5" w:rsidRPr="002351C5">
            <w:rPr>
              <w:noProof/>
              <w:lang w:val="en-US"/>
            </w:rPr>
            <w:t>(Deng, et al., 2022)</w:t>
          </w:r>
          <w:r w:rsidR="006D6CA6">
            <w:fldChar w:fldCharType="end"/>
          </w:r>
        </w:sdtContent>
      </w:sdt>
      <w:r w:rsidR="00693399">
        <w:t xml:space="preserve">. The ratio analysis also helps in estimating the budgets </w:t>
      </w:r>
      <w:r w:rsidR="00695531">
        <w:t>by analysi</w:t>
      </w:r>
      <w:r>
        <w:t>ng</w:t>
      </w:r>
      <w:r w:rsidR="00695531">
        <w:t xml:space="preserve"> previous information as well as provides financial performance</w:t>
      </w:r>
      <w:r>
        <w:t>-</w:t>
      </w:r>
      <w:r w:rsidR="00695531">
        <w:t xml:space="preserve">related information. The analysis also assists in determining the liquidity and long-term solvency of the hospitality industry to justify the accounting impotence. </w:t>
      </w:r>
    </w:p>
    <w:p w14:paraId="2D4A2D37" w14:textId="09F53FDD" w:rsidR="00695531" w:rsidRPr="00462595" w:rsidRDefault="004A5E59" w:rsidP="002B7E46">
      <w:pPr>
        <w:rPr>
          <w:b/>
        </w:rPr>
      </w:pPr>
      <w:r w:rsidRPr="00462595">
        <w:rPr>
          <w:b/>
        </w:rPr>
        <w:t>Disadvantages</w:t>
      </w:r>
    </w:p>
    <w:p w14:paraId="3EC8B1B6" w14:textId="4DEAD756" w:rsidR="00A6470E" w:rsidRDefault="00D67A53">
      <w:r>
        <w:lastRenderedPageBreak/>
        <w:t xml:space="preserve">It </w:t>
      </w:r>
      <w:r w:rsidR="00073F08">
        <w:t>seems</w:t>
      </w:r>
      <w:r>
        <w:t xml:space="preserve"> that the financial </w:t>
      </w:r>
      <w:r w:rsidR="001B752B">
        <w:t xml:space="preserve">statement is </w:t>
      </w:r>
      <w:r>
        <w:t>complicated to analyse the ratios</w:t>
      </w:r>
      <w:r w:rsidR="00073F08">
        <w:t>,</w:t>
      </w:r>
      <w:r>
        <w:t xml:space="preserve"> and </w:t>
      </w:r>
      <w:r w:rsidR="001B752B">
        <w:t>as several organisations are worked in</w:t>
      </w:r>
      <w:r w:rsidR="00F27117">
        <w:t xml:space="preserve"> different atmosphere</w:t>
      </w:r>
      <w:r w:rsidR="00073F08">
        <w:t>s</w:t>
      </w:r>
      <w:r w:rsidR="00F27117">
        <w:t xml:space="preserve"> like market structure, </w:t>
      </w:r>
      <w:r w:rsidR="00073F08">
        <w:t>regulation is a</w:t>
      </w:r>
      <w:r w:rsidR="00F27117">
        <w:t xml:space="preserve"> crucial factor when com</w:t>
      </w:r>
      <w:r w:rsidR="00632A80">
        <w:t>paring between two organisation</w:t>
      </w:r>
      <w:r w:rsidR="00073F08">
        <w:t>s</w:t>
      </w:r>
      <w:r w:rsidR="00632A80">
        <w:t xml:space="preserve">. </w:t>
      </w:r>
      <w:r w:rsidR="007918A4">
        <w:t>The</w:t>
      </w:r>
      <w:r w:rsidR="00632A80">
        <w:t xml:space="preserve"> accounting information is influenced by the hypothesis and views</w:t>
      </w:r>
      <w:r w:rsidR="00073F08">
        <w:t>,</w:t>
      </w:r>
      <w:r w:rsidR="00632A80">
        <w:t xml:space="preserve"> and the different </w:t>
      </w:r>
      <w:r w:rsidR="00672CBD">
        <w:t>accounting methods are used to identify accounting healthiness, which reduces the comparability for which it is less assistance for the circumstances</w:t>
      </w:r>
      <w:sdt>
        <w:sdtPr>
          <w:id w:val="-1120448712"/>
          <w:citation/>
        </w:sdtPr>
        <w:sdtContent>
          <w:r w:rsidR="003E4541">
            <w:fldChar w:fldCharType="begin"/>
          </w:r>
          <w:r w:rsidR="003E4541">
            <w:rPr>
              <w:lang w:val="en-US"/>
            </w:rPr>
            <w:instrText xml:space="preserve"> CITATION Jef21 \l 1033 </w:instrText>
          </w:r>
          <w:r w:rsidR="003E4541">
            <w:fldChar w:fldCharType="separate"/>
          </w:r>
          <w:r w:rsidR="002351C5">
            <w:rPr>
              <w:noProof/>
              <w:lang w:val="en-US"/>
            </w:rPr>
            <w:t xml:space="preserve"> </w:t>
          </w:r>
          <w:r w:rsidR="002351C5" w:rsidRPr="002351C5">
            <w:rPr>
              <w:noProof/>
              <w:lang w:val="en-US"/>
            </w:rPr>
            <w:t>(Jefriyanto, 2021)</w:t>
          </w:r>
          <w:r w:rsidR="003E4541">
            <w:fldChar w:fldCharType="end"/>
          </w:r>
        </w:sdtContent>
      </w:sdt>
      <w:r w:rsidR="00672CBD">
        <w:t>. The ratio analysis a</w:t>
      </w:r>
      <w:r w:rsidR="007918A4">
        <w:t xml:space="preserve">lso evaluates the associations among the previous data, while most of the </w:t>
      </w:r>
      <w:r w:rsidR="00FB08F7">
        <w:t xml:space="preserve">users are concerned regarding </w:t>
      </w:r>
      <w:r w:rsidR="00073F08">
        <w:t xml:space="preserve">the </w:t>
      </w:r>
      <w:r w:rsidR="00FB08F7">
        <w:t xml:space="preserve">future and the current data to justify </w:t>
      </w:r>
      <w:r w:rsidR="00073F08">
        <w:t xml:space="preserve">the </w:t>
      </w:r>
      <w:r w:rsidR="00FB08F7">
        <w:t>current imbalance situation that .need to be sort</w:t>
      </w:r>
      <w:r w:rsidR="00073F08">
        <w:t>ed</w:t>
      </w:r>
      <w:r w:rsidR="00FB08F7">
        <w:t xml:space="preserve"> out by increasing</w:t>
      </w:r>
      <w:r w:rsidR="00462595">
        <w:t xml:space="preserve"> quality services or</w:t>
      </w:r>
      <w:r w:rsidR="00FB08F7">
        <w:t xml:space="preserve"> production and </w:t>
      </w:r>
      <w:r w:rsidR="00462595">
        <w:t xml:space="preserve">selling. </w:t>
      </w:r>
    </w:p>
    <w:p w14:paraId="740BD440" w14:textId="22BBA2F0" w:rsidR="00A6470E" w:rsidRDefault="002F2BE5" w:rsidP="00EF325D">
      <w:pPr>
        <w:pStyle w:val="Heading1"/>
      </w:pPr>
      <w:bookmarkStart w:id="7" w:name="_Toc119599536"/>
      <w:r>
        <w:t>Conclusion</w:t>
      </w:r>
      <w:bookmarkEnd w:id="7"/>
      <w:r>
        <w:t xml:space="preserve"> </w:t>
      </w:r>
    </w:p>
    <w:p w14:paraId="62BA61D4" w14:textId="7C26F404" w:rsidR="00073F08" w:rsidRDefault="00462595" w:rsidP="00462595">
      <w:r>
        <w:t>It is seen that the financial condition of Marriott is not well</w:t>
      </w:r>
      <w:r w:rsidR="00073F08">
        <w:t>,</w:t>
      </w:r>
      <w:r>
        <w:t xml:space="preserve"> as illustrated </w:t>
      </w:r>
      <w:r w:rsidR="00073F08">
        <w:t>by</w:t>
      </w:r>
      <w:r w:rsidR="009C027B">
        <w:t xml:space="preserve"> the financial statement by the accountant of the hotel. The accounting ratios also identif</w:t>
      </w:r>
      <w:r w:rsidR="00073F08">
        <w:t>y</w:t>
      </w:r>
      <w:r w:rsidR="009C027B">
        <w:t xml:space="preserve"> the comparison of 2020 and 2021, where 2021 is </w:t>
      </w:r>
      <w:r w:rsidR="00073F08">
        <w:t xml:space="preserve">a </w:t>
      </w:r>
      <w:r w:rsidR="009C027B">
        <w:t>little better than 2020 as the net income is very low. It is seen that the equity of the shareholders is low</w:t>
      </w:r>
      <w:r w:rsidR="00073F08">
        <w:t>,</w:t>
      </w:r>
      <w:r w:rsidR="009C027B">
        <w:t xml:space="preserve"> for which the organisation suffered more</w:t>
      </w:r>
      <w:r w:rsidR="00073F08">
        <w:t>,</w:t>
      </w:r>
      <w:r w:rsidR="009C027B">
        <w:t xml:space="preserve"> and </w:t>
      </w:r>
      <w:r w:rsidR="00B06D65">
        <w:t>Marriott need</w:t>
      </w:r>
      <w:r w:rsidR="00073F08">
        <w:t>s</w:t>
      </w:r>
      <w:r w:rsidR="00B06D65">
        <w:t xml:space="preserve"> to justify service quality and food quality as well as the selling to increase profit so that more investors are engaged to invest in the company. It is indicated that the financial imbalance occurred due to the implication of the accounting</w:t>
      </w:r>
      <w:r w:rsidR="00985D60">
        <w:t xml:space="preserve"> transaction and its healthiness. The accounts are involved in evaluating the accounting activities by which the accounting ratios are calculated</w:t>
      </w:r>
      <w:r w:rsidR="00073F08">
        <w:t>,</w:t>
      </w:r>
      <w:r w:rsidR="00985D60">
        <w:t xml:space="preserve"> and most of the investors </w:t>
      </w:r>
      <w:r w:rsidR="00073F08">
        <w:t xml:space="preserve">are </w:t>
      </w:r>
      <w:r w:rsidR="003403F9">
        <w:t xml:space="preserve">observing to invest as the financial performance of 2021 is </w:t>
      </w:r>
      <w:r w:rsidR="00073F08">
        <w:t xml:space="preserve">a </w:t>
      </w:r>
      <w:r w:rsidR="003403F9">
        <w:t xml:space="preserve">little better than </w:t>
      </w:r>
      <w:r w:rsidR="00073F08">
        <w:t xml:space="preserve">in </w:t>
      </w:r>
      <w:r w:rsidR="003403F9">
        <w:t>2020. The information related to the financial</w:t>
      </w:r>
      <w:r w:rsidR="002F2BE5">
        <w:t xml:space="preserve"> performance provides accuracy as well as assist investor like stakeholders to invest more for achieving strong financial healthiness in future as well as achieving the purpose of Marriot. </w:t>
      </w:r>
    </w:p>
    <w:p w14:paraId="16BBD2E1" w14:textId="77777777" w:rsidR="00073F08" w:rsidRDefault="00073F08">
      <w:pPr>
        <w:spacing w:line="259" w:lineRule="auto"/>
        <w:jc w:val="left"/>
      </w:pPr>
      <w:r>
        <w:br w:type="page"/>
      </w:r>
    </w:p>
    <w:p w14:paraId="79D2294A" w14:textId="560B2956" w:rsidR="00462595" w:rsidRDefault="00073F08" w:rsidP="00073F08">
      <w:pPr>
        <w:pStyle w:val="Heading1"/>
      </w:pPr>
      <w:bookmarkStart w:id="8" w:name="_Toc119599537"/>
      <w:r>
        <w:lastRenderedPageBreak/>
        <w:t>References</w:t>
      </w:r>
      <w:bookmarkEnd w:id="8"/>
      <w:r>
        <w:t xml:space="preserve"> </w:t>
      </w:r>
    </w:p>
    <w:p w14:paraId="3105E035" w14:textId="1EAA8413" w:rsidR="00073F08" w:rsidRDefault="00073F08" w:rsidP="00073F08">
      <w:pPr>
        <w:rPr>
          <w:noProof/>
          <w:szCs w:val="24"/>
        </w:rPr>
      </w:pPr>
      <w:r>
        <w:rPr>
          <w:noProof/>
        </w:rPr>
        <w:t xml:space="preserve">Beladi, H., Deng, J., and Hu, M. (2021). Cash flow uncertainty, financial constraints and R&amp;D investment. </w:t>
      </w:r>
      <w:r>
        <w:rPr>
          <w:i/>
          <w:iCs/>
          <w:noProof/>
        </w:rPr>
        <w:t>International Review of Financial Analysis, 76</w:t>
      </w:r>
      <w:r>
        <w:rPr>
          <w:noProof/>
        </w:rPr>
        <w:t>(2), 101785, DOI: 10.1016/j.irfa.2021.101785.</w:t>
      </w:r>
    </w:p>
    <w:p w14:paraId="49771404" w14:textId="6477ECCB" w:rsidR="00073F08" w:rsidRDefault="00073F08" w:rsidP="00073F08">
      <w:pPr>
        <w:rPr>
          <w:noProof/>
        </w:rPr>
      </w:pPr>
      <w:r>
        <w:rPr>
          <w:noProof/>
        </w:rPr>
        <w:t xml:space="preserve">Deng, Z., Yang, Z., Bian, J., Lin, J., Long, Z., Hong, G., and Ye, Y. (2022). Advantages and disadvantages of PVA-fibre-reinforced slag-and fly ash-blended geopolymer composites: Engineering properties and microstructure. </w:t>
      </w:r>
      <w:r>
        <w:rPr>
          <w:i/>
          <w:iCs/>
          <w:noProof/>
        </w:rPr>
        <w:t>Construction and Building Materials, 349</w:t>
      </w:r>
      <w:r>
        <w:rPr>
          <w:noProof/>
        </w:rPr>
        <w:t>(2), 128690, DOI: 10.1016/j.conbuildmat.2022.128690.</w:t>
      </w:r>
    </w:p>
    <w:p w14:paraId="7847B138" w14:textId="2A13C3C1" w:rsidR="00073F08" w:rsidRDefault="00073F08" w:rsidP="00073F08">
      <w:pPr>
        <w:rPr>
          <w:noProof/>
        </w:rPr>
      </w:pPr>
      <w:r>
        <w:rPr>
          <w:noProof/>
        </w:rPr>
        <w:t xml:space="preserve">Hertina, D., and Saudi, M. (2019). Stock return: Impact of return on asset, return on equity, debt to equity ratio and earning per share. </w:t>
      </w:r>
      <w:r>
        <w:rPr>
          <w:i/>
          <w:iCs/>
          <w:noProof/>
        </w:rPr>
        <w:t>International Journal of Innovation, Creativity and Change, 6</w:t>
      </w:r>
      <w:r>
        <w:rPr>
          <w:noProof/>
        </w:rPr>
        <w:t>(12), 93-104.</w:t>
      </w:r>
    </w:p>
    <w:p w14:paraId="7166B464" w14:textId="77777777" w:rsidR="00073F08" w:rsidRDefault="00073F08" w:rsidP="00073F08">
      <w:pPr>
        <w:rPr>
          <w:noProof/>
        </w:rPr>
      </w:pPr>
      <w:r>
        <w:rPr>
          <w:noProof/>
        </w:rPr>
        <w:t xml:space="preserve">Jefriyanto, J. (2021). Perbandingan Return on Asset, Return on Equity, Gross Profit Margin, Operating Profit Margin, dan Net Profit Margin Sebelum dan Semasa COVID-19 Pada PT Matahari Department Store. </w:t>
      </w:r>
      <w:r>
        <w:rPr>
          <w:i/>
          <w:iCs/>
          <w:noProof/>
        </w:rPr>
        <w:t>Tbk. Jurnal Ilmiah Akuntansi Kesatuan, 9</w:t>
      </w:r>
      <w:r>
        <w:rPr>
          <w:noProof/>
        </w:rPr>
        <w:t>(1), 61-66, DOI: 10.37641/jiakes.v9i1.464.</w:t>
      </w:r>
    </w:p>
    <w:p w14:paraId="0C2354B2" w14:textId="77777777" w:rsidR="00073F08" w:rsidRDefault="00073F08" w:rsidP="00073F08">
      <w:pPr>
        <w:rPr>
          <w:noProof/>
        </w:rPr>
      </w:pPr>
      <w:r>
        <w:rPr>
          <w:noProof/>
        </w:rPr>
        <w:t xml:space="preserve">Kurniawan, A. (2021). Analysis of the effect of return on asset, debt to equity ratio, and total asset turnover on share return. </w:t>
      </w:r>
      <w:r>
        <w:rPr>
          <w:i/>
          <w:iCs/>
          <w:noProof/>
        </w:rPr>
        <w:t>Journal of Industrial Engineering &amp; Management Research, 2</w:t>
      </w:r>
      <w:r>
        <w:rPr>
          <w:noProof/>
        </w:rPr>
        <w:t>(1), 64-72, DOI: 10.7777/jiemar.v2i1.114.</w:t>
      </w:r>
    </w:p>
    <w:p w14:paraId="4274E796" w14:textId="34C499DF" w:rsidR="00073F08" w:rsidRDefault="00073F08" w:rsidP="00073F08">
      <w:pPr>
        <w:rPr>
          <w:noProof/>
        </w:rPr>
      </w:pPr>
      <w:r>
        <w:rPr>
          <w:noProof/>
        </w:rPr>
        <w:t xml:space="preserve">Kusmawati, Y., and Ovalianti, N. (2022). Pengaruh Current Ratio dan Debt To Equity Ratio terhadap Return on Equity Pada PT. Permodalan Nasional Madani (PNM) Periode 2012-2021. </w:t>
      </w:r>
      <w:r>
        <w:rPr>
          <w:i/>
          <w:iCs/>
          <w:noProof/>
        </w:rPr>
        <w:t>Lensa Ilmiah: Jurnal Manajemen Dan Sumberdaya, 1</w:t>
      </w:r>
      <w:r>
        <w:rPr>
          <w:noProof/>
        </w:rPr>
        <w:t>(1), 53-61, DOI: 10.54371/jms.v1i1.182.</w:t>
      </w:r>
    </w:p>
    <w:p w14:paraId="19E544CE" w14:textId="494A993D" w:rsidR="00073F08" w:rsidRDefault="00073F08" w:rsidP="00073F08">
      <w:pPr>
        <w:rPr>
          <w:noProof/>
        </w:rPr>
      </w:pPr>
      <w:r>
        <w:rPr>
          <w:noProof/>
        </w:rPr>
        <w:t xml:space="preserve">Mao, L., Kim, K., and Miao, X. (2022). Sample size formula for general win ratio analysis. </w:t>
      </w:r>
      <w:r>
        <w:rPr>
          <w:i/>
          <w:iCs/>
          <w:noProof/>
        </w:rPr>
        <w:t>Biometrics, 78</w:t>
      </w:r>
      <w:r>
        <w:rPr>
          <w:noProof/>
        </w:rPr>
        <w:t>(3), 1257-68, DOI: 10.1111/biom.13501.</w:t>
      </w:r>
    </w:p>
    <w:p w14:paraId="5E734F78" w14:textId="08BC8716" w:rsidR="002351C5" w:rsidRDefault="002351C5" w:rsidP="00073F08">
      <w:pPr>
        <w:rPr>
          <w:noProof/>
        </w:rPr>
      </w:pPr>
      <w:r>
        <w:rPr>
          <w:noProof/>
        </w:rPr>
        <w:t xml:space="preserve">Macro Trends. (2022). </w:t>
      </w:r>
      <w:r>
        <w:rPr>
          <w:i/>
          <w:iCs/>
          <w:noProof/>
        </w:rPr>
        <w:t>Marriott Financial Ratios for Analysis 2009-2022 | MAR</w:t>
      </w:r>
      <w:r>
        <w:rPr>
          <w:noProof/>
        </w:rPr>
        <w:t>. Retrieved November 17, 2022, from https://www.macrotrends.net/stocks/charts/MAR/marriott/financial-ratios</w:t>
      </w:r>
    </w:p>
    <w:p w14:paraId="0B8D481D" w14:textId="77777777" w:rsidR="00073F08" w:rsidRDefault="00073F08" w:rsidP="00073F08">
      <w:pPr>
        <w:rPr>
          <w:noProof/>
        </w:rPr>
      </w:pPr>
      <w:r>
        <w:rPr>
          <w:noProof/>
        </w:rPr>
        <w:t xml:space="preserve">Marriott. (2022). </w:t>
      </w:r>
      <w:r>
        <w:rPr>
          <w:i/>
          <w:iCs/>
          <w:noProof/>
        </w:rPr>
        <w:t>Hotels &amp; Resorts | Book your Hotel directly with Marriott Bonvoy</w:t>
      </w:r>
      <w:r>
        <w:rPr>
          <w:noProof/>
        </w:rPr>
        <w:t>. Retrieved November 17, 2022, from https://www.marriott.com/default.mi</w:t>
      </w:r>
    </w:p>
    <w:p w14:paraId="461439A1" w14:textId="240668CB" w:rsidR="00073F08" w:rsidRDefault="00073F08" w:rsidP="00073F08">
      <w:pPr>
        <w:rPr>
          <w:noProof/>
        </w:rPr>
      </w:pPr>
      <w:r>
        <w:rPr>
          <w:noProof/>
        </w:rPr>
        <w:t xml:space="preserve">Phillips, F., Libby, R., and Libby, P. (2015). </w:t>
      </w:r>
      <w:r>
        <w:rPr>
          <w:i/>
          <w:iCs/>
          <w:noProof/>
        </w:rPr>
        <w:t>Fundamentals of Financial Accounting</w:t>
      </w:r>
      <w:r>
        <w:rPr>
          <w:noProof/>
        </w:rPr>
        <w:t xml:space="preserve"> (01 ed.). London: McGraw-Hill Education, ISBN:13: 978-0078025914.</w:t>
      </w:r>
    </w:p>
    <w:p w14:paraId="10F3BF11" w14:textId="0FBDD532" w:rsidR="00073F08" w:rsidRDefault="00073F08" w:rsidP="00073F08">
      <w:pPr>
        <w:rPr>
          <w:noProof/>
        </w:rPr>
      </w:pPr>
      <w:r>
        <w:rPr>
          <w:noProof/>
        </w:rPr>
        <w:lastRenderedPageBreak/>
        <w:t xml:space="preserve">Sirait, S., Sari, E., and Rambe, M. (2021). Pengaruh Current Ratio, Debt To Equity Ratio Dan Return On Assets Terhadap Price To Book Value Dengan Divident Payout Ratio Sebagai Variabel Intervening Pada Perusahaan Manufaktur Sub Sektor Farmasi. </w:t>
      </w:r>
      <w:r>
        <w:rPr>
          <w:i/>
          <w:iCs/>
          <w:noProof/>
        </w:rPr>
        <w:t>Jurnal AKMAMI (Akuntansi Manajemen Ekonomi), 2</w:t>
      </w:r>
      <w:r>
        <w:rPr>
          <w:noProof/>
        </w:rPr>
        <w:t>(2), 287-299, DOI: 10.53695/ja.v2i2.168.</w:t>
      </w:r>
    </w:p>
    <w:p w14:paraId="71F5A007" w14:textId="31F3564B" w:rsidR="00073F08" w:rsidRDefault="00073F08" w:rsidP="00073F08">
      <w:pPr>
        <w:rPr>
          <w:noProof/>
        </w:rPr>
      </w:pPr>
      <w:r>
        <w:rPr>
          <w:noProof/>
        </w:rPr>
        <w:t xml:space="preserve">Siregar, Q., Rambe, R., and Simatupang, J. (2021). PengaruhDebt to Equity Ratio, Net Profit Margin dan Return On Equity Terhadap Harga Saham Pada Perusahaan Property dan Real Estate yang Terdaftar di Bursa Efek Indonesia. </w:t>
      </w:r>
      <w:r>
        <w:rPr>
          <w:i/>
          <w:iCs/>
          <w:noProof/>
        </w:rPr>
        <w:t>Jurnal AKMAMI (Akuntansi Manajemen Ekonomi), 2</w:t>
      </w:r>
      <w:r>
        <w:rPr>
          <w:noProof/>
        </w:rPr>
        <w:t>(1), 17-31, DOI: 10.53695/ja.v2i1.124.</w:t>
      </w:r>
    </w:p>
    <w:p w14:paraId="770916DD" w14:textId="17226AA5" w:rsidR="00073F08" w:rsidRDefault="00073F08" w:rsidP="00073F08">
      <w:pPr>
        <w:rPr>
          <w:noProof/>
        </w:rPr>
      </w:pPr>
      <w:r>
        <w:rPr>
          <w:noProof/>
        </w:rPr>
        <w:t xml:space="preserve">Tzermias, G., Akehurst, S., Burke, R., Brace, C., George, S., Bernards, J., and Smith, C. (2021). Methodology for the Optimisation of Battery Hybrid Energy Storage Systems for Mass and Volume Using a Power-To-Energy Ratio Analysis. </w:t>
      </w:r>
      <w:r>
        <w:rPr>
          <w:i/>
          <w:iCs/>
          <w:noProof/>
        </w:rPr>
        <w:t>Batteries, 7</w:t>
      </w:r>
      <w:r>
        <w:rPr>
          <w:noProof/>
        </w:rPr>
        <w:t>(2), 37, DOI: 10.3390/batteries7020037.</w:t>
      </w:r>
    </w:p>
    <w:p w14:paraId="32BF12E6" w14:textId="6F4B1157" w:rsidR="00073F08" w:rsidRDefault="00073F08" w:rsidP="00073F08">
      <w:pPr>
        <w:rPr>
          <w:noProof/>
        </w:rPr>
      </w:pPr>
      <w:r>
        <w:rPr>
          <w:noProof/>
        </w:rPr>
        <w:t xml:space="preserve">Yanto, E., Christy, I., and Cakranegara, P. (2021). The Influences of Return on Asset, Return on Equity, Net Profit Margin, Debt Equity Ratio and Current Ratio Toward Stock Price. </w:t>
      </w:r>
      <w:r>
        <w:rPr>
          <w:i/>
          <w:iCs/>
          <w:noProof/>
        </w:rPr>
        <w:t>International Journal of Science, Technology &amp; Management, 2</w:t>
      </w:r>
      <w:r>
        <w:rPr>
          <w:noProof/>
        </w:rPr>
        <w:t>(1), 300-312, DOI: 10.46729/ijstm.v2i1.155.</w:t>
      </w:r>
    </w:p>
    <w:p w14:paraId="0DB424B1" w14:textId="0A043509" w:rsidR="00A6470E" w:rsidRDefault="00073F08" w:rsidP="002351C5">
      <w:pPr>
        <w:rPr>
          <w:noProof/>
        </w:rPr>
      </w:pPr>
      <w:r>
        <w:rPr>
          <w:noProof/>
        </w:rPr>
        <w:t xml:space="preserve">Yu, T., Lin, Z., and Tang, Q. (2018). Blockchain: The introduction and its application in financial accounting. </w:t>
      </w:r>
      <w:r>
        <w:rPr>
          <w:i/>
          <w:iCs/>
          <w:noProof/>
        </w:rPr>
        <w:t>Journal of Corporate Accounting &amp; Finance, 29</w:t>
      </w:r>
      <w:r>
        <w:rPr>
          <w:noProof/>
        </w:rPr>
        <w:t>(4), 37-47,DOI-10.1002/jcaf.22365.</w:t>
      </w:r>
    </w:p>
    <w:p w14:paraId="66B10ACD" w14:textId="77777777" w:rsidR="00A6470E" w:rsidRDefault="00A6470E"/>
    <w:sectPr w:rsidR="00A6470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2A679" w14:textId="77777777" w:rsidR="009546BA" w:rsidRDefault="009546BA" w:rsidP="00E143D0">
      <w:pPr>
        <w:spacing w:after="0" w:line="240" w:lineRule="auto"/>
      </w:pPr>
      <w:r>
        <w:separator/>
      </w:r>
    </w:p>
  </w:endnote>
  <w:endnote w:type="continuationSeparator" w:id="0">
    <w:p w14:paraId="58D278DF" w14:textId="77777777" w:rsidR="009546BA" w:rsidRDefault="009546BA" w:rsidP="00E14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060324"/>
      <w:docPartObj>
        <w:docPartGallery w:val="Page Numbers (Bottom of Page)"/>
        <w:docPartUnique/>
      </w:docPartObj>
    </w:sdtPr>
    <w:sdtEndPr>
      <w:rPr>
        <w:noProof/>
      </w:rPr>
    </w:sdtEndPr>
    <w:sdtContent>
      <w:p w14:paraId="6CA88117" w14:textId="52988BE9" w:rsidR="002F2BE5" w:rsidRDefault="002F2BE5">
        <w:pPr>
          <w:pStyle w:val="Footer"/>
          <w:jc w:val="right"/>
        </w:pPr>
        <w:r>
          <w:fldChar w:fldCharType="begin"/>
        </w:r>
        <w:r>
          <w:instrText xml:space="preserve"> PAGE   \* MERGEFORMAT </w:instrText>
        </w:r>
        <w:r>
          <w:fldChar w:fldCharType="separate"/>
        </w:r>
        <w:r w:rsidR="002351C5">
          <w:rPr>
            <w:noProof/>
          </w:rPr>
          <w:t>3</w:t>
        </w:r>
        <w:r>
          <w:rPr>
            <w:noProof/>
          </w:rPr>
          <w:fldChar w:fldCharType="end"/>
        </w:r>
      </w:p>
    </w:sdtContent>
  </w:sdt>
  <w:p w14:paraId="759EB68A" w14:textId="77777777" w:rsidR="002F2BE5" w:rsidRDefault="002F2B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450DC" w14:textId="77777777" w:rsidR="009546BA" w:rsidRDefault="009546BA" w:rsidP="00E143D0">
      <w:pPr>
        <w:spacing w:after="0" w:line="240" w:lineRule="auto"/>
      </w:pPr>
      <w:r>
        <w:separator/>
      </w:r>
    </w:p>
  </w:footnote>
  <w:footnote w:type="continuationSeparator" w:id="0">
    <w:p w14:paraId="6EFED2C7" w14:textId="77777777" w:rsidR="009546BA" w:rsidRDefault="009546BA" w:rsidP="00E143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0Nbc0Mjc0NzM3NbdQ0lEKTi0uzszPAykwqgUAlRFvLiwAAAA="/>
  </w:docVars>
  <w:rsids>
    <w:rsidRoot w:val="00E143D0"/>
    <w:rsid w:val="0004350C"/>
    <w:rsid w:val="00047384"/>
    <w:rsid w:val="00061812"/>
    <w:rsid w:val="00073F08"/>
    <w:rsid w:val="000752C1"/>
    <w:rsid w:val="00085C3B"/>
    <w:rsid w:val="000A6544"/>
    <w:rsid w:val="000D1029"/>
    <w:rsid w:val="000D155C"/>
    <w:rsid w:val="000D5C38"/>
    <w:rsid w:val="000D7BE2"/>
    <w:rsid w:val="000E022F"/>
    <w:rsid w:val="000E59A9"/>
    <w:rsid w:val="000F4266"/>
    <w:rsid w:val="000F7342"/>
    <w:rsid w:val="00175315"/>
    <w:rsid w:val="001B2E62"/>
    <w:rsid w:val="001B362F"/>
    <w:rsid w:val="001B752B"/>
    <w:rsid w:val="001C1F7E"/>
    <w:rsid w:val="001D7946"/>
    <w:rsid w:val="00214E4A"/>
    <w:rsid w:val="0022459E"/>
    <w:rsid w:val="002351C5"/>
    <w:rsid w:val="00245108"/>
    <w:rsid w:val="00247E06"/>
    <w:rsid w:val="00254AFA"/>
    <w:rsid w:val="00265EA9"/>
    <w:rsid w:val="00280D44"/>
    <w:rsid w:val="00286A1C"/>
    <w:rsid w:val="002B7E46"/>
    <w:rsid w:val="002C6421"/>
    <w:rsid w:val="002D3626"/>
    <w:rsid w:val="002D5F8D"/>
    <w:rsid w:val="002F2BE5"/>
    <w:rsid w:val="002F7078"/>
    <w:rsid w:val="00306334"/>
    <w:rsid w:val="003317E8"/>
    <w:rsid w:val="003403F9"/>
    <w:rsid w:val="00366B66"/>
    <w:rsid w:val="00373A05"/>
    <w:rsid w:val="00374206"/>
    <w:rsid w:val="00384DF2"/>
    <w:rsid w:val="003C2C3B"/>
    <w:rsid w:val="003E4541"/>
    <w:rsid w:val="004114B6"/>
    <w:rsid w:val="00414A3E"/>
    <w:rsid w:val="00456461"/>
    <w:rsid w:val="00462595"/>
    <w:rsid w:val="00463736"/>
    <w:rsid w:val="00466653"/>
    <w:rsid w:val="00466B59"/>
    <w:rsid w:val="0049337E"/>
    <w:rsid w:val="004A5E59"/>
    <w:rsid w:val="004B4CA4"/>
    <w:rsid w:val="004E0EE8"/>
    <w:rsid w:val="004E3D46"/>
    <w:rsid w:val="004F09D8"/>
    <w:rsid w:val="00555DAE"/>
    <w:rsid w:val="00572125"/>
    <w:rsid w:val="00575F5A"/>
    <w:rsid w:val="005774CC"/>
    <w:rsid w:val="0057794D"/>
    <w:rsid w:val="00577F68"/>
    <w:rsid w:val="00580E4A"/>
    <w:rsid w:val="005D4F7A"/>
    <w:rsid w:val="005E35B8"/>
    <w:rsid w:val="005E5159"/>
    <w:rsid w:val="005F7267"/>
    <w:rsid w:val="00620352"/>
    <w:rsid w:val="00624B16"/>
    <w:rsid w:val="00632A80"/>
    <w:rsid w:val="00651FFA"/>
    <w:rsid w:val="00653E82"/>
    <w:rsid w:val="006550C2"/>
    <w:rsid w:val="006615DB"/>
    <w:rsid w:val="00672CBD"/>
    <w:rsid w:val="00681757"/>
    <w:rsid w:val="006850DB"/>
    <w:rsid w:val="00693399"/>
    <w:rsid w:val="00695531"/>
    <w:rsid w:val="006A7EA5"/>
    <w:rsid w:val="006C3AB2"/>
    <w:rsid w:val="006D6CA6"/>
    <w:rsid w:val="006F0216"/>
    <w:rsid w:val="006F7281"/>
    <w:rsid w:val="00702297"/>
    <w:rsid w:val="00707962"/>
    <w:rsid w:val="007326B3"/>
    <w:rsid w:val="0074069F"/>
    <w:rsid w:val="00740E22"/>
    <w:rsid w:val="00743CE3"/>
    <w:rsid w:val="0074498B"/>
    <w:rsid w:val="00783BC8"/>
    <w:rsid w:val="007918A4"/>
    <w:rsid w:val="007968F7"/>
    <w:rsid w:val="007C3689"/>
    <w:rsid w:val="007F1A5A"/>
    <w:rsid w:val="00801D70"/>
    <w:rsid w:val="00814BD1"/>
    <w:rsid w:val="00850317"/>
    <w:rsid w:val="008512E9"/>
    <w:rsid w:val="008B2E1B"/>
    <w:rsid w:val="008E1508"/>
    <w:rsid w:val="008F30CE"/>
    <w:rsid w:val="0092367B"/>
    <w:rsid w:val="00927B4D"/>
    <w:rsid w:val="00931F57"/>
    <w:rsid w:val="00932242"/>
    <w:rsid w:val="00944382"/>
    <w:rsid w:val="0094646C"/>
    <w:rsid w:val="009546BA"/>
    <w:rsid w:val="00954BA5"/>
    <w:rsid w:val="00967780"/>
    <w:rsid w:val="00982CAF"/>
    <w:rsid w:val="0098437C"/>
    <w:rsid w:val="00985D60"/>
    <w:rsid w:val="00994DB6"/>
    <w:rsid w:val="009B1E05"/>
    <w:rsid w:val="009C027B"/>
    <w:rsid w:val="009C4B74"/>
    <w:rsid w:val="009F698B"/>
    <w:rsid w:val="00A1582D"/>
    <w:rsid w:val="00A22F22"/>
    <w:rsid w:val="00A316C5"/>
    <w:rsid w:val="00A556C2"/>
    <w:rsid w:val="00A6470E"/>
    <w:rsid w:val="00A83C80"/>
    <w:rsid w:val="00A93905"/>
    <w:rsid w:val="00A9768D"/>
    <w:rsid w:val="00AA1A1F"/>
    <w:rsid w:val="00AA2D94"/>
    <w:rsid w:val="00AB33C3"/>
    <w:rsid w:val="00AB3EE2"/>
    <w:rsid w:val="00AD0DD4"/>
    <w:rsid w:val="00B06D65"/>
    <w:rsid w:val="00B130D2"/>
    <w:rsid w:val="00B16C02"/>
    <w:rsid w:val="00B30DFE"/>
    <w:rsid w:val="00B5176D"/>
    <w:rsid w:val="00B62F4E"/>
    <w:rsid w:val="00B75D28"/>
    <w:rsid w:val="00BA1597"/>
    <w:rsid w:val="00BB27F9"/>
    <w:rsid w:val="00BB48B2"/>
    <w:rsid w:val="00BE03C2"/>
    <w:rsid w:val="00C171DA"/>
    <w:rsid w:val="00C30D64"/>
    <w:rsid w:val="00C53F25"/>
    <w:rsid w:val="00C74498"/>
    <w:rsid w:val="00C900F5"/>
    <w:rsid w:val="00CD1D61"/>
    <w:rsid w:val="00CD2ABF"/>
    <w:rsid w:val="00CE717E"/>
    <w:rsid w:val="00D2579C"/>
    <w:rsid w:val="00D33629"/>
    <w:rsid w:val="00D51F34"/>
    <w:rsid w:val="00D668DC"/>
    <w:rsid w:val="00D67A53"/>
    <w:rsid w:val="00E143D0"/>
    <w:rsid w:val="00E2697F"/>
    <w:rsid w:val="00E270B3"/>
    <w:rsid w:val="00E935E8"/>
    <w:rsid w:val="00E977DA"/>
    <w:rsid w:val="00EB6B28"/>
    <w:rsid w:val="00ED5F77"/>
    <w:rsid w:val="00EE5BD2"/>
    <w:rsid w:val="00EF325D"/>
    <w:rsid w:val="00EF44EF"/>
    <w:rsid w:val="00F059EF"/>
    <w:rsid w:val="00F06795"/>
    <w:rsid w:val="00F12E14"/>
    <w:rsid w:val="00F13E2E"/>
    <w:rsid w:val="00F2440B"/>
    <w:rsid w:val="00F27117"/>
    <w:rsid w:val="00F27687"/>
    <w:rsid w:val="00F41B7B"/>
    <w:rsid w:val="00F5266B"/>
    <w:rsid w:val="00F574CE"/>
    <w:rsid w:val="00F74BCF"/>
    <w:rsid w:val="00F82BF1"/>
    <w:rsid w:val="00F85DA5"/>
    <w:rsid w:val="00F87393"/>
    <w:rsid w:val="00F929BA"/>
    <w:rsid w:val="00F969B5"/>
    <w:rsid w:val="00FA1E19"/>
    <w:rsid w:val="00FA550D"/>
    <w:rsid w:val="00FB08F7"/>
    <w:rsid w:val="00FB1B23"/>
    <w:rsid w:val="00FC6607"/>
    <w:rsid w:val="00FE31D9"/>
    <w:rsid w:val="00FE515F"/>
    <w:rsid w:val="00FE5316"/>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C13B9"/>
  <w15:chartTrackingRefBased/>
  <w15:docId w15:val="{C79BA174-15A5-4A6C-A56C-62831F89A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3D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6470E"/>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EF325D"/>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43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3D0"/>
    <w:rPr>
      <w:rFonts w:ascii="Times New Roman" w:hAnsi="Times New Roman"/>
      <w:sz w:val="24"/>
    </w:rPr>
  </w:style>
  <w:style w:type="paragraph" w:styleId="Footer">
    <w:name w:val="footer"/>
    <w:basedOn w:val="Normal"/>
    <w:link w:val="FooterChar"/>
    <w:uiPriority w:val="99"/>
    <w:unhideWhenUsed/>
    <w:rsid w:val="00E143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3D0"/>
    <w:rPr>
      <w:rFonts w:ascii="Times New Roman" w:hAnsi="Times New Roman"/>
      <w:sz w:val="24"/>
    </w:rPr>
  </w:style>
  <w:style w:type="paragraph" w:styleId="Title">
    <w:name w:val="Title"/>
    <w:basedOn w:val="Normal"/>
    <w:next w:val="Normal"/>
    <w:link w:val="TitleChar"/>
    <w:uiPriority w:val="10"/>
    <w:qFormat/>
    <w:rsid w:val="00E143D0"/>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E143D0"/>
    <w:rPr>
      <w:rFonts w:asciiTheme="majorHAnsi" w:eastAsiaTheme="majorEastAsia" w:hAnsiTheme="majorHAnsi" w:cstheme="majorBidi"/>
      <w:spacing w:val="-10"/>
      <w:kern w:val="28"/>
      <w:sz w:val="56"/>
      <w:szCs w:val="71"/>
    </w:rPr>
  </w:style>
  <w:style w:type="character" w:customStyle="1" w:styleId="Heading1Char">
    <w:name w:val="Heading 1 Char"/>
    <w:basedOn w:val="DefaultParagraphFont"/>
    <w:link w:val="Heading1"/>
    <w:uiPriority w:val="9"/>
    <w:rsid w:val="00A6470E"/>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A6470E"/>
    <w:pPr>
      <w:spacing w:line="259" w:lineRule="auto"/>
      <w:jc w:val="left"/>
      <w:outlineLvl w:val="9"/>
    </w:pPr>
    <w:rPr>
      <w:szCs w:val="32"/>
      <w:lang w:val="en-US" w:bidi="ar-SA"/>
    </w:rPr>
  </w:style>
  <w:style w:type="character" w:customStyle="1" w:styleId="Heading2Char">
    <w:name w:val="Heading 2 Char"/>
    <w:basedOn w:val="DefaultParagraphFont"/>
    <w:link w:val="Heading2"/>
    <w:uiPriority w:val="9"/>
    <w:rsid w:val="00EF325D"/>
    <w:rPr>
      <w:rFonts w:asciiTheme="majorHAnsi" w:eastAsiaTheme="majorEastAsia" w:hAnsiTheme="majorHAnsi" w:cstheme="majorBidi"/>
      <w:color w:val="2F5496" w:themeColor="accent1" w:themeShade="BF"/>
      <w:sz w:val="26"/>
      <w:szCs w:val="33"/>
    </w:rPr>
  </w:style>
  <w:style w:type="paragraph" w:styleId="TOC1">
    <w:name w:val="toc 1"/>
    <w:basedOn w:val="Normal"/>
    <w:next w:val="Normal"/>
    <w:autoRedefine/>
    <w:uiPriority w:val="39"/>
    <w:unhideWhenUsed/>
    <w:rsid w:val="000F4266"/>
    <w:pPr>
      <w:spacing w:after="100"/>
    </w:pPr>
  </w:style>
  <w:style w:type="paragraph" w:styleId="TOC2">
    <w:name w:val="toc 2"/>
    <w:basedOn w:val="Normal"/>
    <w:next w:val="Normal"/>
    <w:autoRedefine/>
    <w:uiPriority w:val="39"/>
    <w:unhideWhenUsed/>
    <w:rsid w:val="000F4266"/>
    <w:pPr>
      <w:spacing w:after="100"/>
      <w:ind w:left="240"/>
    </w:pPr>
  </w:style>
  <w:style w:type="character" w:styleId="Hyperlink">
    <w:name w:val="Hyperlink"/>
    <w:basedOn w:val="DefaultParagraphFont"/>
    <w:uiPriority w:val="99"/>
    <w:unhideWhenUsed/>
    <w:rsid w:val="000F4266"/>
    <w:rPr>
      <w:color w:val="0563C1" w:themeColor="hyperlink"/>
      <w:u w:val="single"/>
    </w:rPr>
  </w:style>
  <w:style w:type="paragraph" w:styleId="Caption">
    <w:name w:val="caption"/>
    <w:basedOn w:val="Normal"/>
    <w:next w:val="Normal"/>
    <w:uiPriority w:val="35"/>
    <w:unhideWhenUsed/>
    <w:qFormat/>
    <w:rsid w:val="00931F57"/>
    <w:pPr>
      <w:spacing w:after="200" w:line="240" w:lineRule="auto"/>
    </w:pPr>
    <w:rPr>
      <w:i/>
      <w:iCs/>
      <w:color w:val="44546A" w:themeColor="text2"/>
      <w:sz w:val="18"/>
      <w:szCs w:val="22"/>
    </w:rPr>
  </w:style>
  <w:style w:type="paragraph" w:styleId="Bibliography">
    <w:name w:val="Bibliography"/>
    <w:basedOn w:val="Normal"/>
    <w:next w:val="Normal"/>
    <w:uiPriority w:val="37"/>
    <w:unhideWhenUsed/>
    <w:rsid w:val="00073F08"/>
  </w:style>
  <w:style w:type="paragraph" w:styleId="NoSpacing">
    <w:name w:val="No Spacing"/>
    <w:uiPriority w:val="1"/>
    <w:qFormat/>
    <w:rsid w:val="00E977DA"/>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4172">
      <w:bodyDiv w:val="1"/>
      <w:marLeft w:val="0"/>
      <w:marRight w:val="0"/>
      <w:marTop w:val="0"/>
      <w:marBottom w:val="0"/>
      <w:divBdr>
        <w:top w:val="none" w:sz="0" w:space="0" w:color="auto"/>
        <w:left w:val="none" w:sz="0" w:space="0" w:color="auto"/>
        <w:bottom w:val="none" w:sz="0" w:space="0" w:color="auto"/>
        <w:right w:val="none" w:sz="0" w:space="0" w:color="auto"/>
      </w:divBdr>
    </w:div>
    <w:div w:id="24715372">
      <w:bodyDiv w:val="1"/>
      <w:marLeft w:val="0"/>
      <w:marRight w:val="0"/>
      <w:marTop w:val="0"/>
      <w:marBottom w:val="0"/>
      <w:divBdr>
        <w:top w:val="none" w:sz="0" w:space="0" w:color="auto"/>
        <w:left w:val="none" w:sz="0" w:space="0" w:color="auto"/>
        <w:bottom w:val="none" w:sz="0" w:space="0" w:color="auto"/>
        <w:right w:val="none" w:sz="0" w:space="0" w:color="auto"/>
      </w:divBdr>
    </w:div>
    <w:div w:id="50810690">
      <w:bodyDiv w:val="1"/>
      <w:marLeft w:val="0"/>
      <w:marRight w:val="0"/>
      <w:marTop w:val="0"/>
      <w:marBottom w:val="0"/>
      <w:divBdr>
        <w:top w:val="none" w:sz="0" w:space="0" w:color="auto"/>
        <w:left w:val="none" w:sz="0" w:space="0" w:color="auto"/>
        <w:bottom w:val="none" w:sz="0" w:space="0" w:color="auto"/>
        <w:right w:val="none" w:sz="0" w:space="0" w:color="auto"/>
      </w:divBdr>
    </w:div>
    <w:div w:id="65078901">
      <w:bodyDiv w:val="1"/>
      <w:marLeft w:val="0"/>
      <w:marRight w:val="0"/>
      <w:marTop w:val="0"/>
      <w:marBottom w:val="0"/>
      <w:divBdr>
        <w:top w:val="none" w:sz="0" w:space="0" w:color="auto"/>
        <w:left w:val="none" w:sz="0" w:space="0" w:color="auto"/>
        <w:bottom w:val="none" w:sz="0" w:space="0" w:color="auto"/>
        <w:right w:val="none" w:sz="0" w:space="0" w:color="auto"/>
      </w:divBdr>
    </w:div>
    <w:div w:id="77560665">
      <w:bodyDiv w:val="1"/>
      <w:marLeft w:val="0"/>
      <w:marRight w:val="0"/>
      <w:marTop w:val="0"/>
      <w:marBottom w:val="0"/>
      <w:divBdr>
        <w:top w:val="none" w:sz="0" w:space="0" w:color="auto"/>
        <w:left w:val="none" w:sz="0" w:space="0" w:color="auto"/>
        <w:bottom w:val="none" w:sz="0" w:space="0" w:color="auto"/>
        <w:right w:val="none" w:sz="0" w:space="0" w:color="auto"/>
      </w:divBdr>
    </w:div>
    <w:div w:id="84348346">
      <w:bodyDiv w:val="1"/>
      <w:marLeft w:val="0"/>
      <w:marRight w:val="0"/>
      <w:marTop w:val="0"/>
      <w:marBottom w:val="0"/>
      <w:divBdr>
        <w:top w:val="none" w:sz="0" w:space="0" w:color="auto"/>
        <w:left w:val="none" w:sz="0" w:space="0" w:color="auto"/>
        <w:bottom w:val="none" w:sz="0" w:space="0" w:color="auto"/>
        <w:right w:val="none" w:sz="0" w:space="0" w:color="auto"/>
      </w:divBdr>
    </w:div>
    <w:div w:id="87894659">
      <w:bodyDiv w:val="1"/>
      <w:marLeft w:val="0"/>
      <w:marRight w:val="0"/>
      <w:marTop w:val="0"/>
      <w:marBottom w:val="0"/>
      <w:divBdr>
        <w:top w:val="none" w:sz="0" w:space="0" w:color="auto"/>
        <w:left w:val="none" w:sz="0" w:space="0" w:color="auto"/>
        <w:bottom w:val="none" w:sz="0" w:space="0" w:color="auto"/>
        <w:right w:val="none" w:sz="0" w:space="0" w:color="auto"/>
      </w:divBdr>
    </w:div>
    <w:div w:id="153497804">
      <w:bodyDiv w:val="1"/>
      <w:marLeft w:val="0"/>
      <w:marRight w:val="0"/>
      <w:marTop w:val="0"/>
      <w:marBottom w:val="0"/>
      <w:divBdr>
        <w:top w:val="none" w:sz="0" w:space="0" w:color="auto"/>
        <w:left w:val="none" w:sz="0" w:space="0" w:color="auto"/>
        <w:bottom w:val="none" w:sz="0" w:space="0" w:color="auto"/>
        <w:right w:val="none" w:sz="0" w:space="0" w:color="auto"/>
      </w:divBdr>
    </w:div>
    <w:div w:id="177161528">
      <w:bodyDiv w:val="1"/>
      <w:marLeft w:val="0"/>
      <w:marRight w:val="0"/>
      <w:marTop w:val="0"/>
      <w:marBottom w:val="0"/>
      <w:divBdr>
        <w:top w:val="none" w:sz="0" w:space="0" w:color="auto"/>
        <w:left w:val="none" w:sz="0" w:space="0" w:color="auto"/>
        <w:bottom w:val="none" w:sz="0" w:space="0" w:color="auto"/>
        <w:right w:val="none" w:sz="0" w:space="0" w:color="auto"/>
      </w:divBdr>
    </w:div>
    <w:div w:id="181553300">
      <w:bodyDiv w:val="1"/>
      <w:marLeft w:val="0"/>
      <w:marRight w:val="0"/>
      <w:marTop w:val="0"/>
      <w:marBottom w:val="0"/>
      <w:divBdr>
        <w:top w:val="none" w:sz="0" w:space="0" w:color="auto"/>
        <w:left w:val="none" w:sz="0" w:space="0" w:color="auto"/>
        <w:bottom w:val="none" w:sz="0" w:space="0" w:color="auto"/>
        <w:right w:val="none" w:sz="0" w:space="0" w:color="auto"/>
      </w:divBdr>
    </w:div>
    <w:div w:id="183252813">
      <w:bodyDiv w:val="1"/>
      <w:marLeft w:val="0"/>
      <w:marRight w:val="0"/>
      <w:marTop w:val="0"/>
      <w:marBottom w:val="0"/>
      <w:divBdr>
        <w:top w:val="none" w:sz="0" w:space="0" w:color="auto"/>
        <w:left w:val="none" w:sz="0" w:space="0" w:color="auto"/>
        <w:bottom w:val="none" w:sz="0" w:space="0" w:color="auto"/>
        <w:right w:val="none" w:sz="0" w:space="0" w:color="auto"/>
      </w:divBdr>
    </w:div>
    <w:div w:id="191115298">
      <w:bodyDiv w:val="1"/>
      <w:marLeft w:val="0"/>
      <w:marRight w:val="0"/>
      <w:marTop w:val="0"/>
      <w:marBottom w:val="0"/>
      <w:divBdr>
        <w:top w:val="none" w:sz="0" w:space="0" w:color="auto"/>
        <w:left w:val="none" w:sz="0" w:space="0" w:color="auto"/>
        <w:bottom w:val="none" w:sz="0" w:space="0" w:color="auto"/>
        <w:right w:val="none" w:sz="0" w:space="0" w:color="auto"/>
      </w:divBdr>
    </w:div>
    <w:div w:id="210046743">
      <w:bodyDiv w:val="1"/>
      <w:marLeft w:val="0"/>
      <w:marRight w:val="0"/>
      <w:marTop w:val="0"/>
      <w:marBottom w:val="0"/>
      <w:divBdr>
        <w:top w:val="none" w:sz="0" w:space="0" w:color="auto"/>
        <w:left w:val="none" w:sz="0" w:space="0" w:color="auto"/>
        <w:bottom w:val="none" w:sz="0" w:space="0" w:color="auto"/>
        <w:right w:val="none" w:sz="0" w:space="0" w:color="auto"/>
      </w:divBdr>
    </w:div>
    <w:div w:id="215048967">
      <w:bodyDiv w:val="1"/>
      <w:marLeft w:val="0"/>
      <w:marRight w:val="0"/>
      <w:marTop w:val="0"/>
      <w:marBottom w:val="0"/>
      <w:divBdr>
        <w:top w:val="none" w:sz="0" w:space="0" w:color="auto"/>
        <w:left w:val="none" w:sz="0" w:space="0" w:color="auto"/>
        <w:bottom w:val="none" w:sz="0" w:space="0" w:color="auto"/>
        <w:right w:val="none" w:sz="0" w:space="0" w:color="auto"/>
      </w:divBdr>
    </w:div>
    <w:div w:id="221647141">
      <w:bodyDiv w:val="1"/>
      <w:marLeft w:val="0"/>
      <w:marRight w:val="0"/>
      <w:marTop w:val="0"/>
      <w:marBottom w:val="0"/>
      <w:divBdr>
        <w:top w:val="none" w:sz="0" w:space="0" w:color="auto"/>
        <w:left w:val="none" w:sz="0" w:space="0" w:color="auto"/>
        <w:bottom w:val="none" w:sz="0" w:space="0" w:color="auto"/>
        <w:right w:val="none" w:sz="0" w:space="0" w:color="auto"/>
      </w:divBdr>
    </w:div>
    <w:div w:id="233468994">
      <w:bodyDiv w:val="1"/>
      <w:marLeft w:val="0"/>
      <w:marRight w:val="0"/>
      <w:marTop w:val="0"/>
      <w:marBottom w:val="0"/>
      <w:divBdr>
        <w:top w:val="none" w:sz="0" w:space="0" w:color="auto"/>
        <w:left w:val="none" w:sz="0" w:space="0" w:color="auto"/>
        <w:bottom w:val="none" w:sz="0" w:space="0" w:color="auto"/>
        <w:right w:val="none" w:sz="0" w:space="0" w:color="auto"/>
      </w:divBdr>
    </w:div>
    <w:div w:id="268661938">
      <w:bodyDiv w:val="1"/>
      <w:marLeft w:val="0"/>
      <w:marRight w:val="0"/>
      <w:marTop w:val="0"/>
      <w:marBottom w:val="0"/>
      <w:divBdr>
        <w:top w:val="none" w:sz="0" w:space="0" w:color="auto"/>
        <w:left w:val="none" w:sz="0" w:space="0" w:color="auto"/>
        <w:bottom w:val="none" w:sz="0" w:space="0" w:color="auto"/>
        <w:right w:val="none" w:sz="0" w:space="0" w:color="auto"/>
      </w:divBdr>
    </w:div>
    <w:div w:id="280502852">
      <w:bodyDiv w:val="1"/>
      <w:marLeft w:val="0"/>
      <w:marRight w:val="0"/>
      <w:marTop w:val="0"/>
      <w:marBottom w:val="0"/>
      <w:divBdr>
        <w:top w:val="none" w:sz="0" w:space="0" w:color="auto"/>
        <w:left w:val="none" w:sz="0" w:space="0" w:color="auto"/>
        <w:bottom w:val="none" w:sz="0" w:space="0" w:color="auto"/>
        <w:right w:val="none" w:sz="0" w:space="0" w:color="auto"/>
      </w:divBdr>
    </w:div>
    <w:div w:id="284196814">
      <w:bodyDiv w:val="1"/>
      <w:marLeft w:val="0"/>
      <w:marRight w:val="0"/>
      <w:marTop w:val="0"/>
      <w:marBottom w:val="0"/>
      <w:divBdr>
        <w:top w:val="none" w:sz="0" w:space="0" w:color="auto"/>
        <w:left w:val="none" w:sz="0" w:space="0" w:color="auto"/>
        <w:bottom w:val="none" w:sz="0" w:space="0" w:color="auto"/>
        <w:right w:val="none" w:sz="0" w:space="0" w:color="auto"/>
      </w:divBdr>
    </w:div>
    <w:div w:id="358513979">
      <w:bodyDiv w:val="1"/>
      <w:marLeft w:val="0"/>
      <w:marRight w:val="0"/>
      <w:marTop w:val="0"/>
      <w:marBottom w:val="0"/>
      <w:divBdr>
        <w:top w:val="none" w:sz="0" w:space="0" w:color="auto"/>
        <w:left w:val="none" w:sz="0" w:space="0" w:color="auto"/>
        <w:bottom w:val="none" w:sz="0" w:space="0" w:color="auto"/>
        <w:right w:val="none" w:sz="0" w:space="0" w:color="auto"/>
      </w:divBdr>
    </w:div>
    <w:div w:id="398678742">
      <w:bodyDiv w:val="1"/>
      <w:marLeft w:val="0"/>
      <w:marRight w:val="0"/>
      <w:marTop w:val="0"/>
      <w:marBottom w:val="0"/>
      <w:divBdr>
        <w:top w:val="none" w:sz="0" w:space="0" w:color="auto"/>
        <w:left w:val="none" w:sz="0" w:space="0" w:color="auto"/>
        <w:bottom w:val="none" w:sz="0" w:space="0" w:color="auto"/>
        <w:right w:val="none" w:sz="0" w:space="0" w:color="auto"/>
      </w:divBdr>
    </w:div>
    <w:div w:id="437599352">
      <w:bodyDiv w:val="1"/>
      <w:marLeft w:val="0"/>
      <w:marRight w:val="0"/>
      <w:marTop w:val="0"/>
      <w:marBottom w:val="0"/>
      <w:divBdr>
        <w:top w:val="none" w:sz="0" w:space="0" w:color="auto"/>
        <w:left w:val="none" w:sz="0" w:space="0" w:color="auto"/>
        <w:bottom w:val="none" w:sz="0" w:space="0" w:color="auto"/>
        <w:right w:val="none" w:sz="0" w:space="0" w:color="auto"/>
      </w:divBdr>
    </w:div>
    <w:div w:id="531959076">
      <w:bodyDiv w:val="1"/>
      <w:marLeft w:val="0"/>
      <w:marRight w:val="0"/>
      <w:marTop w:val="0"/>
      <w:marBottom w:val="0"/>
      <w:divBdr>
        <w:top w:val="none" w:sz="0" w:space="0" w:color="auto"/>
        <w:left w:val="none" w:sz="0" w:space="0" w:color="auto"/>
        <w:bottom w:val="none" w:sz="0" w:space="0" w:color="auto"/>
        <w:right w:val="none" w:sz="0" w:space="0" w:color="auto"/>
      </w:divBdr>
    </w:div>
    <w:div w:id="551500184">
      <w:bodyDiv w:val="1"/>
      <w:marLeft w:val="0"/>
      <w:marRight w:val="0"/>
      <w:marTop w:val="0"/>
      <w:marBottom w:val="0"/>
      <w:divBdr>
        <w:top w:val="none" w:sz="0" w:space="0" w:color="auto"/>
        <w:left w:val="none" w:sz="0" w:space="0" w:color="auto"/>
        <w:bottom w:val="none" w:sz="0" w:space="0" w:color="auto"/>
        <w:right w:val="none" w:sz="0" w:space="0" w:color="auto"/>
      </w:divBdr>
    </w:div>
    <w:div w:id="645934888">
      <w:bodyDiv w:val="1"/>
      <w:marLeft w:val="0"/>
      <w:marRight w:val="0"/>
      <w:marTop w:val="0"/>
      <w:marBottom w:val="0"/>
      <w:divBdr>
        <w:top w:val="none" w:sz="0" w:space="0" w:color="auto"/>
        <w:left w:val="none" w:sz="0" w:space="0" w:color="auto"/>
        <w:bottom w:val="none" w:sz="0" w:space="0" w:color="auto"/>
        <w:right w:val="none" w:sz="0" w:space="0" w:color="auto"/>
      </w:divBdr>
    </w:div>
    <w:div w:id="647786852">
      <w:bodyDiv w:val="1"/>
      <w:marLeft w:val="0"/>
      <w:marRight w:val="0"/>
      <w:marTop w:val="0"/>
      <w:marBottom w:val="0"/>
      <w:divBdr>
        <w:top w:val="none" w:sz="0" w:space="0" w:color="auto"/>
        <w:left w:val="none" w:sz="0" w:space="0" w:color="auto"/>
        <w:bottom w:val="none" w:sz="0" w:space="0" w:color="auto"/>
        <w:right w:val="none" w:sz="0" w:space="0" w:color="auto"/>
      </w:divBdr>
    </w:div>
    <w:div w:id="650520718">
      <w:bodyDiv w:val="1"/>
      <w:marLeft w:val="0"/>
      <w:marRight w:val="0"/>
      <w:marTop w:val="0"/>
      <w:marBottom w:val="0"/>
      <w:divBdr>
        <w:top w:val="none" w:sz="0" w:space="0" w:color="auto"/>
        <w:left w:val="none" w:sz="0" w:space="0" w:color="auto"/>
        <w:bottom w:val="none" w:sz="0" w:space="0" w:color="auto"/>
        <w:right w:val="none" w:sz="0" w:space="0" w:color="auto"/>
      </w:divBdr>
    </w:div>
    <w:div w:id="695623239">
      <w:bodyDiv w:val="1"/>
      <w:marLeft w:val="0"/>
      <w:marRight w:val="0"/>
      <w:marTop w:val="0"/>
      <w:marBottom w:val="0"/>
      <w:divBdr>
        <w:top w:val="none" w:sz="0" w:space="0" w:color="auto"/>
        <w:left w:val="none" w:sz="0" w:space="0" w:color="auto"/>
        <w:bottom w:val="none" w:sz="0" w:space="0" w:color="auto"/>
        <w:right w:val="none" w:sz="0" w:space="0" w:color="auto"/>
      </w:divBdr>
    </w:div>
    <w:div w:id="697387584">
      <w:bodyDiv w:val="1"/>
      <w:marLeft w:val="0"/>
      <w:marRight w:val="0"/>
      <w:marTop w:val="0"/>
      <w:marBottom w:val="0"/>
      <w:divBdr>
        <w:top w:val="none" w:sz="0" w:space="0" w:color="auto"/>
        <w:left w:val="none" w:sz="0" w:space="0" w:color="auto"/>
        <w:bottom w:val="none" w:sz="0" w:space="0" w:color="auto"/>
        <w:right w:val="none" w:sz="0" w:space="0" w:color="auto"/>
      </w:divBdr>
    </w:div>
    <w:div w:id="698970768">
      <w:bodyDiv w:val="1"/>
      <w:marLeft w:val="0"/>
      <w:marRight w:val="0"/>
      <w:marTop w:val="0"/>
      <w:marBottom w:val="0"/>
      <w:divBdr>
        <w:top w:val="none" w:sz="0" w:space="0" w:color="auto"/>
        <w:left w:val="none" w:sz="0" w:space="0" w:color="auto"/>
        <w:bottom w:val="none" w:sz="0" w:space="0" w:color="auto"/>
        <w:right w:val="none" w:sz="0" w:space="0" w:color="auto"/>
      </w:divBdr>
    </w:div>
    <w:div w:id="719859944">
      <w:bodyDiv w:val="1"/>
      <w:marLeft w:val="0"/>
      <w:marRight w:val="0"/>
      <w:marTop w:val="0"/>
      <w:marBottom w:val="0"/>
      <w:divBdr>
        <w:top w:val="none" w:sz="0" w:space="0" w:color="auto"/>
        <w:left w:val="none" w:sz="0" w:space="0" w:color="auto"/>
        <w:bottom w:val="none" w:sz="0" w:space="0" w:color="auto"/>
        <w:right w:val="none" w:sz="0" w:space="0" w:color="auto"/>
      </w:divBdr>
    </w:div>
    <w:div w:id="725026375">
      <w:bodyDiv w:val="1"/>
      <w:marLeft w:val="0"/>
      <w:marRight w:val="0"/>
      <w:marTop w:val="0"/>
      <w:marBottom w:val="0"/>
      <w:divBdr>
        <w:top w:val="none" w:sz="0" w:space="0" w:color="auto"/>
        <w:left w:val="none" w:sz="0" w:space="0" w:color="auto"/>
        <w:bottom w:val="none" w:sz="0" w:space="0" w:color="auto"/>
        <w:right w:val="none" w:sz="0" w:space="0" w:color="auto"/>
      </w:divBdr>
    </w:div>
    <w:div w:id="748118296">
      <w:bodyDiv w:val="1"/>
      <w:marLeft w:val="0"/>
      <w:marRight w:val="0"/>
      <w:marTop w:val="0"/>
      <w:marBottom w:val="0"/>
      <w:divBdr>
        <w:top w:val="none" w:sz="0" w:space="0" w:color="auto"/>
        <w:left w:val="none" w:sz="0" w:space="0" w:color="auto"/>
        <w:bottom w:val="none" w:sz="0" w:space="0" w:color="auto"/>
        <w:right w:val="none" w:sz="0" w:space="0" w:color="auto"/>
      </w:divBdr>
    </w:div>
    <w:div w:id="778643724">
      <w:bodyDiv w:val="1"/>
      <w:marLeft w:val="0"/>
      <w:marRight w:val="0"/>
      <w:marTop w:val="0"/>
      <w:marBottom w:val="0"/>
      <w:divBdr>
        <w:top w:val="none" w:sz="0" w:space="0" w:color="auto"/>
        <w:left w:val="none" w:sz="0" w:space="0" w:color="auto"/>
        <w:bottom w:val="none" w:sz="0" w:space="0" w:color="auto"/>
        <w:right w:val="none" w:sz="0" w:space="0" w:color="auto"/>
      </w:divBdr>
    </w:div>
    <w:div w:id="782118530">
      <w:bodyDiv w:val="1"/>
      <w:marLeft w:val="0"/>
      <w:marRight w:val="0"/>
      <w:marTop w:val="0"/>
      <w:marBottom w:val="0"/>
      <w:divBdr>
        <w:top w:val="none" w:sz="0" w:space="0" w:color="auto"/>
        <w:left w:val="none" w:sz="0" w:space="0" w:color="auto"/>
        <w:bottom w:val="none" w:sz="0" w:space="0" w:color="auto"/>
        <w:right w:val="none" w:sz="0" w:space="0" w:color="auto"/>
      </w:divBdr>
    </w:div>
    <w:div w:id="814685772">
      <w:bodyDiv w:val="1"/>
      <w:marLeft w:val="0"/>
      <w:marRight w:val="0"/>
      <w:marTop w:val="0"/>
      <w:marBottom w:val="0"/>
      <w:divBdr>
        <w:top w:val="none" w:sz="0" w:space="0" w:color="auto"/>
        <w:left w:val="none" w:sz="0" w:space="0" w:color="auto"/>
        <w:bottom w:val="none" w:sz="0" w:space="0" w:color="auto"/>
        <w:right w:val="none" w:sz="0" w:space="0" w:color="auto"/>
      </w:divBdr>
    </w:div>
    <w:div w:id="887105768">
      <w:bodyDiv w:val="1"/>
      <w:marLeft w:val="0"/>
      <w:marRight w:val="0"/>
      <w:marTop w:val="0"/>
      <w:marBottom w:val="0"/>
      <w:divBdr>
        <w:top w:val="none" w:sz="0" w:space="0" w:color="auto"/>
        <w:left w:val="none" w:sz="0" w:space="0" w:color="auto"/>
        <w:bottom w:val="none" w:sz="0" w:space="0" w:color="auto"/>
        <w:right w:val="none" w:sz="0" w:space="0" w:color="auto"/>
      </w:divBdr>
    </w:div>
    <w:div w:id="904409634">
      <w:bodyDiv w:val="1"/>
      <w:marLeft w:val="0"/>
      <w:marRight w:val="0"/>
      <w:marTop w:val="0"/>
      <w:marBottom w:val="0"/>
      <w:divBdr>
        <w:top w:val="none" w:sz="0" w:space="0" w:color="auto"/>
        <w:left w:val="none" w:sz="0" w:space="0" w:color="auto"/>
        <w:bottom w:val="none" w:sz="0" w:space="0" w:color="auto"/>
        <w:right w:val="none" w:sz="0" w:space="0" w:color="auto"/>
      </w:divBdr>
    </w:div>
    <w:div w:id="906257437">
      <w:bodyDiv w:val="1"/>
      <w:marLeft w:val="0"/>
      <w:marRight w:val="0"/>
      <w:marTop w:val="0"/>
      <w:marBottom w:val="0"/>
      <w:divBdr>
        <w:top w:val="none" w:sz="0" w:space="0" w:color="auto"/>
        <w:left w:val="none" w:sz="0" w:space="0" w:color="auto"/>
        <w:bottom w:val="none" w:sz="0" w:space="0" w:color="auto"/>
        <w:right w:val="none" w:sz="0" w:space="0" w:color="auto"/>
      </w:divBdr>
    </w:div>
    <w:div w:id="918173712">
      <w:bodyDiv w:val="1"/>
      <w:marLeft w:val="0"/>
      <w:marRight w:val="0"/>
      <w:marTop w:val="0"/>
      <w:marBottom w:val="0"/>
      <w:divBdr>
        <w:top w:val="none" w:sz="0" w:space="0" w:color="auto"/>
        <w:left w:val="none" w:sz="0" w:space="0" w:color="auto"/>
        <w:bottom w:val="none" w:sz="0" w:space="0" w:color="auto"/>
        <w:right w:val="none" w:sz="0" w:space="0" w:color="auto"/>
      </w:divBdr>
    </w:div>
    <w:div w:id="922957097">
      <w:bodyDiv w:val="1"/>
      <w:marLeft w:val="0"/>
      <w:marRight w:val="0"/>
      <w:marTop w:val="0"/>
      <w:marBottom w:val="0"/>
      <w:divBdr>
        <w:top w:val="none" w:sz="0" w:space="0" w:color="auto"/>
        <w:left w:val="none" w:sz="0" w:space="0" w:color="auto"/>
        <w:bottom w:val="none" w:sz="0" w:space="0" w:color="auto"/>
        <w:right w:val="none" w:sz="0" w:space="0" w:color="auto"/>
      </w:divBdr>
    </w:div>
    <w:div w:id="944264756">
      <w:bodyDiv w:val="1"/>
      <w:marLeft w:val="0"/>
      <w:marRight w:val="0"/>
      <w:marTop w:val="0"/>
      <w:marBottom w:val="0"/>
      <w:divBdr>
        <w:top w:val="none" w:sz="0" w:space="0" w:color="auto"/>
        <w:left w:val="none" w:sz="0" w:space="0" w:color="auto"/>
        <w:bottom w:val="none" w:sz="0" w:space="0" w:color="auto"/>
        <w:right w:val="none" w:sz="0" w:space="0" w:color="auto"/>
      </w:divBdr>
    </w:div>
    <w:div w:id="981346835">
      <w:bodyDiv w:val="1"/>
      <w:marLeft w:val="0"/>
      <w:marRight w:val="0"/>
      <w:marTop w:val="0"/>
      <w:marBottom w:val="0"/>
      <w:divBdr>
        <w:top w:val="none" w:sz="0" w:space="0" w:color="auto"/>
        <w:left w:val="none" w:sz="0" w:space="0" w:color="auto"/>
        <w:bottom w:val="none" w:sz="0" w:space="0" w:color="auto"/>
        <w:right w:val="none" w:sz="0" w:space="0" w:color="auto"/>
      </w:divBdr>
    </w:div>
    <w:div w:id="1049957211">
      <w:bodyDiv w:val="1"/>
      <w:marLeft w:val="0"/>
      <w:marRight w:val="0"/>
      <w:marTop w:val="0"/>
      <w:marBottom w:val="0"/>
      <w:divBdr>
        <w:top w:val="none" w:sz="0" w:space="0" w:color="auto"/>
        <w:left w:val="none" w:sz="0" w:space="0" w:color="auto"/>
        <w:bottom w:val="none" w:sz="0" w:space="0" w:color="auto"/>
        <w:right w:val="none" w:sz="0" w:space="0" w:color="auto"/>
      </w:divBdr>
    </w:div>
    <w:div w:id="1057242306">
      <w:bodyDiv w:val="1"/>
      <w:marLeft w:val="0"/>
      <w:marRight w:val="0"/>
      <w:marTop w:val="0"/>
      <w:marBottom w:val="0"/>
      <w:divBdr>
        <w:top w:val="none" w:sz="0" w:space="0" w:color="auto"/>
        <w:left w:val="none" w:sz="0" w:space="0" w:color="auto"/>
        <w:bottom w:val="none" w:sz="0" w:space="0" w:color="auto"/>
        <w:right w:val="none" w:sz="0" w:space="0" w:color="auto"/>
      </w:divBdr>
    </w:div>
    <w:div w:id="1093011416">
      <w:bodyDiv w:val="1"/>
      <w:marLeft w:val="0"/>
      <w:marRight w:val="0"/>
      <w:marTop w:val="0"/>
      <w:marBottom w:val="0"/>
      <w:divBdr>
        <w:top w:val="none" w:sz="0" w:space="0" w:color="auto"/>
        <w:left w:val="none" w:sz="0" w:space="0" w:color="auto"/>
        <w:bottom w:val="none" w:sz="0" w:space="0" w:color="auto"/>
        <w:right w:val="none" w:sz="0" w:space="0" w:color="auto"/>
      </w:divBdr>
    </w:div>
    <w:div w:id="1101560374">
      <w:bodyDiv w:val="1"/>
      <w:marLeft w:val="0"/>
      <w:marRight w:val="0"/>
      <w:marTop w:val="0"/>
      <w:marBottom w:val="0"/>
      <w:divBdr>
        <w:top w:val="none" w:sz="0" w:space="0" w:color="auto"/>
        <w:left w:val="none" w:sz="0" w:space="0" w:color="auto"/>
        <w:bottom w:val="none" w:sz="0" w:space="0" w:color="auto"/>
        <w:right w:val="none" w:sz="0" w:space="0" w:color="auto"/>
      </w:divBdr>
    </w:div>
    <w:div w:id="1105004953">
      <w:bodyDiv w:val="1"/>
      <w:marLeft w:val="0"/>
      <w:marRight w:val="0"/>
      <w:marTop w:val="0"/>
      <w:marBottom w:val="0"/>
      <w:divBdr>
        <w:top w:val="none" w:sz="0" w:space="0" w:color="auto"/>
        <w:left w:val="none" w:sz="0" w:space="0" w:color="auto"/>
        <w:bottom w:val="none" w:sz="0" w:space="0" w:color="auto"/>
        <w:right w:val="none" w:sz="0" w:space="0" w:color="auto"/>
      </w:divBdr>
    </w:div>
    <w:div w:id="1133909875">
      <w:bodyDiv w:val="1"/>
      <w:marLeft w:val="0"/>
      <w:marRight w:val="0"/>
      <w:marTop w:val="0"/>
      <w:marBottom w:val="0"/>
      <w:divBdr>
        <w:top w:val="none" w:sz="0" w:space="0" w:color="auto"/>
        <w:left w:val="none" w:sz="0" w:space="0" w:color="auto"/>
        <w:bottom w:val="none" w:sz="0" w:space="0" w:color="auto"/>
        <w:right w:val="none" w:sz="0" w:space="0" w:color="auto"/>
      </w:divBdr>
    </w:div>
    <w:div w:id="1147698428">
      <w:bodyDiv w:val="1"/>
      <w:marLeft w:val="0"/>
      <w:marRight w:val="0"/>
      <w:marTop w:val="0"/>
      <w:marBottom w:val="0"/>
      <w:divBdr>
        <w:top w:val="none" w:sz="0" w:space="0" w:color="auto"/>
        <w:left w:val="none" w:sz="0" w:space="0" w:color="auto"/>
        <w:bottom w:val="none" w:sz="0" w:space="0" w:color="auto"/>
        <w:right w:val="none" w:sz="0" w:space="0" w:color="auto"/>
      </w:divBdr>
    </w:div>
    <w:div w:id="1153302728">
      <w:bodyDiv w:val="1"/>
      <w:marLeft w:val="0"/>
      <w:marRight w:val="0"/>
      <w:marTop w:val="0"/>
      <w:marBottom w:val="0"/>
      <w:divBdr>
        <w:top w:val="none" w:sz="0" w:space="0" w:color="auto"/>
        <w:left w:val="none" w:sz="0" w:space="0" w:color="auto"/>
        <w:bottom w:val="none" w:sz="0" w:space="0" w:color="auto"/>
        <w:right w:val="none" w:sz="0" w:space="0" w:color="auto"/>
      </w:divBdr>
    </w:div>
    <w:div w:id="1211919892">
      <w:bodyDiv w:val="1"/>
      <w:marLeft w:val="0"/>
      <w:marRight w:val="0"/>
      <w:marTop w:val="0"/>
      <w:marBottom w:val="0"/>
      <w:divBdr>
        <w:top w:val="none" w:sz="0" w:space="0" w:color="auto"/>
        <w:left w:val="none" w:sz="0" w:space="0" w:color="auto"/>
        <w:bottom w:val="none" w:sz="0" w:space="0" w:color="auto"/>
        <w:right w:val="none" w:sz="0" w:space="0" w:color="auto"/>
      </w:divBdr>
    </w:div>
    <w:div w:id="1213535948">
      <w:bodyDiv w:val="1"/>
      <w:marLeft w:val="0"/>
      <w:marRight w:val="0"/>
      <w:marTop w:val="0"/>
      <w:marBottom w:val="0"/>
      <w:divBdr>
        <w:top w:val="none" w:sz="0" w:space="0" w:color="auto"/>
        <w:left w:val="none" w:sz="0" w:space="0" w:color="auto"/>
        <w:bottom w:val="none" w:sz="0" w:space="0" w:color="auto"/>
        <w:right w:val="none" w:sz="0" w:space="0" w:color="auto"/>
      </w:divBdr>
    </w:div>
    <w:div w:id="1245724091">
      <w:bodyDiv w:val="1"/>
      <w:marLeft w:val="0"/>
      <w:marRight w:val="0"/>
      <w:marTop w:val="0"/>
      <w:marBottom w:val="0"/>
      <w:divBdr>
        <w:top w:val="none" w:sz="0" w:space="0" w:color="auto"/>
        <w:left w:val="none" w:sz="0" w:space="0" w:color="auto"/>
        <w:bottom w:val="none" w:sz="0" w:space="0" w:color="auto"/>
        <w:right w:val="none" w:sz="0" w:space="0" w:color="auto"/>
      </w:divBdr>
    </w:div>
    <w:div w:id="1257247003">
      <w:bodyDiv w:val="1"/>
      <w:marLeft w:val="0"/>
      <w:marRight w:val="0"/>
      <w:marTop w:val="0"/>
      <w:marBottom w:val="0"/>
      <w:divBdr>
        <w:top w:val="none" w:sz="0" w:space="0" w:color="auto"/>
        <w:left w:val="none" w:sz="0" w:space="0" w:color="auto"/>
        <w:bottom w:val="none" w:sz="0" w:space="0" w:color="auto"/>
        <w:right w:val="none" w:sz="0" w:space="0" w:color="auto"/>
      </w:divBdr>
    </w:div>
    <w:div w:id="1326668596">
      <w:bodyDiv w:val="1"/>
      <w:marLeft w:val="0"/>
      <w:marRight w:val="0"/>
      <w:marTop w:val="0"/>
      <w:marBottom w:val="0"/>
      <w:divBdr>
        <w:top w:val="none" w:sz="0" w:space="0" w:color="auto"/>
        <w:left w:val="none" w:sz="0" w:space="0" w:color="auto"/>
        <w:bottom w:val="none" w:sz="0" w:space="0" w:color="auto"/>
        <w:right w:val="none" w:sz="0" w:space="0" w:color="auto"/>
      </w:divBdr>
    </w:div>
    <w:div w:id="1329476684">
      <w:bodyDiv w:val="1"/>
      <w:marLeft w:val="0"/>
      <w:marRight w:val="0"/>
      <w:marTop w:val="0"/>
      <w:marBottom w:val="0"/>
      <w:divBdr>
        <w:top w:val="none" w:sz="0" w:space="0" w:color="auto"/>
        <w:left w:val="none" w:sz="0" w:space="0" w:color="auto"/>
        <w:bottom w:val="none" w:sz="0" w:space="0" w:color="auto"/>
        <w:right w:val="none" w:sz="0" w:space="0" w:color="auto"/>
      </w:divBdr>
    </w:div>
    <w:div w:id="1357003113">
      <w:bodyDiv w:val="1"/>
      <w:marLeft w:val="0"/>
      <w:marRight w:val="0"/>
      <w:marTop w:val="0"/>
      <w:marBottom w:val="0"/>
      <w:divBdr>
        <w:top w:val="none" w:sz="0" w:space="0" w:color="auto"/>
        <w:left w:val="none" w:sz="0" w:space="0" w:color="auto"/>
        <w:bottom w:val="none" w:sz="0" w:space="0" w:color="auto"/>
        <w:right w:val="none" w:sz="0" w:space="0" w:color="auto"/>
      </w:divBdr>
    </w:div>
    <w:div w:id="1418943323">
      <w:bodyDiv w:val="1"/>
      <w:marLeft w:val="0"/>
      <w:marRight w:val="0"/>
      <w:marTop w:val="0"/>
      <w:marBottom w:val="0"/>
      <w:divBdr>
        <w:top w:val="none" w:sz="0" w:space="0" w:color="auto"/>
        <w:left w:val="none" w:sz="0" w:space="0" w:color="auto"/>
        <w:bottom w:val="none" w:sz="0" w:space="0" w:color="auto"/>
        <w:right w:val="none" w:sz="0" w:space="0" w:color="auto"/>
      </w:divBdr>
    </w:div>
    <w:div w:id="1440249055">
      <w:bodyDiv w:val="1"/>
      <w:marLeft w:val="0"/>
      <w:marRight w:val="0"/>
      <w:marTop w:val="0"/>
      <w:marBottom w:val="0"/>
      <w:divBdr>
        <w:top w:val="none" w:sz="0" w:space="0" w:color="auto"/>
        <w:left w:val="none" w:sz="0" w:space="0" w:color="auto"/>
        <w:bottom w:val="none" w:sz="0" w:space="0" w:color="auto"/>
        <w:right w:val="none" w:sz="0" w:space="0" w:color="auto"/>
      </w:divBdr>
    </w:div>
    <w:div w:id="1440249513">
      <w:bodyDiv w:val="1"/>
      <w:marLeft w:val="0"/>
      <w:marRight w:val="0"/>
      <w:marTop w:val="0"/>
      <w:marBottom w:val="0"/>
      <w:divBdr>
        <w:top w:val="none" w:sz="0" w:space="0" w:color="auto"/>
        <w:left w:val="none" w:sz="0" w:space="0" w:color="auto"/>
        <w:bottom w:val="none" w:sz="0" w:space="0" w:color="auto"/>
        <w:right w:val="none" w:sz="0" w:space="0" w:color="auto"/>
      </w:divBdr>
    </w:div>
    <w:div w:id="1441296841">
      <w:bodyDiv w:val="1"/>
      <w:marLeft w:val="0"/>
      <w:marRight w:val="0"/>
      <w:marTop w:val="0"/>
      <w:marBottom w:val="0"/>
      <w:divBdr>
        <w:top w:val="none" w:sz="0" w:space="0" w:color="auto"/>
        <w:left w:val="none" w:sz="0" w:space="0" w:color="auto"/>
        <w:bottom w:val="none" w:sz="0" w:space="0" w:color="auto"/>
        <w:right w:val="none" w:sz="0" w:space="0" w:color="auto"/>
      </w:divBdr>
    </w:div>
    <w:div w:id="1447118034">
      <w:bodyDiv w:val="1"/>
      <w:marLeft w:val="0"/>
      <w:marRight w:val="0"/>
      <w:marTop w:val="0"/>
      <w:marBottom w:val="0"/>
      <w:divBdr>
        <w:top w:val="none" w:sz="0" w:space="0" w:color="auto"/>
        <w:left w:val="none" w:sz="0" w:space="0" w:color="auto"/>
        <w:bottom w:val="none" w:sz="0" w:space="0" w:color="auto"/>
        <w:right w:val="none" w:sz="0" w:space="0" w:color="auto"/>
      </w:divBdr>
    </w:div>
    <w:div w:id="1476754717">
      <w:bodyDiv w:val="1"/>
      <w:marLeft w:val="0"/>
      <w:marRight w:val="0"/>
      <w:marTop w:val="0"/>
      <w:marBottom w:val="0"/>
      <w:divBdr>
        <w:top w:val="none" w:sz="0" w:space="0" w:color="auto"/>
        <w:left w:val="none" w:sz="0" w:space="0" w:color="auto"/>
        <w:bottom w:val="none" w:sz="0" w:space="0" w:color="auto"/>
        <w:right w:val="none" w:sz="0" w:space="0" w:color="auto"/>
      </w:divBdr>
    </w:div>
    <w:div w:id="1481848231">
      <w:bodyDiv w:val="1"/>
      <w:marLeft w:val="0"/>
      <w:marRight w:val="0"/>
      <w:marTop w:val="0"/>
      <w:marBottom w:val="0"/>
      <w:divBdr>
        <w:top w:val="none" w:sz="0" w:space="0" w:color="auto"/>
        <w:left w:val="none" w:sz="0" w:space="0" w:color="auto"/>
        <w:bottom w:val="none" w:sz="0" w:space="0" w:color="auto"/>
        <w:right w:val="none" w:sz="0" w:space="0" w:color="auto"/>
      </w:divBdr>
    </w:div>
    <w:div w:id="1496652605">
      <w:bodyDiv w:val="1"/>
      <w:marLeft w:val="0"/>
      <w:marRight w:val="0"/>
      <w:marTop w:val="0"/>
      <w:marBottom w:val="0"/>
      <w:divBdr>
        <w:top w:val="none" w:sz="0" w:space="0" w:color="auto"/>
        <w:left w:val="none" w:sz="0" w:space="0" w:color="auto"/>
        <w:bottom w:val="none" w:sz="0" w:space="0" w:color="auto"/>
        <w:right w:val="none" w:sz="0" w:space="0" w:color="auto"/>
      </w:divBdr>
    </w:div>
    <w:div w:id="1497576462">
      <w:bodyDiv w:val="1"/>
      <w:marLeft w:val="0"/>
      <w:marRight w:val="0"/>
      <w:marTop w:val="0"/>
      <w:marBottom w:val="0"/>
      <w:divBdr>
        <w:top w:val="none" w:sz="0" w:space="0" w:color="auto"/>
        <w:left w:val="none" w:sz="0" w:space="0" w:color="auto"/>
        <w:bottom w:val="none" w:sz="0" w:space="0" w:color="auto"/>
        <w:right w:val="none" w:sz="0" w:space="0" w:color="auto"/>
      </w:divBdr>
    </w:div>
    <w:div w:id="1510682722">
      <w:bodyDiv w:val="1"/>
      <w:marLeft w:val="0"/>
      <w:marRight w:val="0"/>
      <w:marTop w:val="0"/>
      <w:marBottom w:val="0"/>
      <w:divBdr>
        <w:top w:val="none" w:sz="0" w:space="0" w:color="auto"/>
        <w:left w:val="none" w:sz="0" w:space="0" w:color="auto"/>
        <w:bottom w:val="none" w:sz="0" w:space="0" w:color="auto"/>
        <w:right w:val="none" w:sz="0" w:space="0" w:color="auto"/>
      </w:divBdr>
    </w:div>
    <w:div w:id="1542783536">
      <w:bodyDiv w:val="1"/>
      <w:marLeft w:val="0"/>
      <w:marRight w:val="0"/>
      <w:marTop w:val="0"/>
      <w:marBottom w:val="0"/>
      <w:divBdr>
        <w:top w:val="none" w:sz="0" w:space="0" w:color="auto"/>
        <w:left w:val="none" w:sz="0" w:space="0" w:color="auto"/>
        <w:bottom w:val="none" w:sz="0" w:space="0" w:color="auto"/>
        <w:right w:val="none" w:sz="0" w:space="0" w:color="auto"/>
      </w:divBdr>
    </w:div>
    <w:div w:id="1560243378">
      <w:bodyDiv w:val="1"/>
      <w:marLeft w:val="0"/>
      <w:marRight w:val="0"/>
      <w:marTop w:val="0"/>
      <w:marBottom w:val="0"/>
      <w:divBdr>
        <w:top w:val="none" w:sz="0" w:space="0" w:color="auto"/>
        <w:left w:val="none" w:sz="0" w:space="0" w:color="auto"/>
        <w:bottom w:val="none" w:sz="0" w:space="0" w:color="auto"/>
        <w:right w:val="none" w:sz="0" w:space="0" w:color="auto"/>
      </w:divBdr>
    </w:div>
    <w:div w:id="1574509808">
      <w:bodyDiv w:val="1"/>
      <w:marLeft w:val="0"/>
      <w:marRight w:val="0"/>
      <w:marTop w:val="0"/>
      <w:marBottom w:val="0"/>
      <w:divBdr>
        <w:top w:val="none" w:sz="0" w:space="0" w:color="auto"/>
        <w:left w:val="none" w:sz="0" w:space="0" w:color="auto"/>
        <w:bottom w:val="none" w:sz="0" w:space="0" w:color="auto"/>
        <w:right w:val="none" w:sz="0" w:space="0" w:color="auto"/>
      </w:divBdr>
    </w:div>
    <w:div w:id="1577521186">
      <w:bodyDiv w:val="1"/>
      <w:marLeft w:val="0"/>
      <w:marRight w:val="0"/>
      <w:marTop w:val="0"/>
      <w:marBottom w:val="0"/>
      <w:divBdr>
        <w:top w:val="none" w:sz="0" w:space="0" w:color="auto"/>
        <w:left w:val="none" w:sz="0" w:space="0" w:color="auto"/>
        <w:bottom w:val="none" w:sz="0" w:space="0" w:color="auto"/>
        <w:right w:val="none" w:sz="0" w:space="0" w:color="auto"/>
      </w:divBdr>
    </w:div>
    <w:div w:id="1588155786">
      <w:bodyDiv w:val="1"/>
      <w:marLeft w:val="0"/>
      <w:marRight w:val="0"/>
      <w:marTop w:val="0"/>
      <w:marBottom w:val="0"/>
      <w:divBdr>
        <w:top w:val="none" w:sz="0" w:space="0" w:color="auto"/>
        <w:left w:val="none" w:sz="0" w:space="0" w:color="auto"/>
        <w:bottom w:val="none" w:sz="0" w:space="0" w:color="auto"/>
        <w:right w:val="none" w:sz="0" w:space="0" w:color="auto"/>
      </w:divBdr>
    </w:div>
    <w:div w:id="1601329878">
      <w:bodyDiv w:val="1"/>
      <w:marLeft w:val="0"/>
      <w:marRight w:val="0"/>
      <w:marTop w:val="0"/>
      <w:marBottom w:val="0"/>
      <w:divBdr>
        <w:top w:val="none" w:sz="0" w:space="0" w:color="auto"/>
        <w:left w:val="none" w:sz="0" w:space="0" w:color="auto"/>
        <w:bottom w:val="none" w:sz="0" w:space="0" w:color="auto"/>
        <w:right w:val="none" w:sz="0" w:space="0" w:color="auto"/>
      </w:divBdr>
    </w:div>
    <w:div w:id="1623463985">
      <w:bodyDiv w:val="1"/>
      <w:marLeft w:val="0"/>
      <w:marRight w:val="0"/>
      <w:marTop w:val="0"/>
      <w:marBottom w:val="0"/>
      <w:divBdr>
        <w:top w:val="none" w:sz="0" w:space="0" w:color="auto"/>
        <w:left w:val="none" w:sz="0" w:space="0" w:color="auto"/>
        <w:bottom w:val="none" w:sz="0" w:space="0" w:color="auto"/>
        <w:right w:val="none" w:sz="0" w:space="0" w:color="auto"/>
      </w:divBdr>
    </w:div>
    <w:div w:id="1673682937">
      <w:bodyDiv w:val="1"/>
      <w:marLeft w:val="0"/>
      <w:marRight w:val="0"/>
      <w:marTop w:val="0"/>
      <w:marBottom w:val="0"/>
      <w:divBdr>
        <w:top w:val="none" w:sz="0" w:space="0" w:color="auto"/>
        <w:left w:val="none" w:sz="0" w:space="0" w:color="auto"/>
        <w:bottom w:val="none" w:sz="0" w:space="0" w:color="auto"/>
        <w:right w:val="none" w:sz="0" w:space="0" w:color="auto"/>
      </w:divBdr>
    </w:div>
    <w:div w:id="1718384438">
      <w:bodyDiv w:val="1"/>
      <w:marLeft w:val="0"/>
      <w:marRight w:val="0"/>
      <w:marTop w:val="0"/>
      <w:marBottom w:val="0"/>
      <w:divBdr>
        <w:top w:val="none" w:sz="0" w:space="0" w:color="auto"/>
        <w:left w:val="none" w:sz="0" w:space="0" w:color="auto"/>
        <w:bottom w:val="none" w:sz="0" w:space="0" w:color="auto"/>
        <w:right w:val="none" w:sz="0" w:space="0" w:color="auto"/>
      </w:divBdr>
    </w:div>
    <w:div w:id="1764182336">
      <w:bodyDiv w:val="1"/>
      <w:marLeft w:val="0"/>
      <w:marRight w:val="0"/>
      <w:marTop w:val="0"/>
      <w:marBottom w:val="0"/>
      <w:divBdr>
        <w:top w:val="none" w:sz="0" w:space="0" w:color="auto"/>
        <w:left w:val="none" w:sz="0" w:space="0" w:color="auto"/>
        <w:bottom w:val="none" w:sz="0" w:space="0" w:color="auto"/>
        <w:right w:val="none" w:sz="0" w:space="0" w:color="auto"/>
      </w:divBdr>
    </w:div>
    <w:div w:id="1783378095">
      <w:bodyDiv w:val="1"/>
      <w:marLeft w:val="0"/>
      <w:marRight w:val="0"/>
      <w:marTop w:val="0"/>
      <w:marBottom w:val="0"/>
      <w:divBdr>
        <w:top w:val="none" w:sz="0" w:space="0" w:color="auto"/>
        <w:left w:val="none" w:sz="0" w:space="0" w:color="auto"/>
        <w:bottom w:val="none" w:sz="0" w:space="0" w:color="auto"/>
        <w:right w:val="none" w:sz="0" w:space="0" w:color="auto"/>
      </w:divBdr>
    </w:div>
    <w:div w:id="1813596138">
      <w:bodyDiv w:val="1"/>
      <w:marLeft w:val="0"/>
      <w:marRight w:val="0"/>
      <w:marTop w:val="0"/>
      <w:marBottom w:val="0"/>
      <w:divBdr>
        <w:top w:val="none" w:sz="0" w:space="0" w:color="auto"/>
        <w:left w:val="none" w:sz="0" w:space="0" w:color="auto"/>
        <w:bottom w:val="none" w:sz="0" w:space="0" w:color="auto"/>
        <w:right w:val="none" w:sz="0" w:space="0" w:color="auto"/>
      </w:divBdr>
    </w:div>
    <w:div w:id="1829906346">
      <w:bodyDiv w:val="1"/>
      <w:marLeft w:val="0"/>
      <w:marRight w:val="0"/>
      <w:marTop w:val="0"/>
      <w:marBottom w:val="0"/>
      <w:divBdr>
        <w:top w:val="none" w:sz="0" w:space="0" w:color="auto"/>
        <w:left w:val="none" w:sz="0" w:space="0" w:color="auto"/>
        <w:bottom w:val="none" w:sz="0" w:space="0" w:color="auto"/>
        <w:right w:val="none" w:sz="0" w:space="0" w:color="auto"/>
      </w:divBdr>
    </w:div>
    <w:div w:id="1844658453">
      <w:bodyDiv w:val="1"/>
      <w:marLeft w:val="0"/>
      <w:marRight w:val="0"/>
      <w:marTop w:val="0"/>
      <w:marBottom w:val="0"/>
      <w:divBdr>
        <w:top w:val="none" w:sz="0" w:space="0" w:color="auto"/>
        <w:left w:val="none" w:sz="0" w:space="0" w:color="auto"/>
        <w:bottom w:val="none" w:sz="0" w:space="0" w:color="auto"/>
        <w:right w:val="none" w:sz="0" w:space="0" w:color="auto"/>
      </w:divBdr>
    </w:div>
    <w:div w:id="1855260284">
      <w:bodyDiv w:val="1"/>
      <w:marLeft w:val="0"/>
      <w:marRight w:val="0"/>
      <w:marTop w:val="0"/>
      <w:marBottom w:val="0"/>
      <w:divBdr>
        <w:top w:val="none" w:sz="0" w:space="0" w:color="auto"/>
        <w:left w:val="none" w:sz="0" w:space="0" w:color="auto"/>
        <w:bottom w:val="none" w:sz="0" w:space="0" w:color="auto"/>
        <w:right w:val="none" w:sz="0" w:space="0" w:color="auto"/>
      </w:divBdr>
    </w:div>
    <w:div w:id="1888058031">
      <w:bodyDiv w:val="1"/>
      <w:marLeft w:val="0"/>
      <w:marRight w:val="0"/>
      <w:marTop w:val="0"/>
      <w:marBottom w:val="0"/>
      <w:divBdr>
        <w:top w:val="none" w:sz="0" w:space="0" w:color="auto"/>
        <w:left w:val="none" w:sz="0" w:space="0" w:color="auto"/>
        <w:bottom w:val="none" w:sz="0" w:space="0" w:color="auto"/>
        <w:right w:val="none" w:sz="0" w:space="0" w:color="auto"/>
      </w:divBdr>
    </w:div>
    <w:div w:id="1901596069">
      <w:bodyDiv w:val="1"/>
      <w:marLeft w:val="0"/>
      <w:marRight w:val="0"/>
      <w:marTop w:val="0"/>
      <w:marBottom w:val="0"/>
      <w:divBdr>
        <w:top w:val="none" w:sz="0" w:space="0" w:color="auto"/>
        <w:left w:val="none" w:sz="0" w:space="0" w:color="auto"/>
        <w:bottom w:val="none" w:sz="0" w:space="0" w:color="auto"/>
        <w:right w:val="none" w:sz="0" w:space="0" w:color="auto"/>
      </w:divBdr>
    </w:div>
    <w:div w:id="1916893490">
      <w:bodyDiv w:val="1"/>
      <w:marLeft w:val="0"/>
      <w:marRight w:val="0"/>
      <w:marTop w:val="0"/>
      <w:marBottom w:val="0"/>
      <w:divBdr>
        <w:top w:val="none" w:sz="0" w:space="0" w:color="auto"/>
        <w:left w:val="none" w:sz="0" w:space="0" w:color="auto"/>
        <w:bottom w:val="none" w:sz="0" w:space="0" w:color="auto"/>
        <w:right w:val="none" w:sz="0" w:space="0" w:color="auto"/>
      </w:divBdr>
    </w:div>
    <w:div w:id="1934049655">
      <w:bodyDiv w:val="1"/>
      <w:marLeft w:val="0"/>
      <w:marRight w:val="0"/>
      <w:marTop w:val="0"/>
      <w:marBottom w:val="0"/>
      <w:divBdr>
        <w:top w:val="none" w:sz="0" w:space="0" w:color="auto"/>
        <w:left w:val="none" w:sz="0" w:space="0" w:color="auto"/>
        <w:bottom w:val="none" w:sz="0" w:space="0" w:color="auto"/>
        <w:right w:val="none" w:sz="0" w:space="0" w:color="auto"/>
      </w:divBdr>
    </w:div>
    <w:div w:id="1936280261">
      <w:bodyDiv w:val="1"/>
      <w:marLeft w:val="0"/>
      <w:marRight w:val="0"/>
      <w:marTop w:val="0"/>
      <w:marBottom w:val="0"/>
      <w:divBdr>
        <w:top w:val="none" w:sz="0" w:space="0" w:color="auto"/>
        <w:left w:val="none" w:sz="0" w:space="0" w:color="auto"/>
        <w:bottom w:val="none" w:sz="0" w:space="0" w:color="auto"/>
        <w:right w:val="none" w:sz="0" w:space="0" w:color="auto"/>
      </w:divBdr>
    </w:div>
    <w:div w:id="1951547044">
      <w:bodyDiv w:val="1"/>
      <w:marLeft w:val="0"/>
      <w:marRight w:val="0"/>
      <w:marTop w:val="0"/>
      <w:marBottom w:val="0"/>
      <w:divBdr>
        <w:top w:val="none" w:sz="0" w:space="0" w:color="auto"/>
        <w:left w:val="none" w:sz="0" w:space="0" w:color="auto"/>
        <w:bottom w:val="none" w:sz="0" w:space="0" w:color="auto"/>
        <w:right w:val="none" w:sz="0" w:space="0" w:color="auto"/>
      </w:divBdr>
    </w:div>
    <w:div w:id="1974867288">
      <w:bodyDiv w:val="1"/>
      <w:marLeft w:val="0"/>
      <w:marRight w:val="0"/>
      <w:marTop w:val="0"/>
      <w:marBottom w:val="0"/>
      <w:divBdr>
        <w:top w:val="none" w:sz="0" w:space="0" w:color="auto"/>
        <w:left w:val="none" w:sz="0" w:space="0" w:color="auto"/>
        <w:bottom w:val="none" w:sz="0" w:space="0" w:color="auto"/>
        <w:right w:val="none" w:sz="0" w:space="0" w:color="auto"/>
      </w:divBdr>
    </w:div>
    <w:div w:id="2003270289">
      <w:bodyDiv w:val="1"/>
      <w:marLeft w:val="0"/>
      <w:marRight w:val="0"/>
      <w:marTop w:val="0"/>
      <w:marBottom w:val="0"/>
      <w:divBdr>
        <w:top w:val="none" w:sz="0" w:space="0" w:color="auto"/>
        <w:left w:val="none" w:sz="0" w:space="0" w:color="auto"/>
        <w:bottom w:val="none" w:sz="0" w:space="0" w:color="auto"/>
        <w:right w:val="none" w:sz="0" w:space="0" w:color="auto"/>
      </w:divBdr>
    </w:div>
    <w:div w:id="2016761572">
      <w:bodyDiv w:val="1"/>
      <w:marLeft w:val="0"/>
      <w:marRight w:val="0"/>
      <w:marTop w:val="0"/>
      <w:marBottom w:val="0"/>
      <w:divBdr>
        <w:top w:val="none" w:sz="0" w:space="0" w:color="auto"/>
        <w:left w:val="none" w:sz="0" w:space="0" w:color="auto"/>
        <w:bottom w:val="none" w:sz="0" w:space="0" w:color="auto"/>
        <w:right w:val="none" w:sz="0" w:space="0" w:color="auto"/>
      </w:divBdr>
    </w:div>
    <w:div w:id="2041665416">
      <w:bodyDiv w:val="1"/>
      <w:marLeft w:val="0"/>
      <w:marRight w:val="0"/>
      <w:marTop w:val="0"/>
      <w:marBottom w:val="0"/>
      <w:divBdr>
        <w:top w:val="none" w:sz="0" w:space="0" w:color="auto"/>
        <w:left w:val="none" w:sz="0" w:space="0" w:color="auto"/>
        <w:bottom w:val="none" w:sz="0" w:space="0" w:color="auto"/>
        <w:right w:val="none" w:sz="0" w:space="0" w:color="auto"/>
      </w:divBdr>
    </w:div>
    <w:div w:id="2117169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oleObject" Target="file:///D:\Biki\2022\11.november\17\Gheorghe%20friend_Marriott%20International_17.11.202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Biki\2022\11.november\17\Gheorghe%20friend_Marriott%20International_17.11.202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Biki\2022\11.november\17\Gheorghe%20friend_Marriott%20International_17.11.202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Biki\2022\11.november\17\Gheorghe%20friend_Marriott%20International_17.11.202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Biki\2022\11.november\17\Gheorghe%20friend_Marriott%20International_17.11.202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Biki\2022\11.november\17\Gheorghe%20friend_Marriott%20International_17.11.202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Biki\2022\11.november\17\Gheorghe%20friend_Marriott%20International_17.11.202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Biki\2022\11.november\17\Gheorghe%20friend_Marriott%20International_17.11.202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IN"/>
              <a:t>Gross Profit Margin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'[Gheorghe friend_Marriott International_17.11.2022.xlsx]Sheet1'!$B$2:$C$2</c:f>
              <c:numCache>
                <c:formatCode>General</c:formatCode>
                <c:ptCount val="2"/>
                <c:pt idx="0">
                  <c:v>2021</c:v>
                </c:pt>
                <c:pt idx="1">
                  <c:v>2020</c:v>
                </c:pt>
              </c:numCache>
            </c:numRef>
          </c:cat>
          <c:val>
            <c:numRef>
              <c:f>'[Gheorghe friend_Marriott International_17.11.2022.xlsx]Sheet1'!$B$3:$C$3</c:f>
              <c:numCache>
                <c:formatCode>0.0000%</c:formatCode>
                <c:ptCount val="2"/>
                <c:pt idx="0">
                  <c:v>0.20213600000000001</c:v>
                </c:pt>
                <c:pt idx="1">
                  <c:v>0.138019</c:v>
                </c:pt>
              </c:numCache>
            </c:numRef>
          </c:val>
          <c:extLst>
            <c:ext xmlns:c16="http://schemas.microsoft.com/office/drawing/2014/chart" uri="{C3380CC4-5D6E-409C-BE32-E72D297353CC}">
              <c16:uniqueId val="{00000000-7BE4-4951-8010-4E0DC6CC53BB}"/>
            </c:ext>
          </c:extLst>
        </c:ser>
        <c:dLbls>
          <c:dLblPos val="inEnd"/>
          <c:showLegendKey val="0"/>
          <c:showVal val="1"/>
          <c:showCatName val="0"/>
          <c:showSerName val="0"/>
          <c:showPercent val="0"/>
          <c:showBubbleSize val="0"/>
        </c:dLbls>
        <c:gapWidth val="41"/>
        <c:axId val="517150928"/>
        <c:axId val="517151320"/>
      </c:barChart>
      <c:catAx>
        <c:axId val="5171509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517151320"/>
        <c:crosses val="autoZero"/>
        <c:auto val="1"/>
        <c:lblAlgn val="ctr"/>
        <c:lblOffset val="100"/>
        <c:noMultiLvlLbl val="0"/>
      </c:catAx>
      <c:valAx>
        <c:axId val="517151320"/>
        <c:scaling>
          <c:orientation val="minMax"/>
        </c:scaling>
        <c:delete val="1"/>
        <c:axPos val="l"/>
        <c:numFmt formatCode="0.0000%" sourceLinked="1"/>
        <c:majorTickMark val="none"/>
        <c:minorTickMark val="none"/>
        <c:tickLblPos val="nextTo"/>
        <c:crossAx val="51715092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Net Profit Margin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694-45B9-AF02-4B615FC6D3B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694-45B9-AF02-4B615FC6D3BF}"/>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'[Gheorghe friend_Marriott International_17.11.2022.xlsx]Sheet1'!$B$2:$C$2</c:f>
              <c:numCache>
                <c:formatCode>General</c:formatCode>
                <c:ptCount val="2"/>
                <c:pt idx="0">
                  <c:v>2021</c:v>
                </c:pt>
                <c:pt idx="1">
                  <c:v>2020</c:v>
                </c:pt>
              </c:numCache>
            </c:numRef>
          </c:cat>
          <c:val>
            <c:numRef>
              <c:f>'[Gheorghe friend_Marriott International_17.11.2022.xlsx]Sheet1'!$B$5:$C$5</c:f>
              <c:numCache>
                <c:formatCode>0.0000%</c:formatCode>
                <c:ptCount val="2"/>
                <c:pt idx="0" formatCode="0.000%">
                  <c:v>7.9310000000000005E-2</c:v>
                </c:pt>
                <c:pt idx="1">
                  <c:v>-2.5257999999999999E-2</c:v>
                </c:pt>
              </c:numCache>
            </c:numRef>
          </c:val>
          <c:extLst>
            <c:ext xmlns:c16="http://schemas.microsoft.com/office/drawing/2014/chart" uri="{C3380CC4-5D6E-409C-BE32-E72D297353CC}">
              <c16:uniqueId val="{00000004-B694-45B9-AF02-4B615FC6D3B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IN"/>
              <a:t>Return on assets </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col"/>
        <c:grouping val="clustered"/>
        <c:varyColors val="0"/>
        <c:ser>
          <c:idx val="0"/>
          <c:order val="0"/>
          <c:spPr>
            <a:pattFill prst="ltUpDiag">
              <a:fgClr>
                <a:schemeClr val="accent1"/>
              </a:fgClr>
              <a:bgClr>
                <a:schemeClr val="lt1"/>
              </a:bgClr>
            </a:pattFill>
            <a:ln>
              <a:noFill/>
            </a:ln>
            <a:effectLst/>
          </c:spPr>
          <c:invertIfNegative val="0"/>
          <c:dLbls>
            <c:spPr>
              <a:solidFill>
                <a:srgbClr val="5B9BD5">
                  <a:alpha val="70000"/>
                </a:srgbClr>
              </a:solid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'[Gheorghe friend_Marriott International_17.11.2022.xlsx]Sheet1'!$B$2:$C$2</c:f>
              <c:numCache>
                <c:formatCode>General</c:formatCode>
                <c:ptCount val="2"/>
                <c:pt idx="0">
                  <c:v>2021</c:v>
                </c:pt>
                <c:pt idx="1">
                  <c:v>2020</c:v>
                </c:pt>
              </c:numCache>
            </c:numRef>
          </c:cat>
          <c:val>
            <c:numRef>
              <c:f>'[Gheorghe friend_Marriott International_17.11.2022.xlsx]Sheet1'!$B$7:$C$7</c:f>
              <c:numCache>
                <c:formatCode>0.0000%</c:formatCode>
                <c:ptCount val="2"/>
                <c:pt idx="0">
                  <c:v>4.3008999999999999E-2</c:v>
                </c:pt>
                <c:pt idx="1">
                  <c:v>-1.0808999999999999E-2</c:v>
                </c:pt>
              </c:numCache>
            </c:numRef>
          </c:val>
          <c:extLst>
            <c:ext xmlns:c16="http://schemas.microsoft.com/office/drawing/2014/chart" uri="{C3380CC4-5D6E-409C-BE32-E72D297353CC}">
              <c16:uniqueId val="{00000000-02F1-419A-AB3A-7D9BEB0328D4}"/>
            </c:ext>
          </c:extLst>
        </c:ser>
        <c:dLbls>
          <c:dLblPos val="outEnd"/>
          <c:showLegendKey val="0"/>
          <c:showVal val="1"/>
          <c:showCatName val="0"/>
          <c:showSerName val="0"/>
          <c:showPercent val="0"/>
          <c:showBubbleSize val="0"/>
        </c:dLbls>
        <c:gapWidth val="269"/>
        <c:overlap val="-20"/>
        <c:axId val="472598208"/>
        <c:axId val="472598600"/>
      </c:barChart>
      <c:catAx>
        <c:axId val="472598208"/>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472598600"/>
        <c:crosses val="autoZero"/>
        <c:auto val="1"/>
        <c:lblAlgn val="ctr"/>
        <c:lblOffset val="100"/>
        <c:noMultiLvlLbl val="0"/>
      </c:catAx>
      <c:valAx>
        <c:axId val="472598600"/>
        <c:scaling>
          <c:orientation val="minMax"/>
        </c:scaling>
        <c:delete val="0"/>
        <c:axPos val="l"/>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472598208"/>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Return on Equity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9D2-4606-82CA-98A52ADA142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9D2-4606-82CA-98A52ADA142A}"/>
              </c:ext>
            </c:extLst>
          </c:dPt>
          <c:dLbls>
            <c:dLbl>
              <c:idx val="0"/>
              <c:layout>
                <c:manualLayout>
                  <c:x val="-0.1535728346456694"/>
                  <c:y val="7.641935002027185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9D2-4606-82CA-98A52ADA142A}"/>
                </c:ext>
              </c:extLst>
            </c:dLbl>
            <c:dLbl>
              <c:idx val="1"/>
              <c:layout>
                <c:manualLayout>
                  <c:x val="0.12926673228346458"/>
                  <c:y val="1.0438939035059642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9D2-4606-82CA-98A52ADA142A}"/>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numRef>
              <c:f>'[Gheorghe friend_Marriott International_17.11.2022.xlsx]Sheet1'!$B$2:$C$2</c:f>
              <c:numCache>
                <c:formatCode>General</c:formatCode>
                <c:ptCount val="2"/>
                <c:pt idx="0">
                  <c:v>2021</c:v>
                </c:pt>
                <c:pt idx="1">
                  <c:v>2020</c:v>
                </c:pt>
              </c:numCache>
            </c:numRef>
          </c:cat>
          <c:val>
            <c:numRef>
              <c:f>'[Gheorghe friend_Marriott International_17.11.2022.xlsx]Sheet1'!$B$9:$C$9</c:f>
              <c:numCache>
                <c:formatCode>0.000%</c:formatCode>
                <c:ptCount val="2"/>
                <c:pt idx="0" formatCode="0.0000%">
                  <c:v>0.77722800000000003</c:v>
                </c:pt>
                <c:pt idx="1">
                  <c:v>-0.62092999999999998</c:v>
                </c:pt>
              </c:numCache>
            </c:numRef>
          </c:val>
          <c:extLst>
            <c:ext xmlns:c16="http://schemas.microsoft.com/office/drawing/2014/chart" uri="{C3380CC4-5D6E-409C-BE32-E72D297353CC}">
              <c16:uniqueId val="{00000004-59D2-4606-82CA-98A52ADA142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IN"/>
              <a:t>Current Ratio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'[Gheorghe friend_Marriott International_17.11.2022.xlsx]Sheet1'!$B$2:$C$2</c:f>
              <c:numCache>
                <c:formatCode>General</c:formatCode>
                <c:ptCount val="2"/>
                <c:pt idx="0">
                  <c:v>2021</c:v>
                </c:pt>
                <c:pt idx="1">
                  <c:v>2020</c:v>
                </c:pt>
              </c:numCache>
            </c:numRef>
          </c:cat>
          <c:val>
            <c:numRef>
              <c:f>'[Gheorghe friend_Marriott International_17.11.2022.xlsx]Sheet1'!$B$11:$C$11</c:f>
              <c:numCache>
                <c:formatCode>General</c:formatCode>
                <c:ptCount val="2"/>
                <c:pt idx="0">
                  <c:v>0.56589999999999996</c:v>
                </c:pt>
                <c:pt idx="1">
                  <c:v>0.49109999999999998</c:v>
                </c:pt>
              </c:numCache>
            </c:numRef>
          </c:val>
          <c:extLst>
            <c:ext xmlns:c16="http://schemas.microsoft.com/office/drawing/2014/chart" uri="{C3380CC4-5D6E-409C-BE32-E72D297353CC}">
              <c16:uniqueId val="{00000000-275C-44FF-B7BA-B0F5D08FAD8B}"/>
            </c:ext>
          </c:extLst>
        </c:ser>
        <c:dLbls>
          <c:dLblPos val="outEnd"/>
          <c:showLegendKey val="0"/>
          <c:showVal val="1"/>
          <c:showCatName val="0"/>
          <c:showSerName val="0"/>
          <c:showPercent val="0"/>
          <c:showBubbleSize val="0"/>
        </c:dLbls>
        <c:gapWidth val="267"/>
        <c:overlap val="-43"/>
        <c:axId val="471732712"/>
        <c:axId val="471733104"/>
      </c:barChart>
      <c:catAx>
        <c:axId val="47173271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71733104"/>
        <c:crosses val="autoZero"/>
        <c:auto val="1"/>
        <c:lblAlgn val="ctr"/>
        <c:lblOffset val="100"/>
        <c:noMultiLvlLbl val="0"/>
      </c:catAx>
      <c:valAx>
        <c:axId val="47173310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7173271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IN"/>
              <a:t>Operating Cash flow per share </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col"/>
        <c:grouping val="clustered"/>
        <c:varyColors val="0"/>
        <c:ser>
          <c:idx val="0"/>
          <c:order val="0"/>
          <c:spPr>
            <a:pattFill prst="ltUpDiag">
              <a:fgClr>
                <a:schemeClr val="accent1"/>
              </a:fgClr>
              <a:bgClr>
                <a:schemeClr val="lt1"/>
              </a:bgClr>
            </a:pattFill>
            <a:ln>
              <a:noFill/>
            </a:ln>
            <a:effectLst/>
          </c:spPr>
          <c:invertIfNegative val="0"/>
          <c:dLbls>
            <c:spPr>
              <a:solidFill>
                <a:srgbClr val="5B9BD5">
                  <a:alpha val="70000"/>
                </a:srgbClr>
              </a:solid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'[Gheorghe friend_Marriott International_17.11.2022.xlsx]Sheet1'!$B$2:$C$2</c:f>
              <c:numCache>
                <c:formatCode>General</c:formatCode>
                <c:ptCount val="2"/>
                <c:pt idx="0">
                  <c:v>2021</c:v>
                </c:pt>
                <c:pt idx="1">
                  <c:v>2020</c:v>
                </c:pt>
              </c:numCache>
            </c:numRef>
          </c:cat>
          <c:val>
            <c:numRef>
              <c:f>'[Gheorghe friend_Marriott International_17.11.2022.xlsx]Sheet1'!$B$13:$C$13</c:f>
              <c:numCache>
                <c:formatCode>General</c:formatCode>
                <c:ptCount val="2"/>
                <c:pt idx="0" formatCode="0.0000">
                  <c:v>-1.4564999999999999</c:v>
                </c:pt>
                <c:pt idx="1">
                  <c:v>8.3000000000000001E-3</c:v>
                </c:pt>
              </c:numCache>
            </c:numRef>
          </c:val>
          <c:extLst>
            <c:ext xmlns:c16="http://schemas.microsoft.com/office/drawing/2014/chart" uri="{C3380CC4-5D6E-409C-BE32-E72D297353CC}">
              <c16:uniqueId val="{00000000-1C91-4A10-81E5-EF0FE337195F}"/>
            </c:ext>
          </c:extLst>
        </c:ser>
        <c:dLbls>
          <c:dLblPos val="outEnd"/>
          <c:showLegendKey val="0"/>
          <c:showVal val="1"/>
          <c:showCatName val="0"/>
          <c:showSerName val="0"/>
          <c:showPercent val="0"/>
          <c:showBubbleSize val="0"/>
        </c:dLbls>
        <c:gapWidth val="269"/>
        <c:overlap val="-20"/>
        <c:axId val="471733888"/>
        <c:axId val="293073440"/>
      </c:barChart>
      <c:catAx>
        <c:axId val="471733888"/>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293073440"/>
        <c:crosses val="autoZero"/>
        <c:auto val="1"/>
        <c:lblAlgn val="ctr"/>
        <c:lblOffset val="100"/>
        <c:noMultiLvlLbl val="0"/>
      </c:catAx>
      <c:valAx>
        <c:axId val="293073440"/>
        <c:scaling>
          <c:orientation val="minMax"/>
        </c:scaling>
        <c:delete val="0"/>
        <c:axPos val="l"/>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471733888"/>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Debt to Equity Ratio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6DC-4EB2-91A4-5C50B8B9F7F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6DC-4EB2-91A4-5C50B8B9F7F9}"/>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numRef>
              <c:f>'[Gheorghe friend_Marriott International_17.11.2022.xlsx]Sheet1'!$B$2:$C$2</c:f>
              <c:numCache>
                <c:formatCode>General</c:formatCode>
                <c:ptCount val="2"/>
                <c:pt idx="0">
                  <c:v>2021</c:v>
                </c:pt>
                <c:pt idx="1">
                  <c:v>2020</c:v>
                </c:pt>
              </c:numCache>
            </c:numRef>
          </c:cat>
          <c:val>
            <c:numRef>
              <c:f>'[Gheorghe friend_Marriott International_17.11.2022.xlsx]Sheet1'!$B$15:$C$15</c:f>
              <c:numCache>
                <c:formatCode>General</c:formatCode>
                <c:ptCount val="2"/>
                <c:pt idx="0">
                  <c:v>7.1696999999999997</c:v>
                </c:pt>
                <c:pt idx="1">
                  <c:v>24.130199999999999</c:v>
                </c:pt>
              </c:numCache>
            </c:numRef>
          </c:val>
          <c:extLst>
            <c:ext xmlns:c16="http://schemas.microsoft.com/office/drawing/2014/chart" uri="{C3380CC4-5D6E-409C-BE32-E72D297353CC}">
              <c16:uniqueId val="{00000004-A6DC-4EB2-91A4-5C50B8B9F7F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IN"/>
              <a:t>Debt to Capital Ratio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'[Gheorghe friend_Marriott International_17.11.2022.xlsx]Sheet1'!$B$2:$C$2</c:f>
              <c:numCache>
                <c:formatCode>General</c:formatCode>
                <c:ptCount val="2"/>
                <c:pt idx="0">
                  <c:v>2021</c:v>
                </c:pt>
                <c:pt idx="1">
                  <c:v>2020</c:v>
                </c:pt>
              </c:numCache>
            </c:numRef>
          </c:cat>
          <c:val>
            <c:numRef>
              <c:f>'[Gheorghe friend_Marriott International_17.11.2022.xlsx]Sheet1'!$B$17:$C$17</c:f>
              <c:numCache>
                <c:formatCode>General</c:formatCode>
                <c:ptCount val="2"/>
                <c:pt idx="0">
                  <c:v>0.86839999999999995</c:v>
                </c:pt>
                <c:pt idx="1">
                  <c:v>0.95540000000000003</c:v>
                </c:pt>
              </c:numCache>
            </c:numRef>
          </c:val>
          <c:extLst>
            <c:ext xmlns:c16="http://schemas.microsoft.com/office/drawing/2014/chart" uri="{C3380CC4-5D6E-409C-BE32-E72D297353CC}">
              <c16:uniqueId val="{00000000-5238-4674-AF10-9C78D2ABA022}"/>
            </c:ext>
          </c:extLst>
        </c:ser>
        <c:dLbls>
          <c:dLblPos val="inEnd"/>
          <c:showLegendKey val="0"/>
          <c:showVal val="1"/>
          <c:showCatName val="0"/>
          <c:showSerName val="0"/>
          <c:showPercent val="0"/>
          <c:showBubbleSize val="0"/>
        </c:dLbls>
        <c:gapWidth val="41"/>
        <c:axId val="293074616"/>
        <c:axId val="293075008"/>
      </c:barChart>
      <c:catAx>
        <c:axId val="2930746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93075008"/>
        <c:crosses val="autoZero"/>
        <c:auto val="1"/>
        <c:lblAlgn val="ctr"/>
        <c:lblOffset val="100"/>
        <c:noMultiLvlLbl val="0"/>
      </c:catAx>
      <c:valAx>
        <c:axId val="293075008"/>
        <c:scaling>
          <c:orientation val="minMax"/>
        </c:scaling>
        <c:delete val="1"/>
        <c:axPos val="l"/>
        <c:numFmt formatCode="General" sourceLinked="1"/>
        <c:majorTickMark val="none"/>
        <c:minorTickMark val="none"/>
        <c:tickLblPos val="nextTo"/>
        <c:crossAx val="29307461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Jef21</b:Tag>
    <b:SourceType>JournalArticle</b:SourceType>
    <b:Guid>{FF75B695-1AD3-43E8-A85F-21BCC6328934}</b:Guid>
    <b:Author>
      <b:Author>
        <b:NameList>
          <b:Person>
            <b:Last>Jefriyanto</b:Last>
            <b:First>J</b:First>
          </b:Person>
        </b:NameList>
      </b:Author>
    </b:Author>
    <b:Title>Perbandingan Return on Asset, Return on Equity, Gross Profit Margin, Operating Profit Margin, dan Net Profit Margin Sebelum dan Semasa COVID-19 Pada PT Matahari Department Store</b:Title>
    <b:JournalName>Tbk. Jurnal Ilmiah Akuntansi Kesatuan</b:JournalName>
    <b:Year>2021</b:Year>
    <b:Pages>61-66, DOI: 10.37641/jiakes.v9i1.464</b:Pages>
    <b:Volume>9</b:Volume>
    <b:Issue>1</b:Issue>
    <b:RefOrder>3</b:RefOrder>
  </b:Source>
  <b:Source>
    <b:Tag>Sir21</b:Tag>
    <b:SourceType>JournalArticle</b:SourceType>
    <b:Guid>{64ADCC3E-6507-4CEB-B132-E53FFC30DC8A}</b:Guid>
    <b:Author>
      <b:Author>
        <b:NameList>
          <b:Person>
            <b:Last>Siregar</b:Last>
            <b:First>Q.R.</b:First>
          </b:Person>
          <b:Person>
            <b:Last>Rambe</b:Last>
            <b:First>R.</b:First>
          </b:Person>
          <b:Person>
            <b:Last>Simatupang</b:Last>
            <b:First>J.</b:First>
          </b:Person>
        </b:NameList>
      </b:Author>
    </b:Author>
    <b:Title>PengaruhDebt to Equity Ratio, Net Profit Margin dan Return On Equity Terhadap Harga Saham Pada Perusahaan Property dan Real Estate yang Terdaftar di Bursa Efek Indonesia</b:Title>
    <b:JournalName>Jurnal AKMAMI (Akuntansi Manajemen Ekonomi)</b:JournalName>
    <b:Year>2021</b:Year>
    <b:Pages>17-31, DOI: 10.53695/ja.v2i1.124</b:Pages>
    <b:Volume>2</b:Volume>
    <b:Issue>1</b:Issue>
    <b:RefOrder>5</b:RefOrder>
  </b:Source>
  <b:Source>
    <b:Tag>Kur21</b:Tag>
    <b:SourceType>JournalArticle</b:SourceType>
    <b:Guid>{0E4FA11C-155D-4B37-84A1-45266871B6D3}</b:Guid>
    <b:Author>
      <b:Author>
        <b:NameList>
          <b:Person>
            <b:Last>Kurniawan</b:Last>
            <b:First>A</b:First>
          </b:Person>
        </b:NameList>
      </b:Author>
    </b:Author>
    <b:Title>Analysis of the effect of return on asset, debt to equity ratio, and total asset turnover on share return</b:Title>
    <b:JournalName>Journal of Industrial Engineering &amp; Management Research</b:JournalName>
    <b:Year>2021</b:Year>
    <b:Pages>64-72, DOI: 10.7777/jiemar.v2i1.114</b:Pages>
    <b:Volume>2</b:Volume>
    <b:Issue>1</b:Issue>
    <b:RefOrder>6</b:RefOrder>
  </b:Source>
  <b:Source>
    <b:Tag>Yan21</b:Tag>
    <b:SourceType>JournalArticle</b:SourceType>
    <b:Guid>{853EA6D5-0C5D-45DB-8018-4BD4A6FC037A}</b:Guid>
    <b:Author>
      <b:Author>
        <b:NameList>
          <b:Person>
            <b:Last>Yanto</b:Last>
            <b:First>E.</b:First>
          </b:Person>
          <b:Person>
            <b:Last>Christy</b:Last>
            <b:First>I.</b:First>
          </b:Person>
          <b:Person>
            <b:Last>Cakranegara</b:Last>
            <b:First>P.A</b:First>
          </b:Person>
        </b:NameList>
      </b:Author>
    </b:Author>
    <b:Title>The Influences of Return on Asset, Return on Equity, Net Profit Margin, Debt Equity Ratio and Current Ratio Toward Stock Price</b:Title>
    <b:JournalName>International Journal of Science, Technology &amp; Management</b:JournalName>
    <b:Year>2021</b:Year>
    <b:Pages>300-312, DOI: 10.46729/ijstm.v2i1.155</b:Pages>
    <b:Volume>2</b:Volume>
    <b:Issue>1</b:Issue>
    <b:RefOrder>7</b:RefOrder>
  </b:Source>
  <b:Source>
    <b:Tag>Kus22</b:Tag>
    <b:SourceType>JournalArticle</b:SourceType>
    <b:Guid>{ACC8D6DC-261B-49FA-AE93-CB4DC906ACC3}</b:Guid>
    <b:Author>
      <b:Author>
        <b:NameList>
          <b:Person>
            <b:Last>Kusmawati</b:Last>
            <b:First>Y.</b:First>
          </b:Person>
          <b:Person>
            <b:Last>Ovalianti</b:Last>
            <b:First>N</b:First>
          </b:Person>
        </b:NameList>
      </b:Author>
    </b:Author>
    <b:Title>Pengaruh Current Ratio dan Debt To Equity Ratio terhadap Return on Equity Pada PT. Permodalan Nasional Madani (PNM) Periode 2012-2021</b:Title>
    <b:JournalName>Lensa Ilmiah: Jurnal Manajemen Dan Sumberdaya</b:JournalName>
    <b:Year>2022</b:Year>
    <b:Pages>53-61, DOI: 10.54371/jms.v1i1.182</b:Pages>
    <b:Volume>1</b:Volume>
    <b:Issue>1</b:Issue>
    <b:RefOrder>14</b:RefOrder>
  </b:Source>
  <b:Source>
    <b:Tag>Bel21</b:Tag>
    <b:SourceType>JournalArticle</b:SourceType>
    <b:Guid>{1A2D2ED9-F883-40CD-8E9E-2E669F20B61C}</b:Guid>
    <b:Author>
      <b:Author>
        <b:NameList>
          <b:Person>
            <b:Last>Beladi</b:Last>
            <b:First>H.</b:First>
          </b:Person>
          <b:Person>
            <b:Last>Deng</b:Last>
            <b:First>J.</b:First>
          </b:Person>
          <b:Person>
            <b:Last>Hu</b:Last>
            <b:First>M</b:First>
          </b:Person>
        </b:NameList>
      </b:Author>
    </b:Author>
    <b:Title>Cash flow uncertainty, financial constraints and R&amp;D investment</b:Title>
    <b:JournalName> International Review of Financial Analysis</b:JournalName>
    <b:Year>2021</b:Year>
    <b:Pages>101785, DOI: 10.1016/j.irfa.2021.101785</b:Pages>
    <b:Volume>76</b:Volume>
    <b:Issue>2</b:Issue>
    <b:RefOrder>8</b:RefOrder>
  </b:Source>
  <b:Source>
    <b:Tag>Sir211</b:Tag>
    <b:SourceType>JournalArticle</b:SourceType>
    <b:Guid>{946A1B07-DBB9-47E6-B415-AFB954DF1CF0}</b:Guid>
    <b:Author>
      <b:Author>
        <b:NameList>
          <b:Person>
            <b:Last>Sirait</b:Last>
            <b:First>S.</b:First>
          </b:Person>
          <b:Person>
            <b:Last>Sari</b:Last>
            <b:First>E.N.</b:First>
          </b:Person>
          <b:Person>
            <b:Last>Rambe</b:Last>
            <b:First>M.F</b:First>
          </b:Person>
        </b:NameList>
      </b:Author>
    </b:Author>
    <b:Title>Pengaruh Current Ratio, Debt To Equity Ratio Dan Return On Assets Terhadap Price To Book Value Dengan Divident Payout Ratio Sebagai Variabel Intervening Pada Perusahaan Manufaktur Sub Sektor Farmasi</b:Title>
    <b:JournalName>Jurnal AKMAMI (Akuntansi Manajemen Ekonomi)</b:JournalName>
    <b:Year>2021</b:Year>
    <b:Pages>287-299, DOI: 10.53695/ja.v2i2.168</b:Pages>
    <b:Volume>2</b:Volume>
    <b:Issue>2</b:Issue>
    <b:RefOrder>9</b:RefOrder>
  </b:Source>
  <b:Source>
    <b:Tag>Mao22</b:Tag>
    <b:SourceType>JournalArticle</b:SourceType>
    <b:Guid>{A4BC3222-1518-4209-AF40-AC9545824075}</b:Guid>
    <b:Author>
      <b:Author>
        <b:NameList>
          <b:Person>
            <b:Last>Mao</b:Last>
            <b:First>L.</b:First>
          </b:Person>
          <b:Person>
            <b:Last>Kim</b:Last>
            <b:First>K.</b:First>
          </b:Person>
          <b:Person>
            <b:Last>Miao</b:Last>
            <b:First>X</b:First>
          </b:Person>
        </b:NameList>
      </b:Author>
    </b:Author>
    <b:Title>Sample size formula for general win ratio analysis</b:Title>
    <b:JournalName>Biometrics</b:JournalName>
    <b:Year>2022</b:Year>
    <b:Pages>1257-68, DOI: 10.1111/biom.13501</b:Pages>
    <b:Volume>78</b:Volume>
    <b:Issue>3</b:Issue>
    <b:RefOrder>11</b:RefOrder>
  </b:Source>
  <b:Source>
    <b:Tag>Tze21</b:Tag>
    <b:SourceType>JournalArticle</b:SourceType>
    <b:Guid>{B60CFB85-0290-4108-ABBA-A2867F46BDA1}</b:Guid>
    <b:Author>
      <b:Author>
        <b:NameList>
          <b:Person>
            <b:Last>Tzermias</b:Last>
            <b:First>G.</b:First>
          </b:Person>
          <b:Person>
            <b:Last>Akehurst</b:Last>
            <b:First>S.</b:First>
          </b:Person>
          <b:Person>
            <b:Last>Burke</b:Last>
            <b:First>R.</b:First>
          </b:Person>
          <b:Person>
            <b:Last>Brace</b:Last>
            <b:First>C.</b:First>
          </b:Person>
          <b:Person>
            <b:Last>George</b:Last>
            <b:First>S.</b:First>
          </b:Person>
          <b:Person>
            <b:Last>Bernards</b:Last>
            <b:First>J.</b:First>
          </b:Person>
          <b:Person>
            <b:Last>Smith</b:Last>
            <b:First>C</b:First>
          </b:Person>
        </b:NameList>
      </b:Author>
    </b:Author>
    <b:Title>Methodology for the Optimisation of Battery Hybrid Energy Storage Systems for Mass and Volume Using a Power-To-Energy Ratio Analysis</b:Title>
    <b:JournalName>Batteries</b:JournalName>
    <b:Year>2021</b:Year>
    <b:Pages>37, DOI: 10.3390/batteries7020037</b:Pages>
    <b:Volume>7</b:Volume>
    <b:Issue>2</b:Issue>
    <b:RefOrder>12</b:RefOrder>
  </b:Source>
  <b:Source>
    <b:Tag>Den22</b:Tag>
    <b:SourceType>JournalArticle</b:SourceType>
    <b:Guid>{6350AD38-7ACE-4FAF-B9DB-C9C51D5EDE97}</b:Guid>
    <b:Author>
      <b:Author>
        <b:NameList>
          <b:Person>
            <b:Last>Deng</b:Last>
            <b:First>Z.</b:First>
          </b:Person>
          <b:Person>
            <b:Last>Yang</b:Last>
            <b:First>Z.</b:First>
          </b:Person>
          <b:Person>
            <b:Last>Bian</b:Last>
            <b:First>J.</b:First>
          </b:Person>
          <b:Person>
            <b:Last>Lin</b:Last>
            <b:First>J.</b:First>
          </b:Person>
          <b:Person>
            <b:Last>Long</b:Last>
            <b:First>Z.</b:First>
          </b:Person>
          <b:Person>
            <b:Last>Hong</b:Last>
            <b:First>G.</b:First>
          </b:Person>
          <b:Person>
            <b:Last>Yang</b:Last>
            <b:First>Z.</b:First>
          </b:Person>
          <b:Person>
            <b:Last>Ye</b:Last>
            <b:First>Y</b:First>
          </b:Person>
        </b:NameList>
      </b:Author>
    </b:Author>
    <b:Title>Advantages and disadvantages of PVA-fibre-reinforced slag-and fly ash-blended geopolymer composites: Engineering properties and microstructure</b:Title>
    <b:JournalName>Construction and Building Materials</b:JournalName>
    <b:Year>2022</b:Year>
    <b:Pages>128690, DOI: 10.1016/j.conbuildmat.2022.128690</b:Pages>
    <b:Volume>349</b:Volume>
    <b:Issue>2</b:Issue>
    <b:RefOrder>13</b:RefOrder>
  </b:Source>
  <b:Source>
    <b:Tag>YuT18</b:Tag>
    <b:SourceType>JournalArticle</b:SourceType>
    <b:Guid>{0F8D86C2-46A4-41C1-9EDF-81D98AA1714A}</b:Guid>
    <b:Author>
      <b:Author>
        <b:NameList>
          <b:Person>
            <b:Last>Yu</b:Last>
            <b:First>T.</b:First>
          </b:Person>
          <b:Person>
            <b:Last>Lin</b:Last>
            <b:First>Z.</b:First>
          </b:Person>
          <b:Person>
            <b:Last>Tang</b:Last>
            <b:First>Q</b:First>
          </b:Person>
        </b:NameList>
      </b:Author>
    </b:Author>
    <b:Title>Blockchain: The introduction and its application in financial accounting</b:Title>
    <b:JournalName>Journal of Corporate Accounting &amp; Finance</b:JournalName>
    <b:Year>2018</b:Year>
    <b:Pages>37-47,DOI-10.1002/jcaf.22365</b:Pages>
    <b:Volume>29</b:Volume>
    <b:Issue>4</b:Issue>
    <b:RefOrder>10</b:RefOrder>
  </b:Source>
  <b:Source>
    <b:Tag>Phi15</b:Tag>
    <b:SourceType>Book</b:SourceType>
    <b:Guid>{51BA9942-ABC7-49AC-885E-FC96D667874A}</b:Guid>
    <b:Author>
      <b:Author>
        <b:NameList>
          <b:Person>
            <b:Last>Phillips</b:Last>
            <b:First>F</b:First>
          </b:Person>
          <b:Person>
            <b:Last>Libby</b:Last>
            <b:First>R</b:First>
          </b:Person>
          <b:Person>
            <b:Last>Libby</b:Last>
            <b:First>P</b:First>
          </b:Person>
        </b:NameList>
      </b:Author>
    </b:Author>
    <b:Title>Fundamentals of Financial Accounting</b:Title>
    <b:Year>2015</b:Year>
    <b:City>London</b:City>
    <b:Publisher>McGraw-Hill Education, ISBN:13: 978-0078025914</b:Publisher>
    <b:Edition>01</b:Edition>
    <b:RefOrder>1</b:RefOrder>
  </b:Source>
  <b:Source>
    <b:Tag>Mar224</b:Tag>
    <b:SourceType>InternetSite</b:SourceType>
    <b:Guid>{F25E3F86-22B4-413A-9366-544907FEE942}</b:Guid>
    <b:Author>
      <b:Author>
        <b:Corporate>Marriott</b:Corporate>
      </b:Author>
    </b:Author>
    <b:Title>Hotels &amp; Resorts | Book your Hotel directly with Marriott Bonvoy</b:Title>
    <b:Year>2022</b:Year>
    <b:YearAccessed>2022</b:YearAccessed>
    <b:MonthAccessed>November</b:MonthAccessed>
    <b:DayAccessed>17</b:DayAccessed>
    <b:URL>https://www.marriott.com/default.mi</b:URL>
    <b:RefOrder>2</b:RefOrder>
  </b:Source>
  <b:Source>
    <b:Tag>Her191</b:Tag>
    <b:SourceType>JournalArticle</b:SourceType>
    <b:Guid>{C82F1405-C080-4C8C-B96C-F7037D1AFE53}</b:Guid>
    <b:Author>
      <b:Author>
        <b:NameList>
          <b:Person>
            <b:Last>Hertina</b:Last>
            <b:First>D.</b:First>
          </b:Person>
          <b:Person>
            <b:Last>Saudi</b:Last>
            <b:First>M.H.M</b:First>
          </b:Person>
        </b:NameList>
      </b:Author>
    </b:Author>
    <b:Title>Stock return: Impact of return on asset, return on equity, debt to equity ratio and earning per share</b:Title>
    <b:JournalName>International Journal of Innovation, Creativity and Change</b:JournalName>
    <b:Year>2019</b:Year>
    <b:Pages>93-104</b:Pages>
    <b:Volume>6</b:Volume>
    <b:Issue>12</b:Issue>
    <b:RefOrder>15</b:RefOrder>
  </b:Source>
  <b:Source>
    <b:Tag>Mac225</b:Tag>
    <b:SourceType>InternetSite</b:SourceType>
    <b:Guid>{DBFB746A-CB08-4744-B703-E392805843B4}</b:Guid>
    <b:Author>
      <b:Author>
        <b:Corporate>Macro Trends</b:Corporate>
      </b:Author>
    </b:Author>
    <b:Title>Marriott Financial Ratios for Analysis 2009-2022 | MAR</b:Title>
    <b:Year>2022</b:Year>
    <b:YearAccessed>2022</b:YearAccessed>
    <b:MonthAccessed>November</b:MonthAccessed>
    <b:DayAccessed>17</b:DayAccessed>
    <b:URL>https://www.macrotrends.net/stocks/charts/MAR/marriott/financial-ratios</b:URL>
    <b:RefOrder>4</b:RefOrder>
  </b:Source>
</b:Sources>
</file>

<file path=customXml/itemProps1.xml><?xml version="1.0" encoding="utf-8"?>
<ds:datastoreItem xmlns:ds="http://schemas.openxmlformats.org/officeDocument/2006/customXml" ds:itemID="{73609A24-9795-4F18-BF2F-606C2A611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3004</Words>
  <Characters>17124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Aditya Kumar</dc:creator>
  <cp:keywords/>
  <dc:description/>
  <cp:lastModifiedBy>Cristian Olaru (2025410)</cp:lastModifiedBy>
  <cp:revision>61</cp:revision>
  <dcterms:created xsi:type="dcterms:W3CDTF">2022-11-17T08:21:00Z</dcterms:created>
  <dcterms:modified xsi:type="dcterms:W3CDTF">2022-12-06T21:42:00Z</dcterms:modified>
</cp:coreProperties>
</file>