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97457" w14:textId="77777777" w:rsidR="00095A25" w:rsidRDefault="00AF25DC">
      <w:r>
        <w:rPr>
          <w:noProof/>
        </w:rPr>
        <w:drawing>
          <wp:inline distT="0" distB="0" distL="0" distR="0" wp14:anchorId="60945C4C" wp14:editId="36A5C699">
            <wp:extent cx="2286000" cy="9149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8"/>
                    <a:stretch>
                      <a:fillRect/>
                    </a:stretch>
                  </pic:blipFill>
                  <pic:spPr>
                    <a:xfrm>
                      <a:off x="0" y="0"/>
                      <a:ext cx="2286000" cy="914981"/>
                    </a:xfrm>
                    <a:prstGeom prst="rect">
                      <a:avLst/>
                    </a:prstGeom>
                  </pic:spPr>
                </pic:pic>
              </a:graphicData>
            </a:graphic>
          </wp:inline>
        </w:drawing>
      </w:r>
    </w:p>
    <w:p w14:paraId="5B60EAAC" w14:textId="77777777" w:rsidR="00095A25" w:rsidRDefault="00AF25DC">
      <w:pPr>
        <w:spacing w:before="800"/>
        <w:jc w:val="center"/>
      </w:pPr>
      <w:r>
        <w:rPr>
          <w:b/>
          <w:sz w:val="36"/>
        </w:rPr>
        <w:t>Component 1: Written Report</w:t>
      </w:r>
    </w:p>
    <w:p w14:paraId="3017A3C0" w14:textId="77777777" w:rsidR="00095A25" w:rsidRDefault="00AF25DC">
      <w:pPr>
        <w:jc w:val="center"/>
      </w:pPr>
      <w:r>
        <w:rPr>
          <w:b/>
          <w:sz w:val="32"/>
        </w:rPr>
        <w:t>Digital Innovation in Health and Social Care</w:t>
      </w:r>
    </w:p>
    <w:p w14:paraId="15F1B95F" w14:textId="77777777" w:rsidR="00095A25" w:rsidRDefault="00095A25"/>
    <w:p w14:paraId="756122F6" w14:textId="77777777" w:rsidR="00095A25" w:rsidRPr="00221DA4" w:rsidRDefault="00AF25DC" w:rsidP="00221DA4">
      <w:pPr>
        <w:spacing w:after="40" w:line="360" w:lineRule="auto"/>
        <w:rPr>
          <w:rFonts w:cs="Arial"/>
        </w:rPr>
      </w:pPr>
      <w:r w:rsidRPr="00221DA4">
        <w:rPr>
          <w:rFonts w:cs="Arial"/>
          <w:b/>
        </w:rPr>
        <w:t xml:space="preserve">Student Name: </w:t>
      </w:r>
      <w:r w:rsidRPr="00221DA4">
        <w:rPr>
          <w:rFonts w:cs="Arial"/>
        </w:rPr>
        <w:t>Mariam Begum</w:t>
      </w:r>
    </w:p>
    <w:p w14:paraId="2A873313" w14:textId="77777777" w:rsidR="00095A25" w:rsidRPr="00221DA4" w:rsidRDefault="00AF25DC" w:rsidP="00221DA4">
      <w:pPr>
        <w:spacing w:after="40" w:line="360" w:lineRule="auto"/>
        <w:rPr>
          <w:rFonts w:cs="Arial"/>
        </w:rPr>
      </w:pPr>
      <w:r w:rsidRPr="00221DA4">
        <w:rPr>
          <w:rFonts w:cs="Arial"/>
          <w:b/>
        </w:rPr>
        <w:t xml:space="preserve">Student Number: </w:t>
      </w:r>
      <w:r w:rsidRPr="00221DA4">
        <w:rPr>
          <w:rFonts w:cs="Arial"/>
        </w:rPr>
        <w:t>2324210</w:t>
      </w:r>
    </w:p>
    <w:p w14:paraId="1FBF358C" w14:textId="77777777" w:rsidR="00095A25" w:rsidRPr="00221DA4" w:rsidRDefault="00AF25DC" w:rsidP="00221DA4">
      <w:pPr>
        <w:spacing w:after="40" w:line="360" w:lineRule="auto"/>
        <w:rPr>
          <w:rFonts w:cs="Arial"/>
        </w:rPr>
      </w:pPr>
      <w:r w:rsidRPr="00221DA4">
        <w:rPr>
          <w:rFonts w:cs="Arial"/>
          <w:b/>
        </w:rPr>
        <w:t xml:space="preserve">Lecturer's Name: </w:t>
      </w:r>
      <w:r w:rsidRPr="00221DA4">
        <w:rPr>
          <w:rFonts w:cs="Arial"/>
        </w:rPr>
        <w:t>Laila Surani</w:t>
      </w:r>
    </w:p>
    <w:p w14:paraId="057606F1" w14:textId="77777777" w:rsidR="00095A25" w:rsidRPr="00221DA4" w:rsidRDefault="00AF25DC" w:rsidP="00221DA4">
      <w:pPr>
        <w:spacing w:after="40" w:line="360" w:lineRule="auto"/>
        <w:rPr>
          <w:rFonts w:cs="Arial"/>
        </w:rPr>
      </w:pPr>
      <w:r w:rsidRPr="00221DA4">
        <w:rPr>
          <w:rFonts w:cs="Arial"/>
          <w:b/>
        </w:rPr>
        <w:t xml:space="preserve">Date of Submission: </w:t>
      </w:r>
      <w:r w:rsidRPr="00221DA4">
        <w:rPr>
          <w:rFonts w:cs="Arial"/>
        </w:rPr>
        <w:t>27/07/2026</w:t>
      </w:r>
    </w:p>
    <w:p w14:paraId="703A1665" w14:textId="3E30C282" w:rsidR="00375015" w:rsidRPr="00221DA4" w:rsidRDefault="00375015" w:rsidP="00221DA4">
      <w:pPr>
        <w:spacing w:after="40" w:line="360" w:lineRule="auto"/>
        <w:rPr>
          <w:rFonts w:cs="Arial"/>
        </w:rPr>
      </w:pPr>
      <w:r w:rsidRPr="00221DA4">
        <w:rPr>
          <w:rFonts w:cs="Arial"/>
        </w:rPr>
        <w:t>BMHP6026</w:t>
      </w:r>
    </w:p>
    <w:p w14:paraId="1BF4FF2E" w14:textId="77777777" w:rsidR="00095A25" w:rsidRPr="00221DA4" w:rsidRDefault="00095A25" w:rsidP="00221DA4">
      <w:pPr>
        <w:spacing w:line="360" w:lineRule="auto"/>
        <w:rPr>
          <w:rFonts w:cs="Arial"/>
        </w:rPr>
      </w:pPr>
    </w:p>
    <w:p w14:paraId="20EE40F5" w14:textId="731A74F6" w:rsidR="00095A25" w:rsidRPr="00221DA4" w:rsidRDefault="00AF25DC" w:rsidP="00221DA4">
      <w:pPr>
        <w:spacing w:line="360" w:lineRule="auto"/>
        <w:rPr>
          <w:rFonts w:cs="Arial"/>
        </w:rPr>
      </w:pPr>
      <w:r w:rsidRPr="00221DA4">
        <w:rPr>
          <w:rFonts w:cs="Arial"/>
          <w:b/>
        </w:rPr>
        <w:t xml:space="preserve">AI acknowledgement: </w:t>
      </w:r>
      <w:r w:rsidRPr="00221DA4">
        <w:rPr>
          <w:rFonts w:cs="Arial"/>
        </w:rPr>
        <w:t>I acknowledge that I used AI-supported tools</w:t>
      </w:r>
      <w:r w:rsidR="00375015" w:rsidRPr="00221DA4">
        <w:rPr>
          <w:rFonts w:cs="Arial"/>
        </w:rPr>
        <w:t>, including Grammarly, as permitted under</w:t>
      </w:r>
      <w:r w:rsidRPr="00221DA4">
        <w:rPr>
          <w:rFonts w:cs="Arial"/>
        </w:rPr>
        <w:t xml:space="preserve"> my DSA support. I reviewed and edited the final work and </w:t>
      </w:r>
      <w:r w:rsidR="00C56FA7" w:rsidRPr="00221DA4">
        <w:rPr>
          <w:rFonts w:cs="Arial"/>
        </w:rPr>
        <w:t>took</w:t>
      </w:r>
      <w:r w:rsidRPr="00221DA4">
        <w:rPr>
          <w:rFonts w:cs="Arial"/>
        </w:rPr>
        <w:t xml:space="preserve"> responsibility for its content.</w:t>
      </w:r>
    </w:p>
    <w:p w14:paraId="6F3EC826" w14:textId="77777777" w:rsidR="00095A25" w:rsidRPr="00221DA4" w:rsidRDefault="00AF25DC" w:rsidP="00221DA4">
      <w:pPr>
        <w:spacing w:line="360" w:lineRule="auto"/>
        <w:rPr>
          <w:rFonts w:cs="Arial"/>
        </w:rPr>
      </w:pPr>
      <w:r w:rsidRPr="00221DA4">
        <w:rPr>
          <w:rFonts w:cs="Arial"/>
          <w:b/>
        </w:rPr>
        <w:t xml:space="preserve">Grammarly: </w:t>
      </w:r>
      <w:r w:rsidRPr="00221DA4">
        <w:rPr>
          <w:rFonts w:cs="Arial"/>
        </w:rPr>
        <w:t>https://www.grammarly.com/ (Accessed: 12 July 2026).</w:t>
      </w:r>
    </w:p>
    <w:p w14:paraId="56914F24" w14:textId="77777777" w:rsidR="00095A25" w:rsidRPr="00221DA4" w:rsidRDefault="00AF25DC" w:rsidP="00221DA4">
      <w:pPr>
        <w:spacing w:line="360" w:lineRule="auto"/>
        <w:rPr>
          <w:rFonts w:cs="Arial"/>
        </w:rPr>
      </w:pPr>
      <w:r w:rsidRPr="00221DA4">
        <w:rPr>
          <w:rFonts w:cs="Arial"/>
        </w:rPr>
        <w:br w:type="page"/>
      </w:r>
    </w:p>
    <w:p w14:paraId="79ABBD04" w14:textId="4C7F29A1" w:rsidR="00C56FA7" w:rsidRDefault="00C56FA7" w:rsidP="00C56FA7">
      <w:pPr>
        <w:spacing w:line="360" w:lineRule="auto"/>
        <w:rPr>
          <w:rFonts w:cs="Arial"/>
        </w:rPr>
      </w:pPr>
    </w:p>
    <w:sdt>
      <w:sdtPr>
        <w:rPr>
          <w:b/>
          <w:bCs/>
          <w:color w:val="1F497D" w:themeColor="text2"/>
          <w:lang w:val="en-GB"/>
        </w:rPr>
        <w:id w:val="2051423438"/>
        <w:docPartObj>
          <w:docPartGallery w:val="Table of Contents"/>
          <w:docPartUnique/>
        </w:docPartObj>
      </w:sdtPr>
      <w:sdtEndPr>
        <w:rPr>
          <w:color w:val="auto"/>
          <w:lang w:val="en-US"/>
        </w:rPr>
      </w:sdtEndPr>
      <w:sdtContent>
        <w:p w14:paraId="3E210082" w14:textId="65BF5EFB" w:rsidR="00C56FA7" w:rsidRPr="00C56FA7" w:rsidRDefault="00C56FA7" w:rsidP="00C56FA7">
          <w:pPr>
            <w:spacing w:line="360" w:lineRule="auto"/>
            <w:rPr>
              <w:rFonts w:cs="Arial"/>
              <w:b/>
              <w:bCs/>
              <w:color w:val="1F497D" w:themeColor="text2"/>
            </w:rPr>
          </w:pPr>
          <w:r w:rsidRPr="00C56FA7">
            <w:rPr>
              <w:b/>
              <w:bCs/>
              <w:color w:val="1F497D" w:themeColor="text2"/>
              <w:lang w:val="en-GB"/>
            </w:rPr>
            <w:t>Table of Contents</w:t>
          </w:r>
        </w:p>
        <w:p w14:paraId="1AC4849D" w14:textId="702978C4"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6006077" w:history="1">
            <w:r w:rsidRPr="0000173A">
              <w:rPr>
                <w:rStyle w:val="Hyperlink"/>
                <w:rFonts w:cs="Arial"/>
                <w:noProof/>
              </w:rPr>
              <w:t>1. Introduction</w:t>
            </w:r>
            <w:r>
              <w:rPr>
                <w:noProof/>
                <w:webHidden/>
              </w:rPr>
              <w:tab/>
            </w:r>
            <w:r>
              <w:rPr>
                <w:noProof/>
                <w:webHidden/>
              </w:rPr>
              <w:fldChar w:fldCharType="begin"/>
            </w:r>
            <w:r>
              <w:rPr>
                <w:noProof/>
                <w:webHidden/>
              </w:rPr>
              <w:instrText xml:space="preserve"> PAGEREF _Toc236006077 \h </w:instrText>
            </w:r>
            <w:r>
              <w:rPr>
                <w:noProof/>
                <w:webHidden/>
              </w:rPr>
            </w:r>
            <w:r>
              <w:rPr>
                <w:noProof/>
                <w:webHidden/>
              </w:rPr>
              <w:fldChar w:fldCharType="separate"/>
            </w:r>
            <w:r>
              <w:rPr>
                <w:noProof/>
                <w:webHidden/>
              </w:rPr>
              <w:t>3</w:t>
            </w:r>
            <w:r>
              <w:rPr>
                <w:noProof/>
                <w:webHidden/>
              </w:rPr>
              <w:fldChar w:fldCharType="end"/>
            </w:r>
          </w:hyperlink>
        </w:p>
        <w:p w14:paraId="00204B5D" w14:textId="79CAC236"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78" w:history="1">
            <w:r w:rsidRPr="0000173A">
              <w:rPr>
                <w:rStyle w:val="Hyperlink"/>
                <w:rFonts w:cs="Arial"/>
                <w:noProof/>
              </w:rPr>
              <w:t>2. Workforce Impact</w:t>
            </w:r>
            <w:r>
              <w:rPr>
                <w:noProof/>
                <w:webHidden/>
              </w:rPr>
              <w:tab/>
            </w:r>
            <w:r>
              <w:rPr>
                <w:noProof/>
                <w:webHidden/>
              </w:rPr>
              <w:fldChar w:fldCharType="begin"/>
            </w:r>
            <w:r>
              <w:rPr>
                <w:noProof/>
                <w:webHidden/>
              </w:rPr>
              <w:instrText xml:space="preserve"> PAGEREF _Toc236006078 \h </w:instrText>
            </w:r>
            <w:r>
              <w:rPr>
                <w:noProof/>
                <w:webHidden/>
              </w:rPr>
            </w:r>
            <w:r>
              <w:rPr>
                <w:noProof/>
                <w:webHidden/>
              </w:rPr>
              <w:fldChar w:fldCharType="separate"/>
            </w:r>
            <w:r>
              <w:rPr>
                <w:noProof/>
                <w:webHidden/>
              </w:rPr>
              <w:t>3</w:t>
            </w:r>
            <w:r>
              <w:rPr>
                <w:noProof/>
                <w:webHidden/>
              </w:rPr>
              <w:fldChar w:fldCharType="end"/>
            </w:r>
          </w:hyperlink>
        </w:p>
        <w:p w14:paraId="71F7D778" w14:textId="22D72C1A"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79" w:history="1">
            <w:r w:rsidRPr="0000173A">
              <w:rPr>
                <w:rStyle w:val="Hyperlink"/>
                <w:rFonts w:cs="Arial"/>
                <w:noProof/>
              </w:rPr>
              <w:t>2.1 Changes in Roles and Responsibilities</w:t>
            </w:r>
            <w:r>
              <w:rPr>
                <w:noProof/>
                <w:webHidden/>
              </w:rPr>
              <w:tab/>
            </w:r>
            <w:r>
              <w:rPr>
                <w:noProof/>
                <w:webHidden/>
              </w:rPr>
              <w:fldChar w:fldCharType="begin"/>
            </w:r>
            <w:r>
              <w:rPr>
                <w:noProof/>
                <w:webHidden/>
              </w:rPr>
              <w:instrText xml:space="preserve"> PAGEREF _Toc236006079 \h </w:instrText>
            </w:r>
            <w:r>
              <w:rPr>
                <w:noProof/>
                <w:webHidden/>
              </w:rPr>
            </w:r>
            <w:r>
              <w:rPr>
                <w:noProof/>
                <w:webHidden/>
              </w:rPr>
              <w:fldChar w:fldCharType="separate"/>
            </w:r>
            <w:r>
              <w:rPr>
                <w:noProof/>
                <w:webHidden/>
              </w:rPr>
              <w:t>3</w:t>
            </w:r>
            <w:r>
              <w:rPr>
                <w:noProof/>
                <w:webHidden/>
              </w:rPr>
              <w:fldChar w:fldCharType="end"/>
            </w:r>
          </w:hyperlink>
        </w:p>
        <w:p w14:paraId="4C1208A3" w14:textId="73121DEF"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0" w:history="1">
            <w:r w:rsidRPr="0000173A">
              <w:rPr>
                <w:rStyle w:val="Hyperlink"/>
                <w:rFonts w:cs="Arial"/>
                <w:noProof/>
              </w:rPr>
              <w:t>2.2 Benefits and Limitations</w:t>
            </w:r>
            <w:r>
              <w:rPr>
                <w:noProof/>
                <w:webHidden/>
              </w:rPr>
              <w:tab/>
            </w:r>
            <w:r>
              <w:rPr>
                <w:noProof/>
                <w:webHidden/>
              </w:rPr>
              <w:fldChar w:fldCharType="begin"/>
            </w:r>
            <w:r>
              <w:rPr>
                <w:noProof/>
                <w:webHidden/>
              </w:rPr>
              <w:instrText xml:space="preserve"> PAGEREF _Toc236006080 \h </w:instrText>
            </w:r>
            <w:r>
              <w:rPr>
                <w:noProof/>
                <w:webHidden/>
              </w:rPr>
            </w:r>
            <w:r>
              <w:rPr>
                <w:noProof/>
                <w:webHidden/>
              </w:rPr>
              <w:fldChar w:fldCharType="separate"/>
            </w:r>
            <w:r>
              <w:rPr>
                <w:noProof/>
                <w:webHidden/>
              </w:rPr>
              <w:t>4</w:t>
            </w:r>
            <w:r>
              <w:rPr>
                <w:noProof/>
                <w:webHidden/>
              </w:rPr>
              <w:fldChar w:fldCharType="end"/>
            </w:r>
          </w:hyperlink>
        </w:p>
        <w:p w14:paraId="6AE2289C" w14:textId="175785F2"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1" w:history="1">
            <w:r w:rsidRPr="0000173A">
              <w:rPr>
                <w:rStyle w:val="Hyperlink"/>
                <w:rFonts w:cs="Arial"/>
                <w:noProof/>
              </w:rPr>
              <w:t>2.3 Workforce Challenges</w:t>
            </w:r>
            <w:r>
              <w:rPr>
                <w:noProof/>
                <w:webHidden/>
              </w:rPr>
              <w:tab/>
            </w:r>
            <w:r>
              <w:rPr>
                <w:noProof/>
                <w:webHidden/>
              </w:rPr>
              <w:fldChar w:fldCharType="begin"/>
            </w:r>
            <w:r>
              <w:rPr>
                <w:noProof/>
                <w:webHidden/>
              </w:rPr>
              <w:instrText xml:space="preserve"> PAGEREF _Toc236006081 \h </w:instrText>
            </w:r>
            <w:r>
              <w:rPr>
                <w:noProof/>
                <w:webHidden/>
              </w:rPr>
            </w:r>
            <w:r>
              <w:rPr>
                <w:noProof/>
                <w:webHidden/>
              </w:rPr>
              <w:fldChar w:fldCharType="separate"/>
            </w:r>
            <w:r>
              <w:rPr>
                <w:noProof/>
                <w:webHidden/>
              </w:rPr>
              <w:t>4</w:t>
            </w:r>
            <w:r>
              <w:rPr>
                <w:noProof/>
                <w:webHidden/>
              </w:rPr>
              <w:fldChar w:fldCharType="end"/>
            </w:r>
          </w:hyperlink>
        </w:p>
        <w:p w14:paraId="013CC8E2" w14:textId="6FC7EFD9"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82" w:history="1">
            <w:r w:rsidRPr="0000173A">
              <w:rPr>
                <w:rStyle w:val="Hyperlink"/>
                <w:rFonts w:cs="Arial"/>
                <w:noProof/>
              </w:rPr>
              <w:t>3. Service Delivery Impact</w:t>
            </w:r>
            <w:r>
              <w:rPr>
                <w:noProof/>
                <w:webHidden/>
              </w:rPr>
              <w:tab/>
            </w:r>
            <w:r>
              <w:rPr>
                <w:noProof/>
                <w:webHidden/>
              </w:rPr>
              <w:fldChar w:fldCharType="begin"/>
            </w:r>
            <w:r>
              <w:rPr>
                <w:noProof/>
                <w:webHidden/>
              </w:rPr>
              <w:instrText xml:space="preserve"> PAGEREF _Toc236006082 \h </w:instrText>
            </w:r>
            <w:r>
              <w:rPr>
                <w:noProof/>
                <w:webHidden/>
              </w:rPr>
            </w:r>
            <w:r>
              <w:rPr>
                <w:noProof/>
                <w:webHidden/>
              </w:rPr>
              <w:fldChar w:fldCharType="separate"/>
            </w:r>
            <w:r>
              <w:rPr>
                <w:noProof/>
                <w:webHidden/>
              </w:rPr>
              <w:t>4</w:t>
            </w:r>
            <w:r>
              <w:rPr>
                <w:noProof/>
                <w:webHidden/>
              </w:rPr>
              <w:fldChar w:fldCharType="end"/>
            </w:r>
          </w:hyperlink>
        </w:p>
        <w:p w14:paraId="13F34246" w14:textId="68BB315E"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3" w:history="1">
            <w:r w:rsidRPr="0000173A">
              <w:rPr>
                <w:rStyle w:val="Hyperlink"/>
                <w:rFonts w:cs="Arial"/>
                <w:noProof/>
              </w:rPr>
              <w:t>3.1 Changes to Daily Practice</w:t>
            </w:r>
            <w:r>
              <w:rPr>
                <w:noProof/>
                <w:webHidden/>
              </w:rPr>
              <w:tab/>
            </w:r>
            <w:r>
              <w:rPr>
                <w:noProof/>
                <w:webHidden/>
              </w:rPr>
              <w:fldChar w:fldCharType="begin"/>
            </w:r>
            <w:r>
              <w:rPr>
                <w:noProof/>
                <w:webHidden/>
              </w:rPr>
              <w:instrText xml:space="preserve"> PAGEREF _Toc236006083 \h </w:instrText>
            </w:r>
            <w:r>
              <w:rPr>
                <w:noProof/>
                <w:webHidden/>
              </w:rPr>
            </w:r>
            <w:r>
              <w:rPr>
                <w:noProof/>
                <w:webHidden/>
              </w:rPr>
              <w:fldChar w:fldCharType="separate"/>
            </w:r>
            <w:r>
              <w:rPr>
                <w:noProof/>
                <w:webHidden/>
              </w:rPr>
              <w:t>4</w:t>
            </w:r>
            <w:r>
              <w:rPr>
                <w:noProof/>
                <w:webHidden/>
              </w:rPr>
              <w:fldChar w:fldCharType="end"/>
            </w:r>
          </w:hyperlink>
        </w:p>
        <w:p w14:paraId="7642256F" w14:textId="73C982FB"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4" w:history="1">
            <w:r w:rsidRPr="0000173A">
              <w:rPr>
                <w:rStyle w:val="Hyperlink"/>
                <w:rFonts w:cs="Arial"/>
                <w:noProof/>
              </w:rPr>
              <w:t>3.2 Evidence of Benefits</w:t>
            </w:r>
            <w:r>
              <w:rPr>
                <w:noProof/>
                <w:webHidden/>
              </w:rPr>
              <w:tab/>
            </w:r>
            <w:r>
              <w:rPr>
                <w:noProof/>
                <w:webHidden/>
              </w:rPr>
              <w:fldChar w:fldCharType="begin"/>
            </w:r>
            <w:r>
              <w:rPr>
                <w:noProof/>
                <w:webHidden/>
              </w:rPr>
              <w:instrText xml:space="preserve"> PAGEREF _Toc236006084 \h </w:instrText>
            </w:r>
            <w:r>
              <w:rPr>
                <w:noProof/>
                <w:webHidden/>
              </w:rPr>
            </w:r>
            <w:r>
              <w:rPr>
                <w:noProof/>
                <w:webHidden/>
              </w:rPr>
              <w:fldChar w:fldCharType="separate"/>
            </w:r>
            <w:r>
              <w:rPr>
                <w:noProof/>
                <w:webHidden/>
              </w:rPr>
              <w:t>5</w:t>
            </w:r>
            <w:r>
              <w:rPr>
                <w:noProof/>
                <w:webHidden/>
              </w:rPr>
              <w:fldChar w:fldCharType="end"/>
            </w:r>
          </w:hyperlink>
        </w:p>
        <w:p w14:paraId="62A30CE5" w14:textId="29A21DDF"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5" w:history="1">
            <w:r w:rsidRPr="0000173A">
              <w:rPr>
                <w:rStyle w:val="Hyperlink"/>
                <w:rFonts w:cs="Arial"/>
                <w:noProof/>
              </w:rPr>
              <w:t>3.3 Implementation Challenges</w:t>
            </w:r>
            <w:r>
              <w:rPr>
                <w:noProof/>
                <w:webHidden/>
              </w:rPr>
              <w:tab/>
            </w:r>
            <w:r>
              <w:rPr>
                <w:noProof/>
                <w:webHidden/>
              </w:rPr>
              <w:fldChar w:fldCharType="begin"/>
            </w:r>
            <w:r>
              <w:rPr>
                <w:noProof/>
                <w:webHidden/>
              </w:rPr>
              <w:instrText xml:space="preserve"> PAGEREF _Toc236006085 \h </w:instrText>
            </w:r>
            <w:r>
              <w:rPr>
                <w:noProof/>
                <w:webHidden/>
              </w:rPr>
            </w:r>
            <w:r>
              <w:rPr>
                <w:noProof/>
                <w:webHidden/>
              </w:rPr>
              <w:fldChar w:fldCharType="separate"/>
            </w:r>
            <w:r>
              <w:rPr>
                <w:noProof/>
                <w:webHidden/>
              </w:rPr>
              <w:t>5</w:t>
            </w:r>
            <w:r>
              <w:rPr>
                <w:noProof/>
                <w:webHidden/>
              </w:rPr>
              <w:fldChar w:fldCharType="end"/>
            </w:r>
          </w:hyperlink>
        </w:p>
        <w:p w14:paraId="24328F46" w14:textId="5A3667D8"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86" w:history="1">
            <w:r w:rsidRPr="0000173A">
              <w:rPr>
                <w:rStyle w:val="Hyperlink"/>
                <w:rFonts w:cs="Arial"/>
                <w:noProof/>
              </w:rPr>
              <w:t>4. Patient and Service User Impact</w:t>
            </w:r>
            <w:r>
              <w:rPr>
                <w:noProof/>
                <w:webHidden/>
              </w:rPr>
              <w:tab/>
            </w:r>
            <w:r>
              <w:rPr>
                <w:noProof/>
                <w:webHidden/>
              </w:rPr>
              <w:fldChar w:fldCharType="begin"/>
            </w:r>
            <w:r>
              <w:rPr>
                <w:noProof/>
                <w:webHidden/>
              </w:rPr>
              <w:instrText xml:space="preserve"> PAGEREF _Toc236006086 \h </w:instrText>
            </w:r>
            <w:r>
              <w:rPr>
                <w:noProof/>
                <w:webHidden/>
              </w:rPr>
            </w:r>
            <w:r>
              <w:rPr>
                <w:noProof/>
                <w:webHidden/>
              </w:rPr>
              <w:fldChar w:fldCharType="separate"/>
            </w:r>
            <w:r>
              <w:rPr>
                <w:noProof/>
                <w:webHidden/>
              </w:rPr>
              <w:t>5</w:t>
            </w:r>
            <w:r>
              <w:rPr>
                <w:noProof/>
                <w:webHidden/>
              </w:rPr>
              <w:fldChar w:fldCharType="end"/>
            </w:r>
          </w:hyperlink>
        </w:p>
        <w:p w14:paraId="42AF415A" w14:textId="082204AD"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7" w:history="1">
            <w:r w:rsidRPr="0000173A">
              <w:rPr>
                <w:rStyle w:val="Hyperlink"/>
                <w:rFonts w:cs="Arial"/>
                <w:noProof/>
              </w:rPr>
              <w:t>4.1 Access, Convenience and Empowerment</w:t>
            </w:r>
            <w:r>
              <w:rPr>
                <w:noProof/>
                <w:webHidden/>
              </w:rPr>
              <w:tab/>
            </w:r>
            <w:r>
              <w:rPr>
                <w:noProof/>
                <w:webHidden/>
              </w:rPr>
              <w:fldChar w:fldCharType="begin"/>
            </w:r>
            <w:r>
              <w:rPr>
                <w:noProof/>
                <w:webHidden/>
              </w:rPr>
              <w:instrText xml:space="preserve"> PAGEREF _Toc236006087 \h </w:instrText>
            </w:r>
            <w:r>
              <w:rPr>
                <w:noProof/>
                <w:webHidden/>
              </w:rPr>
            </w:r>
            <w:r>
              <w:rPr>
                <w:noProof/>
                <w:webHidden/>
              </w:rPr>
              <w:fldChar w:fldCharType="separate"/>
            </w:r>
            <w:r>
              <w:rPr>
                <w:noProof/>
                <w:webHidden/>
              </w:rPr>
              <w:t>5</w:t>
            </w:r>
            <w:r>
              <w:rPr>
                <w:noProof/>
                <w:webHidden/>
              </w:rPr>
              <w:fldChar w:fldCharType="end"/>
            </w:r>
          </w:hyperlink>
        </w:p>
        <w:p w14:paraId="586AFA20" w14:textId="31CF2BB4"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8" w:history="1">
            <w:r w:rsidRPr="0000173A">
              <w:rPr>
                <w:rStyle w:val="Hyperlink"/>
                <w:rFonts w:cs="Arial"/>
                <w:noProof/>
              </w:rPr>
              <w:t>4.2 Privacy, Data Protection and Trust</w:t>
            </w:r>
            <w:r>
              <w:rPr>
                <w:noProof/>
                <w:webHidden/>
              </w:rPr>
              <w:tab/>
            </w:r>
            <w:r>
              <w:rPr>
                <w:noProof/>
                <w:webHidden/>
              </w:rPr>
              <w:fldChar w:fldCharType="begin"/>
            </w:r>
            <w:r>
              <w:rPr>
                <w:noProof/>
                <w:webHidden/>
              </w:rPr>
              <w:instrText xml:space="preserve"> PAGEREF _Toc236006088 \h </w:instrText>
            </w:r>
            <w:r>
              <w:rPr>
                <w:noProof/>
                <w:webHidden/>
              </w:rPr>
            </w:r>
            <w:r>
              <w:rPr>
                <w:noProof/>
                <w:webHidden/>
              </w:rPr>
              <w:fldChar w:fldCharType="separate"/>
            </w:r>
            <w:r>
              <w:rPr>
                <w:noProof/>
                <w:webHidden/>
              </w:rPr>
              <w:t>6</w:t>
            </w:r>
            <w:r>
              <w:rPr>
                <w:noProof/>
                <w:webHidden/>
              </w:rPr>
              <w:fldChar w:fldCharType="end"/>
            </w:r>
          </w:hyperlink>
        </w:p>
        <w:p w14:paraId="1B0A9510" w14:textId="0130C22F"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89" w:history="1">
            <w:r w:rsidRPr="0000173A">
              <w:rPr>
                <w:rStyle w:val="Hyperlink"/>
                <w:rFonts w:cs="Arial"/>
                <w:noProof/>
              </w:rPr>
              <w:t>4.3 Digital Exclusion and Health Inequalities</w:t>
            </w:r>
            <w:r>
              <w:rPr>
                <w:noProof/>
                <w:webHidden/>
              </w:rPr>
              <w:tab/>
            </w:r>
            <w:r>
              <w:rPr>
                <w:noProof/>
                <w:webHidden/>
              </w:rPr>
              <w:fldChar w:fldCharType="begin"/>
            </w:r>
            <w:r>
              <w:rPr>
                <w:noProof/>
                <w:webHidden/>
              </w:rPr>
              <w:instrText xml:space="preserve"> PAGEREF _Toc236006089 \h </w:instrText>
            </w:r>
            <w:r>
              <w:rPr>
                <w:noProof/>
                <w:webHidden/>
              </w:rPr>
            </w:r>
            <w:r>
              <w:rPr>
                <w:noProof/>
                <w:webHidden/>
              </w:rPr>
              <w:fldChar w:fldCharType="separate"/>
            </w:r>
            <w:r>
              <w:rPr>
                <w:noProof/>
                <w:webHidden/>
              </w:rPr>
              <w:t>6</w:t>
            </w:r>
            <w:r>
              <w:rPr>
                <w:noProof/>
                <w:webHidden/>
              </w:rPr>
              <w:fldChar w:fldCharType="end"/>
            </w:r>
          </w:hyperlink>
        </w:p>
        <w:p w14:paraId="00054ED3" w14:textId="0C8E44B1"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90" w:history="1">
            <w:r w:rsidRPr="0000173A">
              <w:rPr>
                <w:rStyle w:val="Hyperlink"/>
                <w:rFonts w:cs="Arial"/>
                <w:noProof/>
              </w:rPr>
              <w:t>5. Community Impact</w:t>
            </w:r>
            <w:r>
              <w:rPr>
                <w:noProof/>
                <w:webHidden/>
              </w:rPr>
              <w:tab/>
            </w:r>
            <w:r>
              <w:rPr>
                <w:noProof/>
                <w:webHidden/>
              </w:rPr>
              <w:fldChar w:fldCharType="begin"/>
            </w:r>
            <w:r>
              <w:rPr>
                <w:noProof/>
                <w:webHidden/>
              </w:rPr>
              <w:instrText xml:space="preserve"> PAGEREF _Toc236006090 \h </w:instrText>
            </w:r>
            <w:r>
              <w:rPr>
                <w:noProof/>
                <w:webHidden/>
              </w:rPr>
            </w:r>
            <w:r>
              <w:rPr>
                <w:noProof/>
                <w:webHidden/>
              </w:rPr>
              <w:fldChar w:fldCharType="separate"/>
            </w:r>
            <w:r>
              <w:rPr>
                <w:noProof/>
                <w:webHidden/>
              </w:rPr>
              <w:t>7</w:t>
            </w:r>
            <w:r>
              <w:rPr>
                <w:noProof/>
                <w:webHidden/>
              </w:rPr>
              <w:fldChar w:fldCharType="end"/>
            </w:r>
          </w:hyperlink>
        </w:p>
        <w:p w14:paraId="66AD971E" w14:textId="6B88544C"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91" w:history="1">
            <w:r w:rsidRPr="0000173A">
              <w:rPr>
                <w:rStyle w:val="Hyperlink"/>
                <w:rFonts w:cs="Arial"/>
                <w:noProof/>
              </w:rPr>
              <w:t>5.1 Geographic Access and Service Location</w:t>
            </w:r>
            <w:r>
              <w:rPr>
                <w:noProof/>
                <w:webHidden/>
              </w:rPr>
              <w:tab/>
            </w:r>
            <w:r>
              <w:rPr>
                <w:noProof/>
                <w:webHidden/>
              </w:rPr>
              <w:fldChar w:fldCharType="begin"/>
            </w:r>
            <w:r>
              <w:rPr>
                <w:noProof/>
                <w:webHidden/>
              </w:rPr>
              <w:instrText xml:space="preserve"> PAGEREF _Toc236006091 \h </w:instrText>
            </w:r>
            <w:r>
              <w:rPr>
                <w:noProof/>
                <w:webHidden/>
              </w:rPr>
            </w:r>
            <w:r>
              <w:rPr>
                <w:noProof/>
                <w:webHidden/>
              </w:rPr>
              <w:fldChar w:fldCharType="separate"/>
            </w:r>
            <w:r>
              <w:rPr>
                <w:noProof/>
                <w:webHidden/>
              </w:rPr>
              <w:t>7</w:t>
            </w:r>
            <w:r>
              <w:rPr>
                <w:noProof/>
                <w:webHidden/>
              </w:rPr>
              <w:fldChar w:fldCharType="end"/>
            </w:r>
          </w:hyperlink>
        </w:p>
        <w:p w14:paraId="2C8B4905" w14:textId="50945612"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92" w:history="1">
            <w:r w:rsidRPr="0000173A">
              <w:rPr>
                <w:rStyle w:val="Hyperlink"/>
                <w:rFonts w:cs="Arial"/>
                <w:noProof/>
              </w:rPr>
              <w:t>5.2 Family Members and Informal Carers</w:t>
            </w:r>
            <w:r>
              <w:rPr>
                <w:noProof/>
                <w:webHidden/>
              </w:rPr>
              <w:tab/>
            </w:r>
            <w:r>
              <w:rPr>
                <w:noProof/>
                <w:webHidden/>
              </w:rPr>
              <w:fldChar w:fldCharType="begin"/>
            </w:r>
            <w:r>
              <w:rPr>
                <w:noProof/>
                <w:webHidden/>
              </w:rPr>
              <w:instrText xml:space="preserve"> PAGEREF _Toc236006092 \h </w:instrText>
            </w:r>
            <w:r>
              <w:rPr>
                <w:noProof/>
                <w:webHidden/>
              </w:rPr>
            </w:r>
            <w:r>
              <w:rPr>
                <w:noProof/>
                <w:webHidden/>
              </w:rPr>
              <w:fldChar w:fldCharType="separate"/>
            </w:r>
            <w:r>
              <w:rPr>
                <w:noProof/>
                <w:webHidden/>
              </w:rPr>
              <w:t>7</w:t>
            </w:r>
            <w:r>
              <w:rPr>
                <w:noProof/>
                <w:webHidden/>
              </w:rPr>
              <w:fldChar w:fldCharType="end"/>
            </w:r>
          </w:hyperlink>
        </w:p>
        <w:p w14:paraId="767D1476" w14:textId="3344BCF8"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93" w:history="1">
            <w:r w:rsidRPr="0000173A">
              <w:rPr>
                <w:rStyle w:val="Hyperlink"/>
                <w:rFonts w:cs="Arial"/>
                <w:noProof/>
              </w:rPr>
              <w:t>5.3 Co-production and Public Health</w:t>
            </w:r>
            <w:r>
              <w:rPr>
                <w:noProof/>
                <w:webHidden/>
              </w:rPr>
              <w:tab/>
            </w:r>
            <w:r>
              <w:rPr>
                <w:noProof/>
                <w:webHidden/>
              </w:rPr>
              <w:fldChar w:fldCharType="begin"/>
            </w:r>
            <w:r>
              <w:rPr>
                <w:noProof/>
                <w:webHidden/>
              </w:rPr>
              <w:instrText xml:space="preserve"> PAGEREF _Toc236006093 \h </w:instrText>
            </w:r>
            <w:r>
              <w:rPr>
                <w:noProof/>
                <w:webHidden/>
              </w:rPr>
            </w:r>
            <w:r>
              <w:rPr>
                <w:noProof/>
                <w:webHidden/>
              </w:rPr>
              <w:fldChar w:fldCharType="separate"/>
            </w:r>
            <w:r>
              <w:rPr>
                <w:noProof/>
                <w:webHidden/>
              </w:rPr>
              <w:t>7</w:t>
            </w:r>
            <w:r>
              <w:rPr>
                <w:noProof/>
                <w:webHidden/>
              </w:rPr>
              <w:fldChar w:fldCharType="end"/>
            </w:r>
          </w:hyperlink>
        </w:p>
        <w:p w14:paraId="3786F64B" w14:textId="296F5994"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94" w:history="1">
            <w:r w:rsidRPr="0000173A">
              <w:rPr>
                <w:rStyle w:val="Hyperlink"/>
                <w:rFonts w:cs="Arial"/>
                <w:noProof/>
              </w:rPr>
              <w:t>6. Conclusion and Recommendations</w:t>
            </w:r>
            <w:r>
              <w:rPr>
                <w:noProof/>
                <w:webHidden/>
              </w:rPr>
              <w:tab/>
            </w:r>
            <w:r>
              <w:rPr>
                <w:noProof/>
                <w:webHidden/>
              </w:rPr>
              <w:fldChar w:fldCharType="begin"/>
            </w:r>
            <w:r>
              <w:rPr>
                <w:noProof/>
                <w:webHidden/>
              </w:rPr>
              <w:instrText xml:space="preserve"> PAGEREF _Toc236006094 \h </w:instrText>
            </w:r>
            <w:r>
              <w:rPr>
                <w:noProof/>
                <w:webHidden/>
              </w:rPr>
            </w:r>
            <w:r>
              <w:rPr>
                <w:noProof/>
                <w:webHidden/>
              </w:rPr>
              <w:fldChar w:fldCharType="separate"/>
            </w:r>
            <w:r>
              <w:rPr>
                <w:noProof/>
                <w:webHidden/>
              </w:rPr>
              <w:t>8</w:t>
            </w:r>
            <w:r>
              <w:rPr>
                <w:noProof/>
                <w:webHidden/>
              </w:rPr>
              <w:fldChar w:fldCharType="end"/>
            </w:r>
          </w:hyperlink>
        </w:p>
        <w:p w14:paraId="4FA365CD" w14:textId="4DCFFA91"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95" w:history="1">
            <w:r w:rsidRPr="0000173A">
              <w:rPr>
                <w:rStyle w:val="Hyperlink"/>
                <w:rFonts w:cs="Arial"/>
                <w:noProof/>
              </w:rPr>
              <w:t>6.1 Conclusion</w:t>
            </w:r>
            <w:r>
              <w:rPr>
                <w:noProof/>
                <w:webHidden/>
              </w:rPr>
              <w:tab/>
            </w:r>
            <w:r>
              <w:rPr>
                <w:noProof/>
                <w:webHidden/>
              </w:rPr>
              <w:fldChar w:fldCharType="begin"/>
            </w:r>
            <w:r>
              <w:rPr>
                <w:noProof/>
                <w:webHidden/>
              </w:rPr>
              <w:instrText xml:space="preserve"> PAGEREF _Toc236006095 \h </w:instrText>
            </w:r>
            <w:r>
              <w:rPr>
                <w:noProof/>
                <w:webHidden/>
              </w:rPr>
            </w:r>
            <w:r>
              <w:rPr>
                <w:noProof/>
                <w:webHidden/>
              </w:rPr>
              <w:fldChar w:fldCharType="separate"/>
            </w:r>
            <w:r>
              <w:rPr>
                <w:noProof/>
                <w:webHidden/>
              </w:rPr>
              <w:t>8</w:t>
            </w:r>
            <w:r>
              <w:rPr>
                <w:noProof/>
                <w:webHidden/>
              </w:rPr>
              <w:fldChar w:fldCharType="end"/>
            </w:r>
          </w:hyperlink>
        </w:p>
        <w:p w14:paraId="4A85390C" w14:textId="434EDE93" w:rsidR="00C56FA7" w:rsidRDefault="00C56FA7">
          <w:pPr>
            <w:pStyle w:val="TOC2"/>
            <w:tabs>
              <w:tab w:val="right" w:leader="dot" w:pos="9638"/>
            </w:tabs>
            <w:rPr>
              <w:rFonts w:asciiTheme="minorHAnsi" w:hAnsiTheme="minorHAnsi"/>
              <w:noProof/>
              <w:kern w:val="2"/>
              <w:sz w:val="24"/>
              <w:szCs w:val="24"/>
              <w:lang w:val="en-GB" w:eastAsia="en-GB"/>
              <w14:ligatures w14:val="standardContextual"/>
            </w:rPr>
          </w:pPr>
          <w:hyperlink w:anchor="_Toc236006096" w:history="1">
            <w:r w:rsidRPr="0000173A">
              <w:rPr>
                <w:rStyle w:val="Hyperlink"/>
                <w:rFonts w:cs="Arial"/>
                <w:noProof/>
              </w:rPr>
              <w:t>6.2 Recommendations</w:t>
            </w:r>
            <w:r>
              <w:rPr>
                <w:noProof/>
                <w:webHidden/>
              </w:rPr>
              <w:tab/>
            </w:r>
            <w:r>
              <w:rPr>
                <w:noProof/>
                <w:webHidden/>
              </w:rPr>
              <w:fldChar w:fldCharType="begin"/>
            </w:r>
            <w:r>
              <w:rPr>
                <w:noProof/>
                <w:webHidden/>
              </w:rPr>
              <w:instrText xml:space="preserve"> PAGEREF _Toc236006096 \h </w:instrText>
            </w:r>
            <w:r>
              <w:rPr>
                <w:noProof/>
                <w:webHidden/>
              </w:rPr>
            </w:r>
            <w:r>
              <w:rPr>
                <w:noProof/>
                <w:webHidden/>
              </w:rPr>
              <w:fldChar w:fldCharType="separate"/>
            </w:r>
            <w:r>
              <w:rPr>
                <w:noProof/>
                <w:webHidden/>
              </w:rPr>
              <w:t>8</w:t>
            </w:r>
            <w:r>
              <w:rPr>
                <w:noProof/>
                <w:webHidden/>
              </w:rPr>
              <w:fldChar w:fldCharType="end"/>
            </w:r>
          </w:hyperlink>
        </w:p>
        <w:p w14:paraId="73EA5773" w14:textId="55EC4A5F" w:rsidR="00C56FA7" w:rsidRDefault="00C56FA7">
          <w:pPr>
            <w:pStyle w:val="TOC1"/>
            <w:tabs>
              <w:tab w:val="right" w:leader="dot" w:pos="9638"/>
            </w:tabs>
            <w:rPr>
              <w:rFonts w:asciiTheme="minorHAnsi" w:hAnsiTheme="minorHAnsi"/>
              <w:noProof/>
              <w:kern w:val="2"/>
              <w:sz w:val="24"/>
              <w:szCs w:val="24"/>
              <w:lang w:val="en-GB" w:eastAsia="en-GB"/>
              <w14:ligatures w14:val="standardContextual"/>
            </w:rPr>
          </w:pPr>
          <w:hyperlink w:anchor="_Toc236006097" w:history="1">
            <w:r w:rsidRPr="0000173A">
              <w:rPr>
                <w:rStyle w:val="Hyperlink"/>
                <w:rFonts w:cs="Arial"/>
                <w:noProof/>
              </w:rPr>
              <w:t>Reference List</w:t>
            </w:r>
            <w:r>
              <w:rPr>
                <w:noProof/>
                <w:webHidden/>
              </w:rPr>
              <w:tab/>
            </w:r>
            <w:r>
              <w:rPr>
                <w:noProof/>
                <w:webHidden/>
              </w:rPr>
              <w:fldChar w:fldCharType="begin"/>
            </w:r>
            <w:r>
              <w:rPr>
                <w:noProof/>
                <w:webHidden/>
              </w:rPr>
              <w:instrText xml:space="preserve"> PAGEREF _Toc236006097 \h </w:instrText>
            </w:r>
            <w:r>
              <w:rPr>
                <w:noProof/>
                <w:webHidden/>
              </w:rPr>
            </w:r>
            <w:r>
              <w:rPr>
                <w:noProof/>
                <w:webHidden/>
              </w:rPr>
              <w:fldChar w:fldCharType="separate"/>
            </w:r>
            <w:r>
              <w:rPr>
                <w:noProof/>
                <w:webHidden/>
              </w:rPr>
              <w:t>10</w:t>
            </w:r>
            <w:r>
              <w:rPr>
                <w:noProof/>
                <w:webHidden/>
              </w:rPr>
              <w:fldChar w:fldCharType="end"/>
            </w:r>
          </w:hyperlink>
        </w:p>
        <w:p w14:paraId="131D4170" w14:textId="0029CBAB" w:rsidR="00C56FA7" w:rsidRDefault="00C56FA7">
          <w:r>
            <w:rPr>
              <w:b/>
              <w:bCs/>
            </w:rPr>
            <w:fldChar w:fldCharType="end"/>
          </w:r>
        </w:p>
      </w:sdtContent>
    </w:sdt>
    <w:p w14:paraId="0220C046" w14:textId="77777777" w:rsidR="00C56FA7" w:rsidRDefault="00C56FA7">
      <w:pPr>
        <w:spacing w:after="200"/>
        <w:rPr>
          <w:rFonts w:eastAsiaTheme="majorEastAsia" w:cs="Arial"/>
          <w:b/>
          <w:bCs/>
          <w:color w:val="365F91" w:themeColor="accent1" w:themeShade="BF"/>
        </w:rPr>
      </w:pPr>
      <w:r>
        <w:rPr>
          <w:rFonts w:cs="Arial"/>
        </w:rPr>
        <w:br w:type="page"/>
      </w:r>
    </w:p>
    <w:p w14:paraId="5D1857B3" w14:textId="23BF6F62" w:rsidR="00095A25" w:rsidRPr="00C56FA7" w:rsidRDefault="00AF25DC" w:rsidP="00221DA4">
      <w:pPr>
        <w:pStyle w:val="Heading1"/>
        <w:spacing w:line="360" w:lineRule="auto"/>
        <w:rPr>
          <w:rFonts w:ascii="Arial" w:hAnsi="Arial" w:cs="Arial"/>
          <w:sz w:val="22"/>
          <w:szCs w:val="22"/>
        </w:rPr>
      </w:pPr>
      <w:bookmarkStart w:id="0" w:name="_Toc236006077"/>
      <w:r w:rsidRPr="00221DA4">
        <w:rPr>
          <w:rFonts w:ascii="Arial" w:hAnsi="Arial" w:cs="Arial"/>
          <w:sz w:val="22"/>
          <w:szCs w:val="22"/>
        </w:rPr>
        <w:lastRenderedPageBreak/>
        <w:t>1</w:t>
      </w:r>
      <w:r w:rsidRPr="00C56FA7">
        <w:rPr>
          <w:rFonts w:ascii="Arial" w:hAnsi="Arial" w:cs="Arial"/>
          <w:sz w:val="22"/>
          <w:szCs w:val="22"/>
        </w:rPr>
        <w:t xml:space="preserve">. </w:t>
      </w:r>
      <w:r w:rsidRPr="00C56FA7">
        <w:rPr>
          <w:rFonts w:ascii="Arial" w:hAnsi="Arial" w:cs="Arial"/>
        </w:rPr>
        <w:t>Introduction</w:t>
      </w:r>
      <w:bookmarkEnd w:id="0"/>
    </w:p>
    <w:p w14:paraId="6B61CF40" w14:textId="4A9D4359" w:rsidR="000C6E12" w:rsidRPr="00C56FA7" w:rsidRDefault="0026073C" w:rsidP="00221DA4">
      <w:pPr>
        <w:spacing w:line="360" w:lineRule="auto"/>
        <w:jc w:val="both"/>
        <w:rPr>
          <w:rFonts w:cs="Arial"/>
        </w:rPr>
      </w:pPr>
      <w:r w:rsidRPr="00C56FA7">
        <w:rPr>
          <w:rFonts w:cs="Arial"/>
        </w:rPr>
        <w:t xml:space="preserve">In 2019, the NHS App was introduced </w:t>
      </w:r>
      <w:r w:rsidR="007E3128" w:rsidRPr="00C56FA7">
        <w:rPr>
          <w:rFonts w:cs="Arial"/>
        </w:rPr>
        <w:t>across England, providing a safe and practical way for individuals to access</w:t>
      </w:r>
      <w:r w:rsidRPr="00C56FA7">
        <w:rPr>
          <w:rFonts w:cs="Arial"/>
        </w:rPr>
        <w:t xml:space="preserve"> NHS services (NHS England, 2019). From their smartphones, tablets, or web browsers, customers may conveniently obtain repeat prescriptions, schedule appointments, check specific sections of their GP health data, receive messages, and access other NHS services (NHS, n.d.). Its rapid expansion is consistent with the overarching objective of shifting health care from conventional to more digital ways (Department of Health and Social Care, 2022).</w:t>
      </w:r>
    </w:p>
    <w:p w14:paraId="3FDABE3D" w14:textId="77777777" w:rsidR="000C6E12" w:rsidRPr="00C56FA7" w:rsidRDefault="000C6E12" w:rsidP="00221DA4">
      <w:pPr>
        <w:spacing w:line="360" w:lineRule="auto"/>
        <w:jc w:val="both"/>
        <w:rPr>
          <w:rFonts w:cs="Arial"/>
        </w:rPr>
      </w:pPr>
    </w:p>
    <w:p w14:paraId="58CC9AE9" w14:textId="2CB66DCE" w:rsidR="00095A25" w:rsidRPr="00C56FA7" w:rsidRDefault="000C6E12" w:rsidP="00221DA4">
      <w:pPr>
        <w:spacing w:line="360" w:lineRule="auto"/>
        <w:jc w:val="both"/>
        <w:rPr>
          <w:rFonts w:cs="Arial"/>
        </w:rPr>
      </w:pPr>
      <w:r w:rsidRPr="00C56FA7">
        <w:rPr>
          <w:rFonts w:cs="Arial"/>
        </w:rPr>
        <w:t xml:space="preserve">In this report, we’ll take a closer look at how the NHS App impacts the workforce, service delivery, patients, and communities. We’ll </w:t>
      </w:r>
      <w:r w:rsidR="00375015" w:rsidRPr="00C56FA7">
        <w:rPr>
          <w:rFonts w:cs="Arial"/>
        </w:rPr>
        <w:t>analyse</w:t>
      </w:r>
      <w:r w:rsidR="00982A59" w:rsidRPr="00C56FA7">
        <w:rPr>
          <w:rFonts w:cs="Arial"/>
        </w:rPr>
        <w:t xml:space="preserve"> national usage data, policy documents, and peer-reviewed research, </w:t>
      </w:r>
      <w:r w:rsidR="00C56FA7" w:rsidRPr="00C56FA7">
        <w:rPr>
          <w:rFonts w:cs="Arial"/>
        </w:rPr>
        <w:t>emphasizing</w:t>
      </w:r>
      <w:r w:rsidRPr="00C56FA7">
        <w:rPr>
          <w:rFonts w:cs="Arial"/>
        </w:rPr>
        <w:t xml:space="preserve"> that high adoption doesn't automatically equate to better care. The evidence shows a mixed picture: while national statistics effectively capture activity on a larger scale, observational and qualitative studies shed light on user experiences and adoption, even if they can’t definitively determine that the App alone leads to improved health outcomes. Therefore, we’ll assess its effectiveness based on factors </w:t>
      </w:r>
      <w:r w:rsidR="00982A59" w:rsidRPr="00C56FA7">
        <w:rPr>
          <w:rFonts w:cs="Arial"/>
        </w:rPr>
        <w:t xml:space="preserve">such as accessibility, workload, equity, governance, </w:t>
      </w:r>
      <w:r w:rsidR="007E3128" w:rsidRPr="00C56FA7">
        <w:rPr>
          <w:rFonts w:cs="Arial"/>
        </w:rPr>
        <w:t>sustainability, and</w:t>
      </w:r>
      <w:r w:rsidRPr="00C56FA7">
        <w:rPr>
          <w:rFonts w:cs="Arial"/>
        </w:rPr>
        <w:t xml:space="preserve"> user numbers.</w:t>
      </w:r>
    </w:p>
    <w:p w14:paraId="3C5FB9B5" w14:textId="77777777" w:rsidR="00095A25" w:rsidRPr="00C56FA7" w:rsidRDefault="00AF25DC" w:rsidP="00C56FA7">
      <w:pPr>
        <w:pStyle w:val="Heading1"/>
        <w:rPr>
          <w:rFonts w:ascii="Arial" w:hAnsi="Arial" w:cs="Arial"/>
        </w:rPr>
      </w:pPr>
      <w:bookmarkStart w:id="1" w:name="_Toc236006078"/>
      <w:r w:rsidRPr="00C56FA7">
        <w:rPr>
          <w:rFonts w:ascii="Arial" w:hAnsi="Arial" w:cs="Arial"/>
        </w:rPr>
        <w:t>2. Workforce Impact</w:t>
      </w:r>
      <w:bookmarkEnd w:id="1"/>
    </w:p>
    <w:p w14:paraId="3F641F28" w14:textId="77777777" w:rsidR="00095A25" w:rsidRPr="00C56FA7" w:rsidRDefault="00AF25DC" w:rsidP="00C56FA7">
      <w:pPr>
        <w:pStyle w:val="Heading2"/>
        <w:rPr>
          <w:rFonts w:ascii="Arial" w:hAnsi="Arial" w:cs="Arial"/>
        </w:rPr>
      </w:pPr>
      <w:bookmarkStart w:id="2" w:name="_Toc236006079"/>
      <w:r w:rsidRPr="00C56FA7">
        <w:rPr>
          <w:rFonts w:ascii="Arial" w:hAnsi="Arial" w:cs="Arial"/>
        </w:rPr>
        <w:t>2.1 Changes in Roles and Responsibilities</w:t>
      </w:r>
      <w:bookmarkEnd w:id="2"/>
    </w:p>
    <w:p w14:paraId="7F0C2987" w14:textId="3D63B3A1" w:rsidR="00095A25" w:rsidRPr="00C56FA7" w:rsidRDefault="00375015" w:rsidP="00221DA4">
      <w:pPr>
        <w:spacing w:line="360" w:lineRule="auto"/>
        <w:jc w:val="both"/>
        <w:rPr>
          <w:rFonts w:cs="Arial"/>
        </w:rPr>
      </w:pPr>
      <w:r w:rsidRPr="00C56FA7">
        <w:rPr>
          <w:rFonts w:cs="Arial"/>
        </w:rPr>
        <w:t>The App makes it easier for patients to handle routine tasks</w:t>
      </w:r>
      <w:r w:rsidR="00972346" w:rsidRPr="00C56FA7">
        <w:rPr>
          <w:rFonts w:cs="Arial"/>
        </w:rPr>
        <w:t>, such as requesting prescriptions and managing appointments,</w:t>
      </w:r>
      <w:r w:rsidRPr="00C56FA7">
        <w:rPr>
          <w:rFonts w:cs="Arial"/>
        </w:rPr>
        <w:t xml:space="preserve"> without relying on phone calls or paper. This shift not only helps reduce repetitive work for reception staff but also aligns with the NHS Long Term Workforce Plan, which focuses on improving productivity and embracing digital tools (NHS England, 2023). It's important to note, though, that this change brings its own set of responsibilities. Staff will need to monitor online requests, help troubleshoot access issues, support patients who may be less comfortable with technology, and meet the growing demand for quick communication.</w:t>
      </w:r>
    </w:p>
    <w:p w14:paraId="4D37E1FF" w14:textId="77777777" w:rsidR="00C56FA7" w:rsidRPr="00C56FA7" w:rsidRDefault="00C56FA7" w:rsidP="00221DA4">
      <w:pPr>
        <w:spacing w:line="360" w:lineRule="auto"/>
        <w:jc w:val="both"/>
        <w:rPr>
          <w:rFonts w:cs="Arial"/>
        </w:rPr>
      </w:pPr>
    </w:p>
    <w:p w14:paraId="10A224BF" w14:textId="0F9C89AB" w:rsidR="00095A25" w:rsidRPr="00C56FA7" w:rsidRDefault="00375015" w:rsidP="00221DA4">
      <w:pPr>
        <w:spacing w:line="360" w:lineRule="auto"/>
        <w:jc w:val="both"/>
        <w:rPr>
          <w:rFonts w:cs="Arial"/>
        </w:rPr>
      </w:pPr>
      <w:r w:rsidRPr="00C56FA7">
        <w:rPr>
          <w:rFonts w:cs="Arial"/>
        </w:rPr>
        <w:t xml:space="preserve">Reidy and colleagues (2025) discovered that implementing the changes needed adjustments to workflows, staff roles, and the overall culture of local practice. This qualitative research is valuable because it captures </w:t>
      </w:r>
      <w:r w:rsidR="00C56FA7">
        <w:rPr>
          <w:rFonts w:cs="Arial"/>
        </w:rPr>
        <w:t xml:space="preserve">real-life implementation experiences </w:t>
      </w:r>
      <w:r w:rsidRPr="00C56FA7">
        <w:rPr>
          <w:rFonts w:cs="Arial"/>
        </w:rPr>
        <w:t xml:space="preserve">from different parts of England. However, </w:t>
      </w:r>
      <w:r w:rsidR="00C56FA7">
        <w:rPr>
          <w:rFonts w:cs="Arial"/>
        </w:rPr>
        <w:t>it</w:t>
      </w:r>
      <w:r w:rsidRPr="00C56FA7">
        <w:rPr>
          <w:rFonts w:cs="Arial"/>
        </w:rPr>
        <w:t xml:space="preserve"> primarily relies on participants' perspectives and doesn't quantify overall national-level workload savings. On the other hand, workforce reports indicate ongoing shortages and increasing demand across NHS services (Garratt et al., 2024). When you put all this evidence together, it seems that </w:t>
      </w:r>
      <w:r w:rsidRPr="00C56FA7">
        <w:rPr>
          <w:rFonts w:cs="Arial"/>
        </w:rPr>
        <w:lastRenderedPageBreak/>
        <w:t xml:space="preserve">while the App </w:t>
      </w:r>
      <w:r w:rsidR="00C56FA7" w:rsidRPr="00C56FA7">
        <w:rPr>
          <w:rFonts w:cs="Arial"/>
        </w:rPr>
        <w:t>shifts</w:t>
      </w:r>
      <w:r w:rsidRPr="00C56FA7">
        <w:rPr>
          <w:rFonts w:cs="Arial"/>
        </w:rPr>
        <w:t xml:space="preserve"> the type and timing of tasks, it doesn’t necessarily lessen the total workload across the board.</w:t>
      </w:r>
    </w:p>
    <w:p w14:paraId="37685AE0" w14:textId="77777777" w:rsidR="00095A25" w:rsidRPr="00C56FA7" w:rsidRDefault="00AF25DC" w:rsidP="00C56FA7">
      <w:pPr>
        <w:pStyle w:val="Heading2"/>
        <w:rPr>
          <w:rFonts w:ascii="Arial" w:hAnsi="Arial" w:cs="Arial"/>
        </w:rPr>
      </w:pPr>
      <w:bookmarkStart w:id="3" w:name="_Toc236006080"/>
      <w:r w:rsidRPr="00C56FA7">
        <w:rPr>
          <w:rFonts w:ascii="Arial" w:hAnsi="Arial" w:cs="Arial"/>
        </w:rPr>
        <w:t>2.2 Benefits and Limitations</w:t>
      </w:r>
      <w:bookmarkEnd w:id="3"/>
    </w:p>
    <w:p w14:paraId="2D811FCB" w14:textId="06BAE698" w:rsidR="00375015" w:rsidRPr="00C56FA7" w:rsidRDefault="00375015" w:rsidP="00221DA4">
      <w:pPr>
        <w:spacing w:line="360" w:lineRule="auto"/>
        <w:jc w:val="both"/>
        <w:rPr>
          <w:rFonts w:cs="Arial"/>
        </w:rPr>
      </w:pPr>
      <w:r w:rsidRPr="00C56FA7">
        <w:rPr>
          <w:rFonts w:cs="Arial"/>
        </w:rPr>
        <w:t xml:space="preserve">Automation can </w:t>
      </w:r>
      <w:r w:rsidR="00E026A5" w:rsidRPr="00C56FA7">
        <w:rPr>
          <w:rFonts w:cs="Arial"/>
        </w:rPr>
        <w:t>reduce</w:t>
      </w:r>
      <w:r w:rsidRPr="00C56FA7">
        <w:rPr>
          <w:rFonts w:cs="Arial"/>
        </w:rPr>
        <w:t xml:space="preserve"> avoidable calls and manual tasks. For example, NHS England's prescription-tracking function was used 715,000 times in its first ten weeks to reduce calls about medicine readiness, suggesting potential efficiency for community pharmacies, though it lacks independent cost-effectiveness evidence.</w:t>
      </w:r>
    </w:p>
    <w:p w14:paraId="16046CAA" w14:textId="77777777" w:rsidR="00375015" w:rsidRPr="00C56FA7" w:rsidRDefault="00375015" w:rsidP="00221DA4">
      <w:pPr>
        <w:spacing w:line="360" w:lineRule="auto"/>
        <w:jc w:val="both"/>
        <w:rPr>
          <w:rFonts w:cs="Arial"/>
        </w:rPr>
      </w:pPr>
    </w:p>
    <w:p w14:paraId="0E9F4AE4" w14:textId="21C09A05" w:rsidR="00095A25" w:rsidRPr="00C56FA7" w:rsidRDefault="00375015" w:rsidP="00221DA4">
      <w:pPr>
        <w:spacing w:line="360" w:lineRule="auto"/>
        <w:jc w:val="both"/>
        <w:rPr>
          <w:rFonts w:cs="Arial"/>
        </w:rPr>
      </w:pPr>
      <w:r w:rsidRPr="00C56FA7">
        <w:rPr>
          <w:rFonts w:cs="Arial"/>
        </w:rPr>
        <w:t xml:space="preserve">The app may improve access to patient requests and communication, provided systems are interoperable and staffing is adequate. However, it cannot compensate for poor clinical capacity. Overall, the app is an enabling technology that can save time </w:t>
      </w:r>
      <w:r w:rsidR="00E026A5" w:rsidRPr="00C56FA7">
        <w:rPr>
          <w:rFonts w:cs="Arial"/>
        </w:rPr>
        <w:t>when workflows are redesigned effectively, but it may lead to</w:t>
      </w:r>
      <w:r w:rsidRPr="00C56FA7">
        <w:rPr>
          <w:rFonts w:cs="Arial"/>
        </w:rPr>
        <w:t xml:space="preserve"> duplication if online and traditional processes are poorly integrated.</w:t>
      </w:r>
    </w:p>
    <w:p w14:paraId="1008C57A" w14:textId="77777777" w:rsidR="00095A25" w:rsidRPr="00C56FA7" w:rsidRDefault="00AF25DC" w:rsidP="00C56FA7">
      <w:pPr>
        <w:pStyle w:val="Heading2"/>
        <w:rPr>
          <w:rFonts w:ascii="Arial" w:hAnsi="Arial" w:cs="Arial"/>
        </w:rPr>
      </w:pPr>
      <w:bookmarkStart w:id="4" w:name="_Toc236006081"/>
      <w:r w:rsidRPr="00C56FA7">
        <w:rPr>
          <w:rFonts w:ascii="Arial" w:hAnsi="Arial" w:cs="Arial"/>
        </w:rPr>
        <w:t>2.3 Workforce Challenges</w:t>
      </w:r>
      <w:bookmarkEnd w:id="4"/>
    </w:p>
    <w:p w14:paraId="1361BB58" w14:textId="3F4696D5" w:rsidR="00E026A5" w:rsidRPr="00C56FA7" w:rsidRDefault="00E026A5" w:rsidP="00221DA4">
      <w:pPr>
        <w:spacing w:line="360" w:lineRule="auto"/>
        <w:jc w:val="both"/>
        <w:rPr>
          <w:rFonts w:cs="Arial"/>
        </w:rPr>
      </w:pPr>
      <w:r w:rsidRPr="00C56FA7">
        <w:rPr>
          <w:rFonts w:cs="Arial"/>
        </w:rPr>
        <w:t xml:space="preserve">Digital competency is essential for today’s workforce. Employees need skills in information governance, cybersecurity, accessibility, online communication, and safe escalation. While training and </w:t>
      </w:r>
      <w:r w:rsidR="00C56FA7" w:rsidRPr="00C56FA7">
        <w:rPr>
          <w:rFonts w:cs="Arial"/>
        </w:rPr>
        <w:t>digital champion</w:t>
      </w:r>
      <w:r w:rsidRPr="00C56FA7">
        <w:rPr>
          <w:rFonts w:cs="Arial"/>
        </w:rPr>
        <w:t xml:space="preserve"> roles can aid in implementation, these require time and funding, posing a challenge for organisations under workforce pressure. </w:t>
      </w:r>
    </w:p>
    <w:p w14:paraId="5111BB1F" w14:textId="77777777" w:rsidR="00C56FA7" w:rsidRPr="00C56FA7" w:rsidRDefault="00C56FA7" w:rsidP="00221DA4">
      <w:pPr>
        <w:spacing w:line="360" w:lineRule="auto"/>
        <w:jc w:val="both"/>
        <w:rPr>
          <w:rFonts w:cs="Arial"/>
        </w:rPr>
      </w:pPr>
    </w:p>
    <w:p w14:paraId="1BD9AA93" w14:textId="0EB7D384" w:rsidR="00095A25" w:rsidRPr="00C56FA7" w:rsidRDefault="00E026A5" w:rsidP="00221DA4">
      <w:pPr>
        <w:spacing w:line="360" w:lineRule="auto"/>
        <w:jc w:val="both"/>
        <w:rPr>
          <w:rFonts w:cs="Arial"/>
        </w:rPr>
      </w:pPr>
      <w:r w:rsidRPr="00C56FA7">
        <w:rPr>
          <w:rFonts w:cs="Arial"/>
        </w:rPr>
        <w:t xml:space="preserve">Additionally, there is a demand paradox: easier access for patients may lead to increased requests, </w:t>
      </w:r>
      <w:r w:rsidR="00972346" w:rsidRPr="00C56FA7">
        <w:rPr>
          <w:rFonts w:cs="Arial"/>
        </w:rPr>
        <w:t>potentially overwhelming</w:t>
      </w:r>
      <w:r w:rsidRPr="00C56FA7">
        <w:rPr>
          <w:rFonts w:cs="Arial"/>
        </w:rPr>
        <w:t xml:space="preserve"> services. Reidy et al. (2025) noted that online access might elevate workload and expectations, undermining the belief that self-service always boosts efficiency. For sustainable implementation, it’s crucial to monitor workloads, establish clear response standards, and allocate protected time for staff to manage digital communications.</w:t>
      </w:r>
    </w:p>
    <w:p w14:paraId="08718B1E" w14:textId="77777777" w:rsidR="00095A25" w:rsidRPr="00C56FA7" w:rsidRDefault="00AF25DC" w:rsidP="00C56FA7">
      <w:pPr>
        <w:pStyle w:val="Heading1"/>
        <w:rPr>
          <w:rFonts w:ascii="Arial" w:hAnsi="Arial" w:cs="Arial"/>
        </w:rPr>
      </w:pPr>
      <w:bookmarkStart w:id="5" w:name="_Toc236006082"/>
      <w:r w:rsidRPr="00C56FA7">
        <w:rPr>
          <w:rFonts w:ascii="Arial" w:hAnsi="Arial" w:cs="Arial"/>
        </w:rPr>
        <w:t>3. Service Delivery Impact</w:t>
      </w:r>
      <w:bookmarkEnd w:id="5"/>
    </w:p>
    <w:p w14:paraId="06F2BCD8" w14:textId="77777777" w:rsidR="00095A25" w:rsidRPr="00C56FA7" w:rsidRDefault="00AF25DC" w:rsidP="00C56FA7">
      <w:pPr>
        <w:pStyle w:val="Heading2"/>
        <w:rPr>
          <w:rFonts w:ascii="Arial" w:hAnsi="Arial" w:cs="Arial"/>
        </w:rPr>
      </w:pPr>
      <w:bookmarkStart w:id="6" w:name="_Toc236006083"/>
      <w:r w:rsidRPr="00C56FA7">
        <w:rPr>
          <w:rFonts w:ascii="Arial" w:hAnsi="Arial" w:cs="Arial"/>
        </w:rPr>
        <w:t>3.1 Changes to Daily Practice</w:t>
      </w:r>
      <w:bookmarkEnd w:id="6"/>
    </w:p>
    <w:p w14:paraId="68E409BB" w14:textId="7D1C5E4F" w:rsidR="00E026A5" w:rsidRPr="00C56FA7" w:rsidRDefault="00E026A5" w:rsidP="00221DA4">
      <w:pPr>
        <w:spacing w:line="360" w:lineRule="auto"/>
        <w:jc w:val="both"/>
        <w:rPr>
          <w:rFonts w:cs="Arial"/>
        </w:rPr>
      </w:pPr>
      <w:r w:rsidRPr="00C56FA7">
        <w:rPr>
          <w:rFonts w:cs="Arial"/>
        </w:rPr>
        <w:t xml:space="preserve">The NHS App is now a regular part of healthcare delivery. As of June 2026, it recorded millions of monthly sessions, users, and prescription orders, demonstrating its large-scale operation (NHS England Digital, 2026). While national data is beneficial for assessing reach and trends across England, it </w:t>
      </w:r>
      <w:r w:rsidR="00C56FA7">
        <w:rPr>
          <w:rFonts w:cs="Arial"/>
        </w:rPr>
        <w:t>reflects activity rather than</w:t>
      </w:r>
      <w:r w:rsidRPr="00C56FA7">
        <w:rPr>
          <w:rFonts w:cs="Arial"/>
        </w:rPr>
        <w:t xml:space="preserve"> factors like diagnostic accuracy, safety, patient outcomes, or consultation quality.</w:t>
      </w:r>
    </w:p>
    <w:p w14:paraId="7A964604" w14:textId="77777777" w:rsidR="00E026A5" w:rsidRPr="00C56FA7" w:rsidRDefault="00E026A5" w:rsidP="00221DA4">
      <w:pPr>
        <w:spacing w:line="360" w:lineRule="auto"/>
        <w:jc w:val="both"/>
        <w:rPr>
          <w:rFonts w:cs="Arial"/>
        </w:rPr>
      </w:pPr>
    </w:p>
    <w:p w14:paraId="160AFA86" w14:textId="5203DA27" w:rsidR="00095A25" w:rsidRPr="00C56FA7" w:rsidRDefault="00E026A5" w:rsidP="00221DA4">
      <w:pPr>
        <w:spacing w:line="360" w:lineRule="auto"/>
        <w:jc w:val="both"/>
        <w:rPr>
          <w:rFonts w:cs="Arial"/>
        </w:rPr>
      </w:pPr>
      <w:r w:rsidRPr="00C56FA7">
        <w:rPr>
          <w:rFonts w:cs="Arial"/>
        </w:rPr>
        <w:lastRenderedPageBreak/>
        <w:t xml:space="preserve">Daily practice now incorporates digital prescription management, </w:t>
      </w:r>
      <w:r w:rsidR="00972346" w:rsidRPr="00C56FA7">
        <w:rPr>
          <w:rFonts w:cs="Arial"/>
        </w:rPr>
        <w:t>record access</w:t>
      </w:r>
      <w:r w:rsidRPr="00C56FA7">
        <w:rPr>
          <w:rFonts w:cs="Arial"/>
        </w:rPr>
        <w:t xml:space="preserve">, messaging, and appointment scheduling, which can </w:t>
      </w:r>
      <w:r w:rsidR="00C56FA7" w:rsidRPr="00C56FA7">
        <w:rPr>
          <w:rFonts w:cs="Arial"/>
        </w:rPr>
        <w:t>minimize</w:t>
      </w:r>
      <w:r w:rsidRPr="00C56FA7">
        <w:rPr>
          <w:rFonts w:cs="Arial"/>
        </w:rPr>
        <w:t xml:space="preserve"> travel and phone wait times. It also allows patients to review information post-consultation, promoting continuity of care. However, differences in local GP systems and services mean the App's experience can vary by location, so national availability does not guarantee uniform local </w:t>
      </w:r>
      <w:r w:rsidR="00C56FA7" w:rsidRPr="00C56FA7">
        <w:rPr>
          <w:rFonts w:cs="Arial"/>
        </w:rPr>
        <w:t>delivery.</w:t>
      </w:r>
    </w:p>
    <w:p w14:paraId="3E39A180" w14:textId="77777777" w:rsidR="00095A25" w:rsidRPr="00C56FA7" w:rsidRDefault="00AF25DC" w:rsidP="00C56FA7">
      <w:pPr>
        <w:pStyle w:val="Heading2"/>
        <w:rPr>
          <w:rFonts w:ascii="Arial" w:hAnsi="Arial" w:cs="Arial"/>
        </w:rPr>
      </w:pPr>
      <w:bookmarkStart w:id="7" w:name="_Toc236006084"/>
      <w:r w:rsidRPr="00C56FA7">
        <w:rPr>
          <w:rFonts w:ascii="Arial" w:hAnsi="Arial" w:cs="Arial"/>
        </w:rPr>
        <w:t>3.2 Evidence of Benefits</w:t>
      </w:r>
      <w:bookmarkEnd w:id="7"/>
    </w:p>
    <w:p w14:paraId="7BABB7C0" w14:textId="060B9EFB" w:rsidR="00E026A5" w:rsidRPr="00C56FA7" w:rsidRDefault="00E026A5" w:rsidP="00221DA4">
      <w:pPr>
        <w:spacing w:line="360" w:lineRule="auto"/>
        <w:jc w:val="both"/>
        <w:rPr>
          <w:rFonts w:cs="Arial"/>
        </w:rPr>
      </w:pPr>
      <w:r w:rsidRPr="00C56FA7">
        <w:rPr>
          <w:rFonts w:cs="Arial"/>
        </w:rPr>
        <w:t xml:space="preserve">The strongest evidence focuses on adoption and convenience. KC et al. (2023) found that the NHS App </w:t>
      </w:r>
      <w:r w:rsidR="00972346" w:rsidRPr="00C56FA7">
        <w:rPr>
          <w:rFonts w:cs="Arial"/>
        </w:rPr>
        <w:t>experienced rapid,</w:t>
      </w:r>
      <w:r w:rsidRPr="00C56FA7">
        <w:rPr>
          <w:rFonts w:cs="Arial"/>
        </w:rPr>
        <w:t xml:space="preserve"> uneven uptake, but this data cannot confirm improved health outcomes. NHS England Digital (2026) reported over 40 million registrations by 2025, indicating high public demand, though registration does not ensure effective use.</w:t>
      </w:r>
    </w:p>
    <w:p w14:paraId="147B6E8C" w14:textId="77777777" w:rsidR="00E026A5" w:rsidRPr="00C56FA7" w:rsidRDefault="00E026A5" w:rsidP="00221DA4">
      <w:pPr>
        <w:spacing w:line="360" w:lineRule="auto"/>
        <w:jc w:val="both"/>
        <w:rPr>
          <w:rFonts w:cs="Arial"/>
        </w:rPr>
      </w:pPr>
    </w:p>
    <w:p w14:paraId="3AAAA791" w14:textId="78ABC135" w:rsidR="00095A25" w:rsidRPr="00C56FA7" w:rsidRDefault="00E026A5" w:rsidP="00221DA4">
      <w:pPr>
        <w:spacing w:line="360" w:lineRule="auto"/>
        <w:jc w:val="both"/>
        <w:rPr>
          <w:rFonts w:cs="Arial"/>
        </w:rPr>
      </w:pPr>
      <w:r w:rsidRPr="00C56FA7">
        <w:rPr>
          <w:rFonts w:cs="Arial"/>
        </w:rPr>
        <w:t>Evidence for preventive care is promising but limited. Salway et al. (2024) showed that a digital NHS Health Check service can enhance access, but their evaluation was specific to that service</w:t>
      </w:r>
      <w:r w:rsidR="00972346" w:rsidRPr="00C56FA7">
        <w:rPr>
          <w:rFonts w:cs="Arial"/>
        </w:rPr>
        <w:t xml:space="preserve"> rather than</w:t>
      </w:r>
      <w:r w:rsidRPr="00C56FA7">
        <w:rPr>
          <w:rFonts w:cs="Arial"/>
        </w:rPr>
        <w:t xml:space="preserve"> the entire App. Overall, the evidence is strongest for convenience and reach and moderate for workflow, with limited data on clinical and economic </w:t>
      </w:r>
      <w:r w:rsidR="00C56FA7" w:rsidRPr="00C56FA7">
        <w:rPr>
          <w:rFonts w:cs="Arial"/>
        </w:rPr>
        <w:t>impacts.</w:t>
      </w:r>
    </w:p>
    <w:p w14:paraId="3FEB3241" w14:textId="77777777" w:rsidR="00095A25" w:rsidRPr="00C56FA7" w:rsidRDefault="00AF25DC" w:rsidP="00C56FA7">
      <w:pPr>
        <w:pStyle w:val="Heading2"/>
        <w:rPr>
          <w:rFonts w:ascii="Arial" w:hAnsi="Arial" w:cs="Arial"/>
        </w:rPr>
      </w:pPr>
      <w:bookmarkStart w:id="8" w:name="_Toc236006085"/>
      <w:r w:rsidRPr="00C56FA7">
        <w:rPr>
          <w:rFonts w:ascii="Arial" w:hAnsi="Arial" w:cs="Arial"/>
        </w:rPr>
        <w:t>3.3 Implementation Challenges</w:t>
      </w:r>
      <w:bookmarkEnd w:id="8"/>
    </w:p>
    <w:p w14:paraId="3CF3B384" w14:textId="77777777" w:rsidR="00095A25" w:rsidRPr="00C56FA7" w:rsidRDefault="00AF25DC" w:rsidP="00221DA4">
      <w:pPr>
        <w:spacing w:line="360" w:lineRule="auto"/>
        <w:jc w:val="both"/>
        <w:rPr>
          <w:rFonts w:cs="Arial"/>
        </w:rPr>
      </w:pPr>
      <w:r w:rsidRPr="00C56FA7">
        <w:rPr>
          <w:rFonts w:cs="Arial"/>
        </w:rPr>
        <w:t>Technical reliability and interoperability remain central. If the App does not connect smoothly with GP, hospital and pharmacy systems, patients may see incomplete information or staff may need to repeat work. Department of Health and Social Care (2022) policy supports interoperability, but policy ambition is not the same as completed implementation. Differences in local digital maturity can therefore produce unequal service quality.</w:t>
      </w:r>
    </w:p>
    <w:p w14:paraId="6C3AA8DD" w14:textId="68EFA3C2" w:rsidR="00095A25" w:rsidRPr="00C56FA7" w:rsidRDefault="00AF25DC" w:rsidP="00221DA4">
      <w:pPr>
        <w:spacing w:line="360" w:lineRule="auto"/>
        <w:jc w:val="both"/>
        <w:rPr>
          <w:rFonts w:cs="Arial"/>
        </w:rPr>
      </w:pPr>
      <w:r w:rsidRPr="00C56FA7">
        <w:rPr>
          <w:rFonts w:cs="Arial"/>
        </w:rPr>
        <w:t xml:space="preserve">Another limitation is the </w:t>
      </w:r>
      <w:r w:rsidR="00972346" w:rsidRPr="00C56FA7">
        <w:rPr>
          <w:rFonts w:cs="Arial"/>
        </w:rPr>
        <w:t>lack of robust, independent evidence on waiting-time reduction and cost-effectiveness across the entire</w:t>
      </w:r>
      <w:r w:rsidRPr="00C56FA7">
        <w:rPr>
          <w:rFonts w:cs="Arial"/>
        </w:rPr>
        <w:t xml:space="preserve"> platform. Some functions may reduce telephone queues, while easier access may increase overall demand. Future </w:t>
      </w:r>
      <w:r w:rsidR="00C56FA7" w:rsidRPr="00C56FA7">
        <w:rPr>
          <w:rFonts w:cs="Arial"/>
        </w:rPr>
        <w:t>evaluations</w:t>
      </w:r>
      <w:r w:rsidRPr="00C56FA7">
        <w:rPr>
          <w:rFonts w:cs="Arial"/>
        </w:rPr>
        <w:t xml:space="preserve"> should compare practices with different levels of App integration and measure staff time, response times, safety incidents, costs and patient outcomes over time.</w:t>
      </w:r>
    </w:p>
    <w:p w14:paraId="216D254A" w14:textId="77777777" w:rsidR="00095A25" w:rsidRPr="00C56FA7" w:rsidRDefault="00AF25DC" w:rsidP="00C56FA7">
      <w:pPr>
        <w:pStyle w:val="Heading1"/>
        <w:rPr>
          <w:rFonts w:ascii="Arial" w:hAnsi="Arial" w:cs="Arial"/>
        </w:rPr>
      </w:pPr>
      <w:bookmarkStart w:id="9" w:name="_Toc236006086"/>
      <w:r w:rsidRPr="00C56FA7">
        <w:rPr>
          <w:rFonts w:ascii="Arial" w:hAnsi="Arial" w:cs="Arial"/>
        </w:rPr>
        <w:t>4. Patient and Service User Impact</w:t>
      </w:r>
      <w:bookmarkEnd w:id="9"/>
    </w:p>
    <w:p w14:paraId="733C5D39" w14:textId="77777777" w:rsidR="00095A25" w:rsidRPr="00C56FA7" w:rsidRDefault="00AF25DC" w:rsidP="00C56FA7">
      <w:pPr>
        <w:pStyle w:val="Heading2"/>
        <w:rPr>
          <w:rFonts w:ascii="Arial" w:hAnsi="Arial" w:cs="Arial"/>
        </w:rPr>
      </w:pPr>
      <w:bookmarkStart w:id="10" w:name="_Toc236006087"/>
      <w:r w:rsidRPr="00C56FA7">
        <w:rPr>
          <w:rFonts w:ascii="Arial" w:hAnsi="Arial" w:cs="Arial"/>
        </w:rPr>
        <w:t>4.1 Access, Convenience and Empowerment</w:t>
      </w:r>
      <w:bookmarkEnd w:id="10"/>
    </w:p>
    <w:p w14:paraId="7921DD2D" w14:textId="77777777" w:rsidR="00F610D8" w:rsidRPr="00C56FA7" w:rsidRDefault="00F610D8" w:rsidP="00221DA4">
      <w:pPr>
        <w:spacing w:line="360" w:lineRule="auto"/>
        <w:jc w:val="both"/>
        <w:rPr>
          <w:rFonts w:cs="Arial"/>
        </w:rPr>
      </w:pPr>
      <w:r w:rsidRPr="00C56FA7">
        <w:rPr>
          <w:rFonts w:cs="Arial"/>
        </w:rPr>
        <w:t>The App offers practical benefits for users, such as 24/7 access to services, the ability to order repeat prescriptions without a visit, and remote access to records (NHS, n.d.). Access to records can enhance shared decision-making by helping patients remember advice, track results, and prepare questions. Reidy et al. (2025) found that while patients appreciate access and convenience, experiences vary based on confidence, trust, and local functionality.</w:t>
      </w:r>
    </w:p>
    <w:p w14:paraId="5B561F98" w14:textId="77777777" w:rsidR="00F610D8" w:rsidRPr="00C56FA7" w:rsidRDefault="00F610D8" w:rsidP="00221DA4">
      <w:pPr>
        <w:spacing w:line="360" w:lineRule="auto"/>
        <w:jc w:val="both"/>
        <w:rPr>
          <w:rFonts w:cs="Arial"/>
        </w:rPr>
      </w:pPr>
    </w:p>
    <w:p w14:paraId="11E90AD7" w14:textId="1B3D3140" w:rsidR="00095A25" w:rsidRPr="00C56FA7" w:rsidRDefault="00F610D8" w:rsidP="00221DA4">
      <w:pPr>
        <w:spacing w:line="360" w:lineRule="auto"/>
        <w:jc w:val="both"/>
        <w:rPr>
          <w:rFonts w:cs="Arial"/>
        </w:rPr>
      </w:pPr>
      <w:r w:rsidRPr="00C56FA7">
        <w:rPr>
          <w:rFonts w:cs="Arial"/>
        </w:rPr>
        <w:t xml:space="preserve">However, convenience does not equal </w:t>
      </w:r>
      <w:r w:rsidR="00C56FA7">
        <w:rPr>
          <w:rFonts w:cs="Arial"/>
        </w:rPr>
        <w:t>empowerments</w:t>
      </w:r>
      <w:r w:rsidRPr="00C56FA7">
        <w:rPr>
          <w:rFonts w:cs="Arial"/>
        </w:rPr>
        <w:t xml:space="preserve"> for all patients. Some may find it hard to interpret the information, and receiving test results without timely explanations can increase anxiety. Digital access is most effective when information is clearly presented and accompanied by appropriate clinical support. Thus, </w:t>
      </w:r>
      <w:r w:rsidR="00972346" w:rsidRPr="00C56FA7">
        <w:rPr>
          <w:rFonts w:cs="Arial"/>
        </w:rPr>
        <w:t>patient-</w:t>
      </w:r>
      <w:r w:rsidR="00C56FA7" w:rsidRPr="00C56FA7">
        <w:rPr>
          <w:rFonts w:cs="Arial"/>
        </w:rPr>
        <w:t>centered</w:t>
      </w:r>
      <w:r w:rsidRPr="00C56FA7">
        <w:rPr>
          <w:rFonts w:cs="Arial"/>
        </w:rPr>
        <w:t xml:space="preserve"> design needs both data access and assistance for understanding it.</w:t>
      </w:r>
    </w:p>
    <w:p w14:paraId="34519FDD" w14:textId="77777777" w:rsidR="00095A25" w:rsidRPr="00C56FA7" w:rsidRDefault="00AF25DC" w:rsidP="00C56FA7">
      <w:pPr>
        <w:pStyle w:val="Heading2"/>
        <w:rPr>
          <w:rFonts w:ascii="Arial" w:hAnsi="Arial" w:cs="Arial"/>
        </w:rPr>
      </w:pPr>
      <w:bookmarkStart w:id="11" w:name="_Toc236006088"/>
      <w:r w:rsidRPr="00C56FA7">
        <w:rPr>
          <w:rFonts w:ascii="Arial" w:hAnsi="Arial" w:cs="Arial"/>
        </w:rPr>
        <w:t>4.2 Privacy, Data Protection and Trust</w:t>
      </w:r>
      <w:bookmarkEnd w:id="11"/>
    </w:p>
    <w:p w14:paraId="200C783D" w14:textId="77777777" w:rsidR="00F610D8" w:rsidRPr="00C56FA7" w:rsidRDefault="00F610D8" w:rsidP="00221DA4">
      <w:pPr>
        <w:spacing w:line="360" w:lineRule="auto"/>
        <w:jc w:val="both"/>
        <w:rPr>
          <w:rFonts w:cs="Arial"/>
        </w:rPr>
      </w:pPr>
      <w:r w:rsidRPr="00C56FA7">
        <w:rPr>
          <w:rFonts w:cs="Arial"/>
        </w:rPr>
        <w:t xml:space="preserve">Health information is classified as special-category personal data under the UK GDPR, with additional protections established by the Data Protection Act 2018. NHS England serves as the primary data controller for the NHS App, while individual healthcare providers manage records within their systems. </w:t>
      </w:r>
    </w:p>
    <w:p w14:paraId="18E474EC" w14:textId="77777777" w:rsidR="00F610D8" w:rsidRPr="00C56FA7" w:rsidRDefault="00F610D8" w:rsidP="00221DA4">
      <w:pPr>
        <w:spacing w:line="360" w:lineRule="auto"/>
        <w:jc w:val="both"/>
        <w:rPr>
          <w:rFonts w:cs="Arial"/>
        </w:rPr>
      </w:pPr>
    </w:p>
    <w:p w14:paraId="45337A6D" w14:textId="64E8AB31" w:rsidR="00F610D8" w:rsidRPr="00C56FA7" w:rsidRDefault="00F610D8" w:rsidP="00221DA4">
      <w:pPr>
        <w:spacing w:line="360" w:lineRule="auto"/>
        <w:jc w:val="both"/>
        <w:rPr>
          <w:rFonts w:cs="Arial"/>
        </w:rPr>
      </w:pPr>
      <w:r w:rsidRPr="00C56FA7">
        <w:rPr>
          <w:rFonts w:cs="Arial"/>
        </w:rPr>
        <w:t xml:space="preserve">The App incorporates identity verification and access controls. However, </w:t>
      </w:r>
      <w:r w:rsidR="00C56FA7">
        <w:rPr>
          <w:rFonts w:cs="Arial"/>
        </w:rPr>
        <w:t>legal compliance alone</w:t>
      </w:r>
      <w:r w:rsidRPr="00C56FA7">
        <w:rPr>
          <w:rFonts w:cs="Arial"/>
        </w:rPr>
        <w:t xml:space="preserve"> does not ensure user trust. Users require clear information regarding what data is collected, its purpose, who can access it, and retention periods. The NHS privacy notice outlines users' rights, including </w:t>
      </w:r>
      <w:r w:rsidR="00972346" w:rsidRPr="00C56FA7">
        <w:rPr>
          <w:rFonts w:cs="Arial"/>
        </w:rPr>
        <w:t xml:space="preserve">the rights of </w:t>
      </w:r>
      <w:r w:rsidRPr="00C56FA7">
        <w:rPr>
          <w:rFonts w:cs="Arial"/>
        </w:rPr>
        <w:t xml:space="preserve">access, correction, and restriction. </w:t>
      </w:r>
    </w:p>
    <w:p w14:paraId="280E81C4" w14:textId="77777777" w:rsidR="00F610D8" w:rsidRPr="00C56FA7" w:rsidRDefault="00F610D8" w:rsidP="00221DA4">
      <w:pPr>
        <w:spacing w:line="360" w:lineRule="auto"/>
        <w:jc w:val="both"/>
        <w:rPr>
          <w:rFonts w:cs="Arial"/>
        </w:rPr>
      </w:pPr>
    </w:p>
    <w:p w14:paraId="45ABA52F" w14:textId="200394A7" w:rsidR="00095A25" w:rsidRPr="00C56FA7" w:rsidRDefault="00F610D8" w:rsidP="00221DA4">
      <w:pPr>
        <w:spacing w:line="360" w:lineRule="auto"/>
        <w:jc w:val="both"/>
        <w:rPr>
          <w:rFonts w:cs="Arial"/>
        </w:rPr>
      </w:pPr>
      <w:r w:rsidRPr="00C56FA7">
        <w:rPr>
          <w:rFonts w:cs="Arial"/>
        </w:rPr>
        <w:t>To maintain trust, transparency must remain clear as more third-party services are integrated. Regular privacy impact assessments, easily understandable notices, and prompt responses to breaches are crucial, as loss of trust can lead to decreased usage, even with strong technical security measures in place.</w:t>
      </w:r>
    </w:p>
    <w:p w14:paraId="64ECD8FC" w14:textId="77777777" w:rsidR="00095A25" w:rsidRPr="00C56FA7" w:rsidRDefault="00AF25DC" w:rsidP="00C56FA7">
      <w:pPr>
        <w:pStyle w:val="Heading2"/>
        <w:rPr>
          <w:rFonts w:ascii="Arial" w:hAnsi="Arial" w:cs="Arial"/>
        </w:rPr>
      </w:pPr>
      <w:bookmarkStart w:id="12" w:name="_Toc236006089"/>
      <w:r w:rsidRPr="00C56FA7">
        <w:rPr>
          <w:rFonts w:ascii="Arial" w:hAnsi="Arial" w:cs="Arial"/>
        </w:rPr>
        <w:t>4.3 Digital Exclusion and Health Inequalities</w:t>
      </w:r>
      <w:bookmarkEnd w:id="12"/>
    </w:p>
    <w:p w14:paraId="6D55072E" w14:textId="77777777" w:rsidR="00F610D8" w:rsidRPr="00C56FA7" w:rsidRDefault="00F610D8" w:rsidP="00221DA4">
      <w:pPr>
        <w:spacing w:line="360" w:lineRule="auto"/>
        <w:jc w:val="both"/>
        <w:rPr>
          <w:rFonts w:cs="Arial"/>
        </w:rPr>
      </w:pPr>
      <w:r w:rsidRPr="00C56FA7">
        <w:rPr>
          <w:rFonts w:cs="Arial"/>
        </w:rPr>
        <w:t>Digital access is not equal. KC et al. (2023) found that demographic and socioeconomic factors affect adoption, with those who need the App the most often not using it. Ofcom (2025) highlights that older age, disability, unstable housing, limited English proficiency, and reliance on smartphones contribute to digital disadvantage. This shows that exclusion goes beyond device ownership; affordability, skills, confidence, accessibility, and connectivity also play key roles.</w:t>
      </w:r>
    </w:p>
    <w:p w14:paraId="3B96DCAF" w14:textId="77777777" w:rsidR="00F610D8" w:rsidRPr="00C56FA7" w:rsidRDefault="00F610D8" w:rsidP="00221DA4">
      <w:pPr>
        <w:spacing w:line="360" w:lineRule="auto"/>
        <w:jc w:val="both"/>
        <w:rPr>
          <w:rFonts w:cs="Arial"/>
        </w:rPr>
      </w:pPr>
    </w:p>
    <w:p w14:paraId="4293391E" w14:textId="61F73AE9" w:rsidR="00095A25" w:rsidRPr="00C56FA7" w:rsidRDefault="00F610D8" w:rsidP="00221DA4">
      <w:pPr>
        <w:spacing w:line="360" w:lineRule="auto"/>
        <w:jc w:val="both"/>
        <w:rPr>
          <w:rFonts w:cs="Arial"/>
        </w:rPr>
      </w:pPr>
      <w:r w:rsidRPr="00C56FA7">
        <w:rPr>
          <w:rFonts w:cs="Arial"/>
        </w:rPr>
        <w:t xml:space="preserve">A </w:t>
      </w:r>
      <w:r w:rsidR="00C56FA7" w:rsidRPr="00C56FA7">
        <w:rPr>
          <w:rFonts w:cs="Arial"/>
        </w:rPr>
        <w:t>first digital</w:t>
      </w:r>
      <w:r w:rsidRPr="00C56FA7">
        <w:rPr>
          <w:rFonts w:cs="Arial"/>
        </w:rPr>
        <w:t xml:space="preserve"> approach can increase </w:t>
      </w:r>
      <w:r w:rsidR="00C56FA7" w:rsidRPr="00C56FA7">
        <w:rPr>
          <w:rFonts w:cs="Arial"/>
        </w:rPr>
        <w:t>inequality</w:t>
      </w:r>
      <w:r w:rsidRPr="00C56FA7">
        <w:rPr>
          <w:rFonts w:cs="Arial"/>
        </w:rPr>
        <w:t xml:space="preserve"> if telephone and face-to-face options are reduced. Hybrid access is essential for equity, not a rejection of innovation. Funding and evaluating assisted-digital support through libraries, community </w:t>
      </w:r>
      <w:r w:rsidR="00C56FA7" w:rsidRPr="00C56FA7">
        <w:rPr>
          <w:rFonts w:cs="Arial"/>
        </w:rPr>
        <w:t>organizations</w:t>
      </w:r>
      <w:r w:rsidRPr="00C56FA7">
        <w:rPr>
          <w:rFonts w:cs="Arial"/>
        </w:rPr>
        <w:t>, GP practices, and carers is crucial. Additionally, monitoring App usage by age, disability, deprivation, and ethnicity is necessary to ensure that national growth reflects true participation.</w:t>
      </w:r>
    </w:p>
    <w:p w14:paraId="250311A3" w14:textId="77777777" w:rsidR="00095A25" w:rsidRPr="00C56FA7" w:rsidRDefault="00AF25DC" w:rsidP="00C56FA7">
      <w:pPr>
        <w:pStyle w:val="Heading1"/>
        <w:rPr>
          <w:rFonts w:ascii="Arial" w:hAnsi="Arial" w:cs="Arial"/>
        </w:rPr>
      </w:pPr>
      <w:bookmarkStart w:id="13" w:name="_Toc236006090"/>
      <w:r w:rsidRPr="00C56FA7">
        <w:rPr>
          <w:rFonts w:ascii="Arial" w:hAnsi="Arial" w:cs="Arial"/>
        </w:rPr>
        <w:lastRenderedPageBreak/>
        <w:t>5. Community Impact</w:t>
      </w:r>
      <w:bookmarkEnd w:id="13"/>
    </w:p>
    <w:p w14:paraId="01C8569C" w14:textId="77777777" w:rsidR="00095A25" w:rsidRPr="00C56FA7" w:rsidRDefault="00AF25DC" w:rsidP="00C56FA7">
      <w:pPr>
        <w:pStyle w:val="Heading2"/>
        <w:rPr>
          <w:rFonts w:ascii="Arial" w:hAnsi="Arial" w:cs="Arial"/>
        </w:rPr>
      </w:pPr>
      <w:bookmarkStart w:id="14" w:name="_Toc236006091"/>
      <w:r w:rsidRPr="00C56FA7">
        <w:rPr>
          <w:rFonts w:ascii="Arial" w:hAnsi="Arial" w:cs="Arial"/>
        </w:rPr>
        <w:t>5.1 Geographic Access and Service Location</w:t>
      </w:r>
      <w:bookmarkEnd w:id="14"/>
    </w:p>
    <w:p w14:paraId="4C3F72D6" w14:textId="0222A490" w:rsidR="00095A25" w:rsidRPr="00C56FA7" w:rsidRDefault="00F610D8" w:rsidP="00221DA4">
      <w:pPr>
        <w:spacing w:line="360" w:lineRule="auto"/>
        <w:jc w:val="both"/>
        <w:rPr>
          <w:rFonts w:cs="Arial"/>
        </w:rPr>
      </w:pPr>
      <w:r w:rsidRPr="00C56FA7">
        <w:rPr>
          <w:rFonts w:cs="Arial"/>
        </w:rPr>
        <w:t xml:space="preserve">For rural or isolated communities, digital prescriptions and records can </w:t>
      </w:r>
      <w:r w:rsidR="00972346" w:rsidRPr="00C56FA7">
        <w:rPr>
          <w:rFonts w:cs="Arial"/>
        </w:rPr>
        <w:t>reduce</w:t>
      </w:r>
      <w:r w:rsidRPr="00C56FA7">
        <w:rPr>
          <w:rFonts w:cs="Arial"/>
        </w:rPr>
        <w:t xml:space="preserve"> unnecessary travel and enhance access to local services, aligning with national policy on community-based care (Department of Health and Social Care, 2022). However, their effectiveness hinges on reliable broadband, appropriate devices, and the availability of local services. The App cannot address issues like GP or pharmacy shortages or transportation problems, and relying on it might highlight demand that local services can't satisfy. Thus, the community benefits depend on strong connectivity and effective local pathways; in areas with weak infrastructure, reliance on the App could worsen geographical </w:t>
      </w:r>
      <w:r w:rsidR="00C56FA7" w:rsidRPr="00C56FA7">
        <w:rPr>
          <w:rFonts w:cs="Arial"/>
        </w:rPr>
        <w:t>disadvantages.</w:t>
      </w:r>
    </w:p>
    <w:p w14:paraId="39256744" w14:textId="77777777" w:rsidR="00095A25" w:rsidRPr="00C56FA7" w:rsidRDefault="00AF25DC" w:rsidP="00C56FA7">
      <w:pPr>
        <w:pStyle w:val="Heading2"/>
        <w:rPr>
          <w:rFonts w:ascii="Arial" w:hAnsi="Arial" w:cs="Arial"/>
        </w:rPr>
      </w:pPr>
      <w:bookmarkStart w:id="15" w:name="_Toc236006092"/>
      <w:r w:rsidRPr="00C56FA7">
        <w:rPr>
          <w:rFonts w:ascii="Arial" w:hAnsi="Arial" w:cs="Arial"/>
        </w:rPr>
        <w:t>5.2 Family Members and Informal Carers</w:t>
      </w:r>
      <w:bookmarkEnd w:id="15"/>
    </w:p>
    <w:p w14:paraId="2174D45A" w14:textId="77777777" w:rsidR="00F610D8" w:rsidRPr="00C56FA7" w:rsidRDefault="00F610D8" w:rsidP="00221DA4">
      <w:pPr>
        <w:spacing w:line="360" w:lineRule="auto"/>
        <w:jc w:val="both"/>
        <w:rPr>
          <w:rFonts w:cs="Arial"/>
        </w:rPr>
      </w:pPr>
      <w:r w:rsidRPr="00C56FA7">
        <w:rPr>
          <w:rFonts w:cs="Arial"/>
        </w:rPr>
        <w:t>Family and carer access allows authorized individuals to manage appointments, prescriptions, and information for those unable to use the app independently (NHS, 2026). This can reduce caregiving burdens and enhance continuity for older adults or people with disabilities. However, it is essential to protect consent, confidentiality, and safeguarding. A family relationship does not automatically grant access to health information.</w:t>
      </w:r>
    </w:p>
    <w:p w14:paraId="08234B97" w14:textId="77777777" w:rsidR="00F610D8" w:rsidRPr="00C56FA7" w:rsidRDefault="00F610D8" w:rsidP="00221DA4">
      <w:pPr>
        <w:spacing w:line="360" w:lineRule="auto"/>
        <w:jc w:val="both"/>
        <w:rPr>
          <w:rFonts w:cs="Arial"/>
        </w:rPr>
      </w:pPr>
    </w:p>
    <w:p w14:paraId="30685E0F" w14:textId="1E08A3B5" w:rsidR="00095A25" w:rsidRPr="00C56FA7" w:rsidRDefault="00F610D8" w:rsidP="00221DA4">
      <w:pPr>
        <w:spacing w:line="360" w:lineRule="auto"/>
        <w:jc w:val="both"/>
        <w:rPr>
          <w:rFonts w:cs="Arial"/>
        </w:rPr>
      </w:pPr>
      <w:r w:rsidRPr="00C56FA7">
        <w:rPr>
          <w:rFonts w:cs="Arial"/>
        </w:rPr>
        <w:t>Currently, awareness and use of proxy access are inconsistent (Reidy et al., 2025). The gap between available technology and its practical use highlights the need for co-design with carers. Providing clear instructions, appropriate identity checks, and options to limit access can help balance convenience and individual autonomy.</w:t>
      </w:r>
    </w:p>
    <w:p w14:paraId="2EED3F71" w14:textId="77777777" w:rsidR="00095A25" w:rsidRPr="00C56FA7" w:rsidRDefault="00AF25DC" w:rsidP="00221DA4">
      <w:pPr>
        <w:pStyle w:val="Heading2"/>
        <w:spacing w:line="360" w:lineRule="auto"/>
        <w:rPr>
          <w:rFonts w:ascii="Arial" w:hAnsi="Arial" w:cs="Arial"/>
          <w:sz w:val="22"/>
          <w:szCs w:val="22"/>
        </w:rPr>
      </w:pPr>
      <w:bookmarkStart w:id="16" w:name="_Toc236006093"/>
      <w:r w:rsidRPr="00C56FA7">
        <w:rPr>
          <w:rFonts w:ascii="Arial" w:hAnsi="Arial" w:cs="Arial"/>
          <w:sz w:val="22"/>
          <w:szCs w:val="22"/>
        </w:rPr>
        <w:t>5.3 Co-production and Public Health</w:t>
      </w:r>
      <w:bookmarkEnd w:id="16"/>
    </w:p>
    <w:p w14:paraId="4AAC3356" w14:textId="77777777" w:rsidR="00972346" w:rsidRPr="00C56FA7" w:rsidRDefault="00972346" w:rsidP="00221DA4">
      <w:pPr>
        <w:spacing w:line="360" w:lineRule="auto"/>
        <w:jc w:val="both"/>
        <w:rPr>
          <w:rFonts w:cs="Arial"/>
        </w:rPr>
      </w:pPr>
      <w:r w:rsidRPr="00C56FA7">
        <w:rPr>
          <w:rFonts w:cs="Arial"/>
        </w:rPr>
        <w:t>The App can enhance co-production by giving patients better access to information and feedback channels. However, real co-production goes beyond using a finished product; it requires users to influence design decisions. Individuals who are digitally excluded, disabled, or have limited English skills should actively participate in testing accessibility and communication.</w:t>
      </w:r>
    </w:p>
    <w:p w14:paraId="161EC21F" w14:textId="77777777" w:rsidR="00972346" w:rsidRPr="00C56FA7" w:rsidRDefault="00972346" w:rsidP="00221DA4">
      <w:pPr>
        <w:spacing w:line="360" w:lineRule="auto"/>
        <w:jc w:val="both"/>
        <w:rPr>
          <w:rFonts w:cs="Arial"/>
        </w:rPr>
      </w:pPr>
    </w:p>
    <w:p w14:paraId="5C97B3C1" w14:textId="01CA875E" w:rsidR="00095A25" w:rsidRPr="00C56FA7" w:rsidRDefault="00972346" w:rsidP="00221DA4">
      <w:pPr>
        <w:spacing w:line="360" w:lineRule="auto"/>
        <w:jc w:val="both"/>
        <w:rPr>
          <w:rFonts w:cs="Arial"/>
        </w:rPr>
      </w:pPr>
      <w:r w:rsidRPr="00C56FA7">
        <w:rPr>
          <w:rFonts w:cs="Arial"/>
        </w:rPr>
        <w:t>From a public health standpoint, digital health checks, vaccination services, and preventive messages can quickly reach large populations. Salway et al. (2024) indicate that digital delivery can foster preventive engagement, and national App usage shows scalability (NHS England Digital, 2026). However, population reach may be inflated if engagement is mainly among already involved users. Public health evaluations should focus on identifying those who are not reached as much as those who are.</w:t>
      </w:r>
    </w:p>
    <w:p w14:paraId="42D7E873" w14:textId="77777777" w:rsidR="00095A25" w:rsidRPr="00C56FA7" w:rsidRDefault="00AF25DC" w:rsidP="00C56FA7">
      <w:pPr>
        <w:pStyle w:val="Heading1"/>
        <w:rPr>
          <w:rFonts w:ascii="Arial" w:hAnsi="Arial" w:cs="Arial"/>
        </w:rPr>
      </w:pPr>
      <w:bookmarkStart w:id="17" w:name="_Toc236006094"/>
      <w:r w:rsidRPr="00C56FA7">
        <w:rPr>
          <w:rFonts w:ascii="Arial" w:hAnsi="Arial" w:cs="Arial"/>
        </w:rPr>
        <w:lastRenderedPageBreak/>
        <w:t>6. Conclusion and Recommendations</w:t>
      </w:r>
      <w:bookmarkEnd w:id="17"/>
    </w:p>
    <w:p w14:paraId="6FFD6ED9" w14:textId="77777777" w:rsidR="00095A25" w:rsidRPr="00C56FA7" w:rsidRDefault="00AF25DC" w:rsidP="00C56FA7">
      <w:pPr>
        <w:pStyle w:val="Heading2"/>
        <w:rPr>
          <w:rFonts w:ascii="Arial" w:hAnsi="Arial" w:cs="Arial"/>
        </w:rPr>
      </w:pPr>
      <w:bookmarkStart w:id="18" w:name="_Toc236006095"/>
      <w:r w:rsidRPr="00C56FA7">
        <w:rPr>
          <w:rFonts w:ascii="Arial" w:hAnsi="Arial" w:cs="Arial"/>
        </w:rPr>
        <w:t>6.1 Conclusion</w:t>
      </w:r>
      <w:bookmarkEnd w:id="18"/>
    </w:p>
    <w:p w14:paraId="0BCC6DD0" w14:textId="5DEE4F71" w:rsidR="00972346" w:rsidRPr="00C56FA7" w:rsidRDefault="00972346" w:rsidP="00221DA4">
      <w:pPr>
        <w:spacing w:line="360" w:lineRule="auto"/>
        <w:jc w:val="both"/>
        <w:rPr>
          <w:rFonts w:cs="Arial"/>
        </w:rPr>
      </w:pPr>
      <w:r w:rsidRPr="00C56FA7">
        <w:rPr>
          <w:rFonts w:cs="Arial"/>
        </w:rPr>
        <w:t>The NHS App is a significant digital innovation with widespread adoption. Its main advantages include convenience, scalable access to routine services, and reduced unnecessary administrative tasks. However, registration and login numbers do not indicate improved care quality. National statistics effectively measure usage, while observational and qualitative studies offer limited insights into outcomes and cost-effectiveness.</w:t>
      </w:r>
    </w:p>
    <w:p w14:paraId="02464FF6" w14:textId="77777777" w:rsidR="00972346" w:rsidRPr="00C56FA7" w:rsidRDefault="00972346" w:rsidP="00221DA4">
      <w:pPr>
        <w:spacing w:line="360" w:lineRule="auto"/>
        <w:jc w:val="both"/>
        <w:rPr>
          <w:rFonts w:cs="Arial"/>
        </w:rPr>
      </w:pPr>
    </w:p>
    <w:p w14:paraId="5405D6C8" w14:textId="2916A110" w:rsidR="00095A25" w:rsidRPr="00C56FA7" w:rsidRDefault="00972346" w:rsidP="00221DA4">
      <w:pPr>
        <w:spacing w:line="360" w:lineRule="auto"/>
        <w:jc w:val="both"/>
        <w:rPr>
          <w:rFonts w:cs="Arial"/>
        </w:rPr>
      </w:pPr>
      <w:r w:rsidRPr="00C56FA7">
        <w:rPr>
          <w:rFonts w:cs="Arial"/>
        </w:rPr>
        <w:t xml:space="preserve">While the NHS App serves well as a digital access platform, its long-term success relies on workforce capacity, interoperability, privacy, digital inclusion, and the maintenance of non-digital options. It should improve service redesign rather than replace staff or physical services. Without targeted support, benefits may </w:t>
      </w:r>
      <w:r w:rsidR="00C56FA7" w:rsidRPr="00C56FA7">
        <w:rPr>
          <w:rFonts w:cs="Arial"/>
        </w:rPr>
        <w:t>favor</w:t>
      </w:r>
      <w:r w:rsidRPr="00C56FA7">
        <w:rPr>
          <w:rFonts w:cs="Arial"/>
        </w:rPr>
        <w:t xml:space="preserve"> already advantaged users, potentially increasing inequalities.</w:t>
      </w:r>
    </w:p>
    <w:p w14:paraId="7F0D8E52" w14:textId="77777777" w:rsidR="00095A25" w:rsidRPr="00C56FA7" w:rsidRDefault="00AF25DC" w:rsidP="00C56FA7">
      <w:pPr>
        <w:pStyle w:val="Heading2"/>
        <w:rPr>
          <w:rFonts w:ascii="Arial" w:hAnsi="Arial" w:cs="Arial"/>
        </w:rPr>
      </w:pPr>
      <w:bookmarkStart w:id="19" w:name="_Toc236006096"/>
      <w:r w:rsidRPr="00C56FA7">
        <w:rPr>
          <w:rFonts w:ascii="Arial" w:hAnsi="Arial" w:cs="Arial"/>
        </w:rPr>
        <w:t>6.2 Recommendations</w:t>
      </w:r>
      <w:bookmarkEnd w:id="19"/>
    </w:p>
    <w:p w14:paraId="4619CD8F" w14:textId="4CE9FD67" w:rsidR="00095A25" w:rsidRPr="00C56FA7" w:rsidRDefault="00AF25DC" w:rsidP="00221DA4">
      <w:pPr>
        <w:spacing w:line="360" w:lineRule="auto"/>
        <w:jc w:val="both"/>
        <w:rPr>
          <w:rFonts w:cs="Arial"/>
        </w:rPr>
      </w:pPr>
      <w:r w:rsidRPr="00C56FA7">
        <w:rPr>
          <w:rFonts w:cs="Arial"/>
        </w:rPr>
        <w:t xml:space="preserve">Table 1 translates the critical findings into practical actions. The recommendations prioritise measurable implementation rather than </w:t>
      </w:r>
      <w:r w:rsidR="00C56FA7" w:rsidRPr="00C56FA7">
        <w:rPr>
          <w:rFonts w:cs="Arial"/>
        </w:rPr>
        <w:t>if</w:t>
      </w:r>
      <w:r w:rsidRPr="00C56FA7">
        <w:rPr>
          <w:rFonts w:cs="Arial"/>
        </w:rPr>
        <w:t xml:space="preserve"> further expansion alone will improve outcomes.</w:t>
      </w:r>
    </w:p>
    <w:tbl>
      <w:tblPr>
        <w:tblStyle w:val="TableGrid"/>
        <w:tblW w:w="0" w:type="auto"/>
        <w:jc w:val="center"/>
        <w:tblLook w:val="04A0" w:firstRow="1" w:lastRow="0" w:firstColumn="1" w:lastColumn="0" w:noHBand="0" w:noVBand="1"/>
      </w:tblPr>
      <w:tblGrid>
        <w:gridCol w:w="3211"/>
        <w:gridCol w:w="3214"/>
        <w:gridCol w:w="3213"/>
      </w:tblGrid>
      <w:tr w:rsidR="00095A25" w:rsidRPr="00C56FA7" w14:paraId="3810BA7F" w14:textId="77777777">
        <w:trPr>
          <w:jc w:val="center"/>
        </w:trPr>
        <w:tc>
          <w:tcPr>
            <w:tcW w:w="3216" w:type="dxa"/>
            <w:vAlign w:val="center"/>
          </w:tcPr>
          <w:p w14:paraId="66EFC4D5" w14:textId="77777777" w:rsidR="00095A25" w:rsidRPr="00C56FA7" w:rsidRDefault="00AF25DC" w:rsidP="00221DA4">
            <w:pPr>
              <w:spacing w:line="360" w:lineRule="auto"/>
              <w:rPr>
                <w:rFonts w:cs="Arial"/>
              </w:rPr>
            </w:pPr>
            <w:r w:rsidRPr="00C56FA7">
              <w:rPr>
                <w:rFonts w:cs="Arial"/>
                <w:b/>
              </w:rPr>
              <w:t>Area</w:t>
            </w:r>
          </w:p>
        </w:tc>
        <w:tc>
          <w:tcPr>
            <w:tcW w:w="3216" w:type="dxa"/>
            <w:vAlign w:val="center"/>
          </w:tcPr>
          <w:p w14:paraId="175F1013" w14:textId="77777777" w:rsidR="00095A25" w:rsidRPr="00C56FA7" w:rsidRDefault="00AF25DC" w:rsidP="00221DA4">
            <w:pPr>
              <w:spacing w:line="360" w:lineRule="auto"/>
              <w:rPr>
                <w:rFonts w:cs="Arial"/>
              </w:rPr>
            </w:pPr>
            <w:r w:rsidRPr="00C56FA7">
              <w:rPr>
                <w:rFonts w:cs="Arial"/>
                <w:b/>
              </w:rPr>
              <w:t>Recommendation</w:t>
            </w:r>
          </w:p>
        </w:tc>
        <w:tc>
          <w:tcPr>
            <w:tcW w:w="3216" w:type="dxa"/>
            <w:vAlign w:val="center"/>
          </w:tcPr>
          <w:p w14:paraId="34F86392" w14:textId="77777777" w:rsidR="00095A25" w:rsidRPr="00C56FA7" w:rsidRDefault="00AF25DC" w:rsidP="00221DA4">
            <w:pPr>
              <w:spacing w:line="360" w:lineRule="auto"/>
              <w:rPr>
                <w:rFonts w:cs="Arial"/>
              </w:rPr>
            </w:pPr>
            <w:r w:rsidRPr="00C56FA7">
              <w:rPr>
                <w:rFonts w:cs="Arial"/>
                <w:b/>
              </w:rPr>
              <w:t>Measure of progress</w:t>
            </w:r>
          </w:p>
        </w:tc>
      </w:tr>
      <w:tr w:rsidR="00095A25" w:rsidRPr="00C56FA7" w14:paraId="5C67CDD3" w14:textId="77777777">
        <w:trPr>
          <w:jc w:val="center"/>
        </w:trPr>
        <w:tc>
          <w:tcPr>
            <w:tcW w:w="3216" w:type="dxa"/>
          </w:tcPr>
          <w:p w14:paraId="74CF6789" w14:textId="77777777" w:rsidR="00095A25" w:rsidRPr="00C56FA7" w:rsidRDefault="00AF25DC" w:rsidP="00221DA4">
            <w:pPr>
              <w:spacing w:line="360" w:lineRule="auto"/>
              <w:rPr>
                <w:rFonts w:cs="Arial"/>
              </w:rPr>
            </w:pPr>
            <w:r w:rsidRPr="00C56FA7">
              <w:rPr>
                <w:rFonts w:cs="Arial"/>
              </w:rPr>
              <w:t>Digital inclusion</w:t>
            </w:r>
          </w:p>
        </w:tc>
        <w:tc>
          <w:tcPr>
            <w:tcW w:w="3216" w:type="dxa"/>
          </w:tcPr>
          <w:p w14:paraId="53C3E4F6" w14:textId="6276BEB5" w:rsidR="00095A25" w:rsidRPr="00C56FA7" w:rsidRDefault="00972346" w:rsidP="00221DA4">
            <w:pPr>
              <w:spacing w:line="360" w:lineRule="auto"/>
              <w:rPr>
                <w:rFonts w:cs="Arial"/>
              </w:rPr>
            </w:pPr>
            <w:r w:rsidRPr="00C56FA7">
              <w:rPr>
                <w:rFonts w:cs="Arial"/>
              </w:rPr>
              <w:t xml:space="preserve">Provide funded digital support and maintain telephone and in-person </w:t>
            </w:r>
            <w:r w:rsidR="00875F64" w:rsidRPr="00C56FA7">
              <w:rPr>
                <w:rFonts w:cs="Arial"/>
              </w:rPr>
              <w:t>access.</w:t>
            </w:r>
          </w:p>
        </w:tc>
        <w:tc>
          <w:tcPr>
            <w:tcW w:w="3216" w:type="dxa"/>
          </w:tcPr>
          <w:p w14:paraId="1D338451" w14:textId="594DD8FA" w:rsidR="00095A25" w:rsidRPr="00C56FA7" w:rsidRDefault="00972346" w:rsidP="00221DA4">
            <w:pPr>
              <w:spacing w:line="360" w:lineRule="auto"/>
              <w:rPr>
                <w:rFonts w:cs="Arial"/>
              </w:rPr>
            </w:pPr>
            <w:r w:rsidRPr="00C56FA7">
              <w:rPr>
                <w:rFonts w:cs="Arial"/>
              </w:rPr>
              <w:t xml:space="preserve">Usage gaps related to age, disability, deprivation, and ethnicity decrease over </w:t>
            </w:r>
            <w:r w:rsidR="00875F64" w:rsidRPr="00C56FA7">
              <w:rPr>
                <w:rFonts w:cs="Arial"/>
              </w:rPr>
              <w:t>time.</w:t>
            </w:r>
          </w:p>
        </w:tc>
      </w:tr>
      <w:tr w:rsidR="00095A25" w:rsidRPr="00C56FA7" w14:paraId="4E94B5AE" w14:textId="77777777">
        <w:trPr>
          <w:jc w:val="center"/>
        </w:trPr>
        <w:tc>
          <w:tcPr>
            <w:tcW w:w="3216" w:type="dxa"/>
          </w:tcPr>
          <w:p w14:paraId="154FEC8D" w14:textId="77777777" w:rsidR="00095A25" w:rsidRPr="00C56FA7" w:rsidRDefault="00AF25DC" w:rsidP="00221DA4">
            <w:pPr>
              <w:spacing w:line="360" w:lineRule="auto"/>
              <w:rPr>
                <w:rFonts w:cs="Arial"/>
              </w:rPr>
            </w:pPr>
            <w:r w:rsidRPr="00C56FA7">
              <w:rPr>
                <w:rFonts w:cs="Arial"/>
              </w:rPr>
              <w:t>Workforce</w:t>
            </w:r>
          </w:p>
        </w:tc>
        <w:tc>
          <w:tcPr>
            <w:tcW w:w="3216" w:type="dxa"/>
          </w:tcPr>
          <w:p w14:paraId="363288FB" w14:textId="48FF3614" w:rsidR="00095A25" w:rsidRPr="00C56FA7" w:rsidRDefault="00972346" w:rsidP="00221DA4">
            <w:pPr>
              <w:spacing w:line="360" w:lineRule="auto"/>
              <w:rPr>
                <w:rFonts w:cs="Arial"/>
              </w:rPr>
            </w:pPr>
            <w:r w:rsidRPr="00C56FA7">
              <w:rPr>
                <w:rFonts w:cs="Arial"/>
              </w:rPr>
              <w:t xml:space="preserve">Deliver </w:t>
            </w:r>
            <w:r w:rsidR="00C56FA7" w:rsidRPr="00C56FA7">
              <w:rPr>
                <w:rFonts w:cs="Arial"/>
              </w:rPr>
              <w:t>specialized</w:t>
            </w:r>
            <w:r w:rsidRPr="00C56FA7">
              <w:rPr>
                <w:rFonts w:cs="Arial"/>
              </w:rPr>
              <w:t xml:space="preserve"> training in digital triage, governance, accessibility, and cybersecurity.</w:t>
            </w:r>
          </w:p>
        </w:tc>
        <w:tc>
          <w:tcPr>
            <w:tcW w:w="3216" w:type="dxa"/>
          </w:tcPr>
          <w:p w14:paraId="4BBDE205" w14:textId="1A89DEB1" w:rsidR="00095A25" w:rsidRPr="00C56FA7" w:rsidRDefault="00972346" w:rsidP="00221DA4">
            <w:pPr>
              <w:spacing w:line="360" w:lineRule="auto"/>
              <w:rPr>
                <w:rFonts w:cs="Arial"/>
              </w:rPr>
            </w:pPr>
            <w:r w:rsidRPr="00C56FA7">
              <w:rPr>
                <w:rFonts w:cs="Arial"/>
              </w:rPr>
              <w:t>We're excited to share that we've wrapped up our training! The team is feeling more confident, and we're also keeping an eye on our digital workload.</w:t>
            </w:r>
          </w:p>
        </w:tc>
      </w:tr>
      <w:tr w:rsidR="00095A25" w:rsidRPr="00C56FA7" w14:paraId="57FA49D1" w14:textId="77777777">
        <w:trPr>
          <w:jc w:val="center"/>
        </w:trPr>
        <w:tc>
          <w:tcPr>
            <w:tcW w:w="3216" w:type="dxa"/>
          </w:tcPr>
          <w:p w14:paraId="3A0AA236" w14:textId="77777777" w:rsidR="00095A25" w:rsidRPr="00C56FA7" w:rsidRDefault="00AF25DC" w:rsidP="00221DA4">
            <w:pPr>
              <w:spacing w:line="360" w:lineRule="auto"/>
              <w:rPr>
                <w:rFonts w:cs="Arial"/>
              </w:rPr>
            </w:pPr>
            <w:r w:rsidRPr="00C56FA7">
              <w:rPr>
                <w:rFonts w:cs="Arial"/>
              </w:rPr>
              <w:t>Service delivery</w:t>
            </w:r>
          </w:p>
        </w:tc>
        <w:tc>
          <w:tcPr>
            <w:tcW w:w="3216" w:type="dxa"/>
          </w:tcPr>
          <w:p w14:paraId="44FDCED4" w14:textId="3630E70C" w:rsidR="00095A25" w:rsidRPr="00C56FA7" w:rsidRDefault="00972346" w:rsidP="00221DA4">
            <w:pPr>
              <w:spacing w:line="360" w:lineRule="auto"/>
              <w:rPr>
                <w:rFonts w:cs="Arial"/>
              </w:rPr>
            </w:pPr>
            <w:r w:rsidRPr="00C56FA7">
              <w:rPr>
                <w:rFonts w:cs="Arial"/>
              </w:rPr>
              <w:t>Integrate app functions with local clinical and administrative processes.</w:t>
            </w:r>
          </w:p>
        </w:tc>
        <w:tc>
          <w:tcPr>
            <w:tcW w:w="3216" w:type="dxa"/>
          </w:tcPr>
          <w:p w14:paraId="57F4735B" w14:textId="0D1C7A6C" w:rsidR="00095A25" w:rsidRPr="00C56FA7" w:rsidRDefault="00972346" w:rsidP="00221DA4">
            <w:pPr>
              <w:spacing w:line="360" w:lineRule="auto"/>
              <w:rPr>
                <w:rFonts w:cs="Arial"/>
              </w:rPr>
            </w:pPr>
            <w:r w:rsidRPr="00C56FA7">
              <w:rPr>
                <w:rFonts w:cs="Arial"/>
              </w:rPr>
              <w:t>Duplication, response times, and safety incidents are tracked and reduced.</w:t>
            </w:r>
          </w:p>
        </w:tc>
      </w:tr>
      <w:tr w:rsidR="00095A25" w:rsidRPr="00C56FA7" w14:paraId="3059BDA0" w14:textId="77777777">
        <w:trPr>
          <w:jc w:val="center"/>
        </w:trPr>
        <w:tc>
          <w:tcPr>
            <w:tcW w:w="3216" w:type="dxa"/>
          </w:tcPr>
          <w:p w14:paraId="37EEB603" w14:textId="77777777" w:rsidR="00095A25" w:rsidRPr="00C56FA7" w:rsidRDefault="00AF25DC" w:rsidP="00221DA4">
            <w:pPr>
              <w:spacing w:line="360" w:lineRule="auto"/>
              <w:rPr>
                <w:rFonts w:cs="Arial"/>
              </w:rPr>
            </w:pPr>
            <w:r w:rsidRPr="00C56FA7">
              <w:rPr>
                <w:rFonts w:cs="Arial"/>
              </w:rPr>
              <w:t>Evidence</w:t>
            </w:r>
          </w:p>
        </w:tc>
        <w:tc>
          <w:tcPr>
            <w:tcW w:w="3216" w:type="dxa"/>
          </w:tcPr>
          <w:p w14:paraId="5BC957D2" w14:textId="41079E16" w:rsidR="00095A25" w:rsidRPr="00C56FA7" w:rsidRDefault="00972346" w:rsidP="00221DA4">
            <w:pPr>
              <w:spacing w:line="360" w:lineRule="auto"/>
              <w:rPr>
                <w:rFonts w:cs="Arial"/>
              </w:rPr>
            </w:pPr>
            <w:r w:rsidRPr="00C56FA7">
              <w:rPr>
                <w:rFonts w:cs="Arial"/>
              </w:rPr>
              <w:t>Conduct independent evaluations of effectiveness and cost over time.</w:t>
            </w:r>
          </w:p>
        </w:tc>
        <w:tc>
          <w:tcPr>
            <w:tcW w:w="3216" w:type="dxa"/>
          </w:tcPr>
          <w:p w14:paraId="563AFF1C" w14:textId="3F5505F1" w:rsidR="00095A25" w:rsidRPr="00C56FA7" w:rsidRDefault="00875F64" w:rsidP="00221DA4">
            <w:pPr>
              <w:spacing w:line="360" w:lineRule="auto"/>
              <w:rPr>
                <w:rFonts w:cs="Arial"/>
              </w:rPr>
            </w:pPr>
            <w:r w:rsidRPr="00C56FA7">
              <w:rPr>
                <w:rFonts w:cs="Arial"/>
              </w:rPr>
              <w:t>Analyse</w:t>
            </w:r>
            <w:r w:rsidR="00972346" w:rsidRPr="00C56FA7">
              <w:rPr>
                <w:rFonts w:cs="Arial"/>
              </w:rPr>
              <w:t xml:space="preserve"> staff time, costs, waiting times, and patient outcomes to see how they measure up!</w:t>
            </w:r>
          </w:p>
        </w:tc>
      </w:tr>
      <w:tr w:rsidR="00095A25" w:rsidRPr="00C56FA7" w14:paraId="655A7219" w14:textId="77777777">
        <w:trPr>
          <w:jc w:val="center"/>
        </w:trPr>
        <w:tc>
          <w:tcPr>
            <w:tcW w:w="3216" w:type="dxa"/>
          </w:tcPr>
          <w:p w14:paraId="7DCC5E8A" w14:textId="77777777" w:rsidR="00095A25" w:rsidRPr="00C56FA7" w:rsidRDefault="00AF25DC" w:rsidP="00221DA4">
            <w:pPr>
              <w:spacing w:line="360" w:lineRule="auto"/>
              <w:rPr>
                <w:rFonts w:cs="Arial"/>
              </w:rPr>
            </w:pPr>
            <w:r w:rsidRPr="00C56FA7">
              <w:rPr>
                <w:rFonts w:cs="Arial"/>
              </w:rPr>
              <w:lastRenderedPageBreak/>
              <w:t>Data protection</w:t>
            </w:r>
          </w:p>
        </w:tc>
        <w:tc>
          <w:tcPr>
            <w:tcW w:w="3216" w:type="dxa"/>
          </w:tcPr>
          <w:p w14:paraId="2453D5E9" w14:textId="28065A6C" w:rsidR="00095A25" w:rsidRPr="00C56FA7" w:rsidRDefault="00875F64" w:rsidP="00221DA4">
            <w:pPr>
              <w:spacing w:line="360" w:lineRule="auto"/>
              <w:rPr>
                <w:rFonts w:cs="Arial"/>
              </w:rPr>
            </w:pPr>
            <w:r w:rsidRPr="00C56FA7">
              <w:rPr>
                <w:rFonts w:cs="Arial"/>
              </w:rPr>
              <w:t>Keep</w:t>
            </w:r>
            <w:r w:rsidR="00972346" w:rsidRPr="00C56FA7">
              <w:rPr>
                <w:rFonts w:cs="Arial"/>
              </w:rPr>
              <w:t xml:space="preserve"> our privacy notices simple and clear, and don't forget to regularly do some data-protection impact assessments to stay on top of things</w:t>
            </w:r>
            <w:r w:rsidRPr="00C56FA7">
              <w:rPr>
                <w:rFonts w:cs="Arial"/>
              </w:rPr>
              <w:t>.</w:t>
            </w:r>
          </w:p>
        </w:tc>
        <w:tc>
          <w:tcPr>
            <w:tcW w:w="3216" w:type="dxa"/>
          </w:tcPr>
          <w:p w14:paraId="3F421633" w14:textId="52DAFBD6" w:rsidR="00095A25" w:rsidRPr="00C56FA7" w:rsidRDefault="00972346" w:rsidP="00221DA4">
            <w:pPr>
              <w:spacing w:line="360" w:lineRule="auto"/>
              <w:rPr>
                <w:rFonts w:cs="Arial"/>
              </w:rPr>
            </w:pPr>
            <w:r w:rsidRPr="00C56FA7">
              <w:rPr>
                <w:rFonts w:cs="Arial"/>
              </w:rPr>
              <w:t>We take the time to listen to our users, address any concerns, and ensure that security incidents are carefully reviewed.</w:t>
            </w:r>
          </w:p>
        </w:tc>
      </w:tr>
      <w:tr w:rsidR="00095A25" w:rsidRPr="00C56FA7" w14:paraId="45EA67E3" w14:textId="77777777">
        <w:trPr>
          <w:jc w:val="center"/>
        </w:trPr>
        <w:tc>
          <w:tcPr>
            <w:tcW w:w="3216" w:type="dxa"/>
          </w:tcPr>
          <w:p w14:paraId="59D82589" w14:textId="77777777" w:rsidR="00095A25" w:rsidRPr="00C56FA7" w:rsidRDefault="00AF25DC" w:rsidP="00221DA4">
            <w:pPr>
              <w:spacing w:line="360" w:lineRule="auto"/>
              <w:rPr>
                <w:rFonts w:cs="Arial"/>
              </w:rPr>
            </w:pPr>
            <w:r w:rsidRPr="00C56FA7">
              <w:rPr>
                <w:rFonts w:cs="Arial"/>
              </w:rPr>
              <w:t>Carers and community</w:t>
            </w:r>
          </w:p>
        </w:tc>
        <w:tc>
          <w:tcPr>
            <w:tcW w:w="3216" w:type="dxa"/>
          </w:tcPr>
          <w:p w14:paraId="5424EDA8" w14:textId="21F6AA6D" w:rsidR="00095A25" w:rsidRPr="00C56FA7" w:rsidRDefault="00972346" w:rsidP="00221DA4">
            <w:pPr>
              <w:spacing w:line="360" w:lineRule="auto"/>
              <w:rPr>
                <w:rFonts w:cs="Arial"/>
              </w:rPr>
            </w:pPr>
            <w:r w:rsidRPr="00C56FA7">
              <w:rPr>
                <w:rFonts w:cs="Arial"/>
              </w:rPr>
              <w:t>Let's make it easier for everyone to have a say in proxy access, and work together with people from different backgrounds to create improvements</w:t>
            </w:r>
            <w:r w:rsidR="00AF25DC" w:rsidRPr="00C56FA7">
              <w:rPr>
                <w:rFonts w:cs="Arial"/>
              </w:rPr>
              <w:t>.</w:t>
            </w:r>
          </w:p>
        </w:tc>
        <w:tc>
          <w:tcPr>
            <w:tcW w:w="3216" w:type="dxa"/>
          </w:tcPr>
          <w:p w14:paraId="27BE2DA9" w14:textId="35FC0FCB" w:rsidR="00095A25" w:rsidRPr="00C56FA7" w:rsidRDefault="00972346" w:rsidP="00221DA4">
            <w:pPr>
              <w:spacing w:line="360" w:lineRule="auto"/>
              <w:rPr>
                <w:rFonts w:cs="Arial"/>
              </w:rPr>
            </w:pPr>
            <w:r w:rsidRPr="00C56FA7">
              <w:rPr>
                <w:rFonts w:cs="Arial"/>
              </w:rPr>
              <w:t>Proxy uptake and user experience enhance without breaching confidentiality.</w:t>
            </w:r>
          </w:p>
        </w:tc>
      </w:tr>
    </w:tbl>
    <w:p w14:paraId="4CA051D8" w14:textId="77777777" w:rsidR="00095A25" w:rsidRPr="00C56FA7" w:rsidRDefault="00AF25DC" w:rsidP="00C56FA7">
      <w:pPr>
        <w:pStyle w:val="Heading4"/>
        <w:rPr>
          <w:rFonts w:ascii="Arial" w:hAnsi="Arial" w:cs="Arial"/>
        </w:rPr>
      </w:pPr>
      <w:r w:rsidRPr="00C56FA7">
        <w:rPr>
          <w:rFonts w:ascii="Arial" w:hAnsi="Arial" w:cs="Arial"/>
        </w:rPr>
        <w:t>Table 1: Recommendations arising from the critical evaluation (Source: Author).</w:t>
      </w:r>
    </w:p>
    <w:p w14:paraId="3D70B844" w14:textId="77777777" w:rsidR="00095A25" w:rsidRPr="00C56FA7" w:rsidRDefault="00AF25DC" w:rsidP="00221DA4">
      <w:pPr>
        <w:spacing w:line="360" w:lineRule="auto"/>
        <w:rPr>
          <w:rFonts w:cs="Arial"/>
        </w:rPr>
      </w:pPr>
      <w:r w:rsidRPr="00C56FA7">
        <w:rPr>
          <w:rFonts w:cs="Arial"/>
        </w:rPr>
        <w:br w:type="page"/>
      </w:r>
    </w:p>
    <w:p w14:paraId="2859D8A7" w14:textId="77777777" w:rsidR="00095A25" w:rsidRPr="00C56FA7" w:rsidRDefault="00AF25DC" w:rsidP="00C56FA7">
      <w:pPr>
        <w:pStyle w:val="Heading1"/>
        <w:rPr>
          <w:rFonts w:ascii="Arial" w:hAnsi="Arial" w:cs="Arial"/>
        </w:rPr>
      </w:pPr>
      <w:bookmarkStart w:id="20" w:name="_Toc236006097"/>
      <w:r w:rsidRPr="00C56FA7">
        <w:rPr>
          <w:rFonts w:ascii="Arial" w:hAnsi="Arial" w:cs="Arial"/>
        </w:rPr>
        <w:lastRenderedPageBreak/>
        <w:t>Reference List</w:t>
      </w:r>
      <w:bookmarkEnd w:id="20"/>
    </w:p>
    <w:p w14:paraId="19D9513E" w14:textId="7A053B6D" w:rsidR="00095A25" w:rsidRPr="00C56FA7" w:rsidRDefault="00AF25DC" w:rsidP="00221DA4">
      <w:pPr>
        <w:spacing w:line="360" w:lineRule="auto"/>
        <w:ind w:left="432" w:hanging="432"/>
        <w:rPr>
          <w:rFonts w:cs="Arial"/>
        </w:rPr>
      </w:pPr>
      <w:r w:rsidRPr="00C56FA7">
        <w:rPr>
          <w:rFonts w:cs="Arial"/>
        </w:rPr>
        <w:t xml:space="preserve">Department of Health and Social Care (2022) </w:t>
      </w:r>
      <w:r w:rsidRPr="00C56FA7">
        <w:rPr>
          <w:rFonts w:cs="Arial"/>
          <w:i/>
          <w:iCs/>
        </w:rPr>
        <w:t>A plan for digital health and social care</w:t>
      </w:r>
      <w:r w:rsidRPr="00C56FA7">
        <w:rPr>
          <w:rFonts w:cs="Arial"/>
        </w:rPr>
        <w:t xml:space="preserve">. Available at: </w:t>
      </w:r>
      <w:hyperlink r:id="rId9" w:history="1">
        <w:r w:rsidR="00875F64" w:rsidRPr="00C56FA7">
          <w:rPr>
            <w:rStyle w:val="Hyperlink"/>
            <w:rFonts w:cs="Arial"/>
          </w:rPr>
          <w:t>https://www.gov.uk/government/publications/a-plan-for-digital-health-and-social-care/a-plan-for-digital-health-and-social-care</w:t>
        </w:r>
      </w:hyperlink>
      <w:r w:rsidR="00875F64" w:rsidRPr="00C56FA7">
        <w:rPr>
          <w:rFonts w:cs="Arial"/>
        </w:rPr>
        <w:t xml:space="preserve"> </w:t>
      </w:r>
      <w:r w:rsidRPr="00C56FA7">
        <w:rPr>
          <w:rFonts w:cs="Arial"/>
        </w:rPr>
        <w:t xml:space="preserve"> (Accessed: 26 July 2026).</w:t>
      </w:r>
    </w:p>
    <w:p w14:paraId="410E7171" w14:textId="45279B12" w:rsidR="00095A25" w:rsidRPr="00C56FA7" w:rsidRDefault="00AF25DC" w:rsidP="00221DA4">
      <w:pPr>
        <w:spacing w:line="360" w:lineRule="auto"/>
        <w:ind w:left="432" w:hanging="432"/>
        <w:rPr>
          <w:rFonts w:cs="Arial"/>
        </w:rPr>
      </w:pPr>
      <w:r w:rsidRPr="00C56FA7">
        <w:rPr>
          <w:rFonts w:cs="Arial"/>
        </w:rPr>
        <w:t xml:space="preserve">Garratt, K., Kirk-Wade, E., Harker, R. and Mirza-Davies, J. (2024) The NHS workforce in England. </w:t>
      </w:r>
      <w:r w:rsidRPr="00C56FA7">
        <w:rPr>
          <w:rFonts w:cs="Arial"/>
          <w:i/>
          <w:iCs/>
        </w:rPr>
        <w:t>House of Commons Library Research Briefing CBP-9731</w:t>
      </w:r>
      <w:r w:rsidRPr="00C56FA7">
        <w:rPr>
          <w:rFonts w:cs="Arial"/>
        </w:rPr>
        <w:t xml:space="preserve">. Available at: </w:t>
      </w:r>
      <w:hyperlink r:id="rId10" w:history="1">
        <w:r w:rsidR="00875F64" w:rsidRPr="00C56FA7">
          <w:rPr>
            <w:rStyle w:val="Hyperlink"/>
            <w:rFonts w:cs="Arial"/>
          </w:rPr>
          <w:t>https://commonslibrary.parliament.uk/research-briefings/cbp-9731/</w:t>
        </w:r>
      </w:hyperlink>
      <w:r w:rsidR="00875F64" w:rsidRPr="00C56FA7">
        <w:rPr>
          <w:rFonts w:cs="Arial"/>
        </w:rPr>
        <w:t xml:space="preserve"> </w:t>
      </w:r>
      <w:r w:rsidRPr="00C56FA7">
        <w:rPr>
          <w:rFonts w:cs="Arial"/>
        </w:rPr>
        <w:t xml:space="preserve"> (Accessed: 26 July 2026).</w:t>
      </w:r>
    </w:p>
    <w:p w14:paraId="6222E58C" w14:textId="23384D33" w:rsidR="00095A25" w:rsidRPr="00C56FA7" w:rsidRDefault="00AF25DC" w:rsidP="00221DA4">
      <w:pPr>
        <w:spacing w:line="360" w:lineRule="auto"/>
        <w:ind w:left="432" w:hanging="432"/>
        <w:rPr>
          <w:rFonts w:cs="Arial"/>
        </w:rPr>
      </w:pPr>
      <w:r w:rsidRPr="00C56FA7">
        <w:rPr>
          <w:rFonts w:cs="Arial"/>
        </w:rPr>
        <w:t xml:space="preserve">Great Britain (2018) </w:t>
      </w:r>
      <w:r w:rsidRPr="00C56FA7">
        <w:rPr>
          <w:rFonts w:cs="Arial"/>
          <w:i/>
        </w:rPr>
        <w:t>Data Protection Act 2018</w:t>
      </w:r>
      <w:r w:rsidRPr="00C56FA7">
        <w:rPr>
          <w:rFonts w:cs="Arial"/>
        </w:rPr>
        <w:t xml:space="preserve">, c. 12. Available at: </w:t>
      </w:r>
      <w:hyperlink r:id="rId11" w:history="1">
        <w:r w:rsidR="00875F64" w:rsidRPr="00C56FA7">
          <w:rPr>
            <w:rStyle w:val="Hyperlink"/>
            <w:rFonts w:cs="Arial"/>
          </w:rPr>
          <w:t>https://www.legislation.gov.uk/ukpga/2018/12/contents</w:t>
        </w:r>
      </w:hyperlink>
      <w:r w:rsidR="00875F64" w:rsidRPr="00C56FA7">
        <w:rPr>
          <w:rFonts w:cs="Arial"/>
        </w:rPr>
        <w:t xml:space="preserve"> </w:t>
      </w:r>
      <w:r w:rsidRPr="00C56FA7">
        <w:rPr>
          <w:rFonts w:cs="Arial"/>
        </w:rPr>
        <w:t xml:space="preserve"> (Accessed: 26 July 2026).</w:t>
      </w:r>
    </w:p>
    <w:p w14:paraId="6FCD2278" w14:textId="41EDE180" w:rsidR="00095A25" w:rsidRPr="00C56FA7" w:rsidRDefault="00AF25DC" w:rsidP="00221DA4">
      <w:pPr>
        <w:spacing w:line="360" w:lineRule="auto"/>
        <w:ind w:left="432" w:hanging="432"/>
        <w:rPr>
          <w:rFonts w:cs="Arial"/>
        </w:rPr>
      </w:pPr>
      <w:r w:rsidRPr="00C56FA7">
        <w:rPr>
          <w:rFonts w:cs="Arial"/>
        </w:rPr>
        <w:t xml:space="preserve">Information Commissioner's Office (2024) </w:t>
      </w:r>
      <w:r w:rsidRPr="00C56FA7">
        <w:rPr>
          <w:rFonts w:cs="Arial"/>
          <w:i/>
          <w:iCs/>
        </w:rPr>
        <w:t xml:space="preserve">What is special </w:t>
      </w:r>
      <w:r w:rsidR="00875F64" w:rsidRPr="00C56FA7">
        <w:rPr>
          <w:rFonts w:cs="Arial"/>
          <w:i/>
          <w:iCs/>
        </w:rPr>
        <w:t>category of</w:t>
      </w:r>
      <w:r w:rsidRPr="00C56FA7">
        <w:rPr>
          <w:rFonts w:cs="Arial"/>
          <w:i/>
          <w:iCs/>
        </w:rPr>
        <w:t xml:space="preserve"> data</w:t>
      </w:r>
      <w:r w:rsidRPr="00C56FA7">
        <w:rPr>
          <w:rFonts w:cs="Arial"/>
        </w:rPr>
        <w:t xml:space="preserve">? Available at: </w:t>
      </w:r>
      <w:hyperlink r:id="rId12" w:history="1">
        <w:r w:rsidR="00875F64" w:rsidRPr="00C56FA7">
          <w:rPr>
            <w:rStyle w:val="Hyperlink"/>
            <w:rFonts w:cs="Arial"/>
          </w:rPr>
          <w:t>https://ico.org.uk/for-organisations/uk-gdpr-guidance-and-resources/lawful-basis/special-category-data/what-is-special-category-data/</w:t>
        </w:r>
      </w:hyperlink>
      <w:r w:rsidR="00875F64" w:rsidRPr="00C56FA7">
        <w:rPr>
          <w:rFonts w:cs="Arial"/>
        </w:rPr>
        <w:t xml:space="preserve"> </w:t>
      </w:r>
      <w:r w:rsidRPr="00C56FA7">
        <w:rPr>
          <w:rFonts w:cs="Arial"/>
        </w:rPr>
        <w:t xml:space="preserve"> (Accessed: 26 July 2026).</w:t>
      </w:r>
    </w:p>
    <w:p w14:paraId="2BB0440A" w14:textId="668D6907" w:rsidR="00095A25" w:rsidRPr="00C56FA7" w:rsidRDefault="00AF25DC" w:rsidP="00221DA4">
      <w:pPr>
        <w:spacing w:line="360" w:lineRule="auto"/>
        <w:ind w:left="432" w:hanging="432"/>
        <w:rPr>
          <w:rFonts w:cs="Arial"/>
        </w:rPr>
      </w:pPr>
      <w:r w:rsidRPr="00C56FA7">
        <w:rPr>
          <w:rFonts w:cs="Arial"/>
        </w:rPr>
        <w:t xml:space="preserve">KC, S., Tewolde, S., Laverty, A.A., Costelloe, C., Papoutsi, C., Reidy, C. and Greaves, F. (2023) 'Uptake and adoption of the NHS App in England: an observational study', </w:t>
      </w:r>
      <w:r w:rsidRPr="00C56FA7">
        <w:rPr>
          <w:rFonts w:cs="Arial"/>
          <w:i/>
        </w:rPr>
        <w:t>British Journal of General Practice</w:t>
      </w:r>
      <w:r w:rsidRPr="00C56FA7">
        <w:rPr>
          <w:rFonts w:cs="Arial"/>
        </w:rPr>
        <w:t xml:space="preserve">, 73(737), pp. e932-e940. Available at: </w:t>
      </w:r>
      <w:hyperlink r:id="rId13" w:history="1">
        <w:r w:rsidR="00875F64" w:rsidRPr="00C56FA7">
          <w:rPr>
            <w:rStyle w:val="Hyperlink"/>
            <w:rFonts w:cs="Arial"/>
          </w:rPr>
          <w:t>https://doi.org/10.3399/BJGP.2022.0150</w:t>
        </w:r>
      </w:hyperlink>
      <w:r w:rsidR="00875F64" w:rsidRPr="00C56FA7">
        <w:rPr>
          <w:rFonts w:cs="Arial"/>
        </w:rPr>
        <w:t xml:space="preserve"> </w:t>
      </w:r>
    </w:p>
    <w:p w14:paraId="242F0395" w14:textId="6C0485D9" w:rsidR="00095A25" w:rsidRPr="00C56FA7" w:rsidRDefault="00AF25DC" w:rsidP="00221DA4">
      <w:pPr>
        <w:spacing w:line="360" w:lineRule="auto"/>
        <w:ind w:left="432" w:hanging="432"/>
        <w:rPr>
          <w:rFonts w:cs="Arial"/>
        </w:rPr>
      </w:pPr>
      <w:r w:rsidRPr="00C56FA7">
        <w:rPr>
          <w:rFonts w:cs="Arial"/>
        </w:rPr>
        <w:t xml:space="preserve">NHS (n.d.) NHS App. Available at: </w:t>
      </w:r>
      <w:hyperlink r:id="rId14" w:history="1">
        <w:r w:rsidR="00875F64" w:rsidRPr="00C56FA7">
          <w:rPr>
            <w:rStyle w:val="Hyperlink"/>
            <w:rFonts w:cs="Arial"/>
          </w:rPr>
          <w:t>https://www.nhs.uk/nhs-app/</w:t>
        </w:r>
      </w:hyperlink>
      <w:r w:rsidR="00875F64" w:rsidRPr="00C56FA7">
        <w:rPr>
          <w:rFonts w:cs="Arial"/>
        </w:rPr>
        <w:t xml:space="preserve"> </w:t>
      </w:r>
      <w:r w:rsidRPr="00C56FA7">
        <w:rPr>
          <w:rFonts w:cs="Arial"/>
        </w:rPr>
        <w:t xml:space="preserve"> (Accessed: 2</w:t>
      </w:r>
      <w:r w:rsidR="00875F64" w:rsidRPr="00C56FA7">
        <w:rPr>
          <w:rFonts w:cs="Arial"/>
        </w:rPr>
        <w:t>0</w:t>
      </w:r>
      <w:r w:rsidRPr="00C56FA7">
        <w:rPr>
          <w:rFonts w:cs="Arial"/>
        </w:rPr>
        <w:t xml:space="preserve"> July 2026).</w:t>
      </w:r>
    </w:p>
    <w:p w14:paraId="3AA93DB3" w14:textId="130E1D0C" w:rsidR="00095A25" w:rsidRPr="00C56FA7" w:rsidRDefault="00AF25DC" w:rsidP="00221DA4">
      <w:pPr>
        <w:spacing w:line="360" w:lineRule="auto"/>
        <w:ind w:left="432" w:hanging="432"/>
        <w:rPr>
          <w:rFonts w:cs="Arial"/>
        </w:rPr>
      </w:pPr>
      <w:r w:rsidRPr="00C56FA7">
        <w:rPr>
          <w:rFonts w:cs="Arial"/>
        </w:rPr>
        <w:t xml:space="preserve">NHS (2026) NHS App full privacy notice. Available at: </w:t>
      </w:r>
      <w:hyperlink r:id="rId15" w:history="1">
        <w:r w:rsidR="00875F64" w:rsidRPr="00C56FA7">
          <w:rPr>
            <w:rStyle w:val="Hyperlink"/>
            <w:rFonts w:cs="Arial"/>
          </w:rPr>
          <w:t>https://www.nhs.uk/nhs-app/about/privacy-legal-information/privacy-notices/full-notice/</w:t>
        </w:r>
      </w:hyperlink>
      <w:r w:rsidR="00875F64" w:rsidRPr="00C56FA7">
        <w:rPr>
          <w:rFonts w:cs="Arial"/>
        </w:rPr>
        <w:t xml:space="preserve"> </w:t>
      </w:r>
      <w:r w:rsidRPr="00C56FA7">
        <w:rPr>
          <w:rFonts w:cs="Arial"/>
        </w:rPr>
        <w:t xml:space="preserve"> (Accessed: 26 July 2026).</w:t>
      </w:r>
    </w:p>
    <w:p w14:paraId="09B0DC50" w14:textId="030A2B1C" w:rsidR="00095A25" w:rsidRPr="00C56FA7" w:rsidRDefault="00AF25DC" w:rsidP="00221DA4">
      <w:pPr>
        <w:spacing w:line="360" w:lineRule="auto"/>
        <w:ind w:left="432" w:hanging="432"/>
        <w:rPr>
          <w:rFonts w:cs="Arial"/>
        </w:rPr>
      </w:pPr>
      <w:r w:rsidRPr="00C56FA7">
        <w:rPr>
          <w:rFonts w:cs="Arial"/>
        </w:rPr>
        <w:t xml:space="preserve">NHS England (2019) NHS App begins public rollout. Available at: </w:t>
      </w:r>
      <w:hyperlink r:id="rId16" w:history="1">
        <w:r w:rsidR="00875F64" w:rsidRPr="00C56FA7">
          <w:rPr>
            <w:rStyle w:val="Hyperlink"/>
            <w:rFonts w:cs="Arial"/>
          </w:rPr>
          <w:t>https://www.england.nhs.uk/2019/01/nhs-app-begins-public-rollout/</w:t>
        </w:r>
      </w:hyperlink>
      <w:r w:rsidR="00875F64" w:rsidRPr="00C56FA7">
        <w:rPr>
          <w:rFonts w:cs="Arial"/>
        </w:rPr>
        <w:t xml:space="preserve"> </w:t>
      </w:r>
      <w:r w:rsidRPr="00C56FA7">
        <w:rPr>
          <w:rFonts w:cs="Arial"/>
        </w:rPr>
        <w:t xml:space="preserve"> (Accessed: 2</w:t>
      </w:r>
      <w:r w:rsidR="00875F64" w:rsidRPr="00C56FA7">
        <w:rPr>
          <w:rFonts w:cs="Arial"/>
        </w:rPr>
        <w:t>0</w:t>
      </w:r>
      <w:r w:rsidRPr="00C56FA7">
        <w:rPr>
          <w:rFonts w:cs="Arial"/>
        </w:rPr>
        <w:t xml:space="preserve"> July 2026).</w:t>
      </w:r>
    </w:p>
    <w:p w14:paraId="6100AC32" w14:textId="17DE61F0" w:rsidR="00095A25" w:rsidRPr="00C56FA7" w:rsidRDefault="00AF25DC" w:rsidP="00221DA4">
      <w:pPr>
        <w:spacing w:line="360" w:lineRule="auto"/>
        <w:ind w:left="432" w:hanging="432"/>
        <w:rPr>
          <w:rFonts w:cs="Arial"/>
        </w:rPr>
      </w:pPr>
      <w:r w:rsidRPr="00C56FA7">
        <w:rPr>
          <w:rFonts w:cs="Arial"/>
        </w:rPr>
        <w:t xml:space="preserve">NHS England (2023) NHS Long Term Workforce Plan. Available at: </w:t>
      </w:r>
      <w:hyperlink r:id="rId17" w:history="1">
        <w:r w:rsidR="00875F64" w:rsidRPr="00C56FA7">
          <w:rPr>
            <w:rStyle w:val="Hyperlink"/>
            <w:rFonts w:cs="Arial"/>
          </w:rPr>
          <w:t>https://www.england.nhs.uk/publication/nhs-long-term-workforce-plan/</w:t>
        </w:r>
      </w:hyperlink>
      <w:r w:rsidR="00875F64" w:rsidRPr="00C56FA7">
        <w:rPr>
          <w:rFonts w:cs="Arial"/>
        </w:rPr>
        <w:t xml:space="preserve"> </w:t>
      </w:r>
      <w:r w:rsidRPr="00C56FA7">
        <w:rPr>
          <w:rFonts w:cs="Arial"/>
        </w:rPr>
        <w:t xml:space="preserve"> (Accessed: 2</w:t>
      </w:r>
      <w:r w:rsidR="00875F64" w:rsidRPr="00C56FA7">
        <w:rPr>
          <w:rFonts w:cs="Arial"/>
        </w:rPr>
        <w:t>0</w:t>
      </w:r>
      <w:r w:rsidRPr="00C56FA7">
        <w:rPr>
          <w:rFonts w:cs="Arial"/>
        </w:rPr>
        <w:t xml:space="preserve"> July 2026).</w:t>
      </w:r>
    </w:p>
    <w:p w14:paraId="71DAF0C6" w14:textId="7F62BF81" w:rsidR="00095A25" w:rsidRPr="00C56FA7" w:rsidRDefault="00AF25DC" w:rsidP="00221DA4">
      <w:pPr>
        <w:spacing w:line="360" w:lineRule="auto"/>
        <w:ind w:left="432" w:hanging="432"/>
        <w:rPr>
          <w:rFonts w:cs="Arial"/>
        </w:rPr>
      </w:pPr>
      <w:r w:rsidRPr="00C56FA7">
        <w:rPr>
          <w:rFonts w:cs="Arial"/>
        </w:rPr>
        <w:t xml:space="preserve">NHS England (2025) Hundreds of thousands use 'Amazon-style' prescription tracker in NHS App. Available at: </w:t>
      </w:r>
      <w:hyperlink r:id="rId18" w:history="1">
        <w:r w:rsidR="00875F64" w:rsidRPr="00C56FA7">
          <w:rPr>
            <w:rStyle w:val="Hyperlink"/>
            <w:rFonts w:cs="Arial"/>
          </w:rPr>
          <w:t>https://www.england.nhs.uk/2025/08/hundreds-of-thousands-use-amazon-style-prescription-tracker-in-nhs-app/</w:t>
        </w:r>
      </w:hyperlink>
      <w:r w:rsidR="00875F64" w:rsidRPr="00C56FA7">
        <w:rPr>
          <w:rFonts w:cs="Arial"/>
        </w:rPr>
        <w:t xml:space="preserve"> </w:t>
      </w:r>
      <w:r w:rsidRPr="00C56FA7">
        <w:rPr>
          <w:rFonts w:cs="Arial"/>
        </w:rPr>
        <w:t xml:space="preserve"> (Accessed: 2</w:t>
      </w:r>
      <w:r w:rsidR="00875F64" w:rsidRPr="00C56FA7">
        <w:rPr>
          <w:rFonts w:cs="Arial"/>
        </w:rPr>
        <w:t>3</w:t>
      </w:r>
      <w:r w:rsidRPr="00C56FA7">
        <w:rPr>
          <w:rFonts w:cs="Arial"/>
        </w:rPr>
        <w:t xml:space="preserve"> July 2026).</w:t>
      </w:r>
    </w:p>
    <w:p w14:paraId="7753CA5F" w14:textId="2D8186BD" w:rsidR="00095A25" w:rsidRPr="00C56FA7" w:rsidRDefault="00AF25DC" w:rsidP="00221DA4">
      <w:pPr>
        <w:spacing w:line="360" w:lineRule="auto"/>
        <w:ind w:left="432" w:hanging="432"/>
        <w:rPr>
          <w:rFonts w:cs="Arial"/>
        </w:rPr>
      </w:pPr>
      <w:r w:rsidRPr="00C56FA7">
        <w:rPr>
          <w:rFonts w:cs="Arial"/>
        </w:rPr>
        <w:t xml:space="preserve">NHS England Digital (2026) NHS App Management Information - June 2026. Available at: </w:t>
      </w:r>
      <w:hyperlink r:id="rId19" w:history="1">
        <w:r w:rsidR="00875F64" w:rsidRPr="00C56FA7">
          <w:rPr>
            <w:rStyle w:val="Hyperlink"/>
            <w:rFonts w:cs="Arial"/>
          </w:rPr>
          <w:t>https://digital.nhs.uk/data-and-information/publications/statistical/nhs-app-statistics/june-2026</w:t>
        </w:r>
      </w:hyperlink>
      <w:r w:rsidR="00875F64" w:rsidRPr="00C56FA7">
        <w:rPr>
          <w:rFonts w:cs="Arial"/>
        </w:rPr>
        <w:t xml:space="preserve"> </w:t>
      </w:r>
      <w:r w:rsidRPr="00C56FA7">
        <w:rPr>
          <w:rFonts w:cs="Arial"/>
        </w:rPr>
        <w:t xml:space="preserve"> (Accessed: 2</w:t>
      </w:r>
      <w:r w:rsidR="00875F64" w:rsidRPr="00C56FA7">
        <w:rPr>
          <w:rFonts w:cs="Arial"/>
        </w:rPr>
        <w:t>3</w:t>
      </w:r>
      <w:r w:rsidRPr="00C56FA7">
        <w:rPr>
          <w:rFonts w:cs="Arial"/>
        </w:rPr>
        <w:t xml:space="preserve"> July 2026).</w:t>
      </w:r>
    </w:p>
    <w:p w14:paraId="648794D2" w14:textId="1BF0AEFE" w:rsidR="00095A25" w:rsidRPr="00C56FA7" w:rsidRDefault="00AF25DC" w:rsidP="00221DA4">
      <w:pPr>
        <w:spacing w:line="360" w:lineRule="auto"/>
        <w:ind w:left="432" w:hanging="432"/>
        <w:rPr>
          <w:rFonts w:cs="Arial"/>
        </w:rPr>
      </w:pPr>
      <w:r w:rsidRPr="00C56FA7">
        <w:rPr>
          <w:rFonts w:cs="Arial"/>
        </w:rPr>
        <w:t xml:space="preserve">Ofcom (2025) Digital adoption and digital disadvantage today: </w:t>
      </w:r>
      <w:r w:rsidRPr="00C56FA7">
        <w:rPr>
          <w:rFonts w:cs="Arial"/>
          <w:i/>
          <w:iCs/>
        </w:rPr>
        <w:t>what has changed, and what barriers remain?</w:t>
      </w:r>
      <w:r w:rsidRPr="00C56FA7">
        <w:rPr>
          <w:rFonts w:cs="Arial"/>
        </w:rPr>
        <w:t xml:space="preserve"> Available at: </w:t>
      </w:r>
      <w:hyperlink r:id="rId20" w:history="1">
        <w:r w:rsidR="00875F64" w:rsidRPr="00C56FA7">
          <w:rPr>
            <w:rStyle w:val="Hyperlink"/>
            <w:rFonts w:cs="Arial"/>
          </w:rPr>
          <w:t>https://www.ofcom.org.uk/internet-based-</w:t>
        </w:r>
        <w:r w:rsidR="00875F64" w:rsidRPr="00C56FA7">
          <w:rPr>
            <w:rStyle w:val="Hyperlink"/>
            <w:rFonts w:cs="Arial"/>
          </w:rPr>
          <w:lastRenderedPageBreak/>
          <w:t>services/technology/digital-adoption-and-digital-disadvantage-today-what-has-changed-and-what-barriers-remain</w:t>
        </w:r>
      </w:hyperlink>
      <w:r w:rsidR="00875F64" w:rsidRPr="00C56FA7">
        <w:rPr>
          <w:rFonts w:cs="Arial"/>
        </w:rPr>
        <w:t xml:space="preserve"> </w:t>
      </w:r>
      <w:r w:rsidRPr="00C56FA7">
        <w:rPr>
          <w:rFonts w:cs="Arial"/>
        </w:rPr>
        <w:t xml:space="preserve"> (Accessed: 26 July 2026).</w:t>
      </w:r>
    </w:p>
    <w:p w14:paraId="4065354C" w14:textId="3268D94F" w:rsidR="00095A25" w:rsidRPr="00C56FA7" w:rsidRDefault="00AF25DC" w:rsidP="00221DA4">
      <w:pPr>
        <w:spacing w:line="360" w:lineRule="auto"/>
        <w:ind w:left="432" w:hanging="432"/>
        <w:rPr>
          <w:rFonts w:cs="Arial"/>
        </w:rPr>
      </w:pPr>
      <w:r w:rsidRPr="00C56FA7">
        <w:rPr>
          <w:rFonts w:cs="Arial"/>
        </w:rPr>
        <w:t xml:space="preserve">Reidy, C., Papoutsi, C., KC, S., Gudgin, B., Laverty, A.A., Greaves, F. and Powell, J. (2025) 'Qualitative evaluation of the implementation and national roll-out of the NHS App in England', </w:t>
      </w:r>
      <w:r w:rsidRPr="00C56FA7">
        <w:rPr>
          <w:rFonts w:cs="Arial"/>
          <w:i/>
        </w:rPr>
        <w:t>BMC Medicine</w:t>
      </w:r>
      <w:r w:rsidRPr="00C56FA7">
        <w:rPr>
          <w:rFonts w:cs="Arial"/>
        </w:rPr>
        <w:t xml:space="preserve">, 23(1), article 20. Available at: </w:t>
      </w:r>
      <w:hyperlink r:id="rId21" w:history="1">
        <w:r w:rsidR="00875F64" w:rsidRPr="00C56FA7">
          <w:rPr>
            <w:rStyle w:val="Hyperlink"/>
            <w:rFonts w:cs="Arial"/>
          </w:rPr>
          <w:t>https://doi.org/10.1186/s12916-024-03842-w</w:t>
        </w:r>
      </w:hyperlink>
    </w:p>
    <w:p w14:paraId="05BA8BDD" w14:textId="52D6C6E6" w:rsidR="00095A25" w:rsidRPr="00C56FA7" w:rsidRDefault="00AF25DC" w:rsidP="00221DA4">
      <w:pPr>
        <w:spacing w:line="360" w:lineRule="auto"/>
        <w:ind w:left="432" w:hanging="432"/>
        <w:rPr>
          <w:rFonts w:cs="Arial"/>
        </w:rPr>
      </w:pPr>
      <w:r w:rsidRPr="00C56FA7">
        <w:rPr>
          <w:rFonts w:cs="Arial"/>
        </w:rPr>
        <w:t xml:space="preserve">Salway, R., Sillero-Rejon, C., Forte, C., Grey, E., Jessiman, P., McLeod, H. and Jago, R. (2024) 'A service evaluation of the uptake and effectiveness of a digital delivery of the NHS Health Check service', </w:t>
      </w:r>
      <w:r w:rsidRPr="00C56FA7">
        <w:rPr>
          <w:rFonts w:cs="Arial"/>
          <w:i/>
        </w:rPr>
        <w:t>BMJ Open</w:t>
      </w:r>
      <w:r w:rsidRPr="00C56FA7">
        <w:rPr>
          <w:rFonts w:cs="Arial"/>
        </w:rPr>
        <w:t xml:space="preserve">, 14(11), e091417. Available at: </w:t>
      </w:r>
      <w:hyperlink r:id="rId22" w:history="1">
        <w:r w:rsidR="00C56FA7" w:rsidRPr="00C56FA7">
          <w:rPr>
            <w:rStyle w:val="Hyperlink"/>
            <w:rFonts w:cs="Arial"/>
          </w:rPr>
          <w:t>https://doi.org/10.1136/bmjopen-2024-091417</w:t>
        </w:r>
      </w:hyperlink>
      <w:r w:rsidR="00C56FA7" w:rsidRPr="00C56FA7">
        <w:rPr>
          <w:rFonts w:cs="Arial"/>
        </w:rPr>
        <w:t xml:space="preserve"> </w:t>
      </w:r>
    </w:p>
    <w:sectPr w:rsidR="00095A25" w:rsidRPr="00C56FA7" w:rsidSect="00034616">
      <w:footerReference w:type="default" r:id="rId23"/>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A7427" w14:textId="77777777" w:rsidR="00333E53" w:rsidRDefault="00333E53">
      <w:pPr>
        <w:spacing w:after="0" w:line="240" w:lineRule="auto"/>
      </w:pPr>
      <w:r>
        <w:separator/>
      </w:r>
    </w:p>
  </w:endnote>
  <w:endnote w:type="continuationSeparator" w:id="0">
    <w:p w14:paraId="4C1295FD" w14:textId="77777777" w:rsidR="00333E53" w:rsidRDefault="00333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4D3DF" w14:textId="77777777" w:rsidR="00095A25" w:rsidRDefault="00AF25DC">
    <w:pPr>
      <w:pStyle w:val="Footer"/>
      <w:jc w:val="center"/>
    </w:pPr>
    <w:r>
      <w:fldChar w:fldCharType="begin"/>
    </w:r>
    <w:r>
      <w:instrText>PAGE</w:instrText>
    </w:r>
    <w:r>
      <w:fldChar w:fldCharType="separate"/>
    </w:r>
    <w:r w:rsidR="00607D8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6FEA3" w14:textId="77777777" w:rsidR="00333E53" w:rsidRDefault="00333E53">
      <w:pPr>
        <w:spacing w:after="0" w:line="240" w:lineRule="auto"/>
      </w:pPr>
      <w:r>
        <w:separator/>
      </w:r>
    </w:p>
  </w:footnote>
  <w:footnote w:type="continuationSeparator" w:id="0">
    <w:p w14:paraId="564B8951" w14:textId="77777777" w:rsidR="00333E53" w:rsidRDefault="00333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876792D"/>
    <w:multiLevelType w:val="multilevel"/>
    <w:tmpl w:val="318878C4"/>
    <w:lvl w:ilvl="0">
      <w:start w:val="3"/>
      <w:numFmt w:val="decimal"/>
      <w:lvlText w:val="%1"/>
      <w:lvlJc w:val="left"/>
      <w:pPr>
        <w:ind w:left="360" w:hanging="360"/>
      </w:pPr>
      <w:rPr>
        <w:rFonts w:hint="default"/>
      </w:rPr>
    </w:lvl>
    <w:lvl w:ilvl="1">
      <w:start w:val="3"/>
      <w:numFmt w:val="decimal"/>
      <w:lvlText w:val="%1.%2"/>
      <w:lvlJc w:val="left"/>
      <w:pPr>
        <w:ind w:left="502"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0" w15:restartNumberingAfterBreak="0">
    <w:nsid w:val="74E725EE"/>
    <w:multiLevelType w:val="hybridMultilevel"/>
    <w:tmpl w:val="2F624C8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5932714">
    <w:abstractNumId w:val="8"/>
  </w:num>
  <w:num w:numId="2" w16cid:durableId="725832107">
    <w:abstractNumId w:val="6"/>
  </w:num>
  <w:num w:numId="3" w16cid:durableId="1295023523">
    <w:abstractNumId w:val="5"/>
  </w:num>
  <w:num w:numId="4" w16cid:durableId="699554473">
    <w:abstractNumId w:val="4"/>
  </w:num>
  <w:num w:numId="5" w16cid:durableId="744842787">
    <w:abstractNumId w:val="7"/>
  </w:num>
  <w:num w:numId="6" w16cid:durableId="822627214">
    <w:abstractNumId w:val="3"/>
  </w:num>
  <w:num w:numId="7" w16cid:durableId="1251157055">
    <w:abstractNumId w:val="2"/>
  </w:num>
  <w:num w:numId="8" w16cid:durableId="38672023">
    <w:abstractNumId w:val="1"/>
  </w:num>
  <w:num w:numId="9" w16cid:durableId="1340237263">
    <w:abstractNumId w:val="0"/>
  </w:num>
  <w:num w:numId="10" w16cid:durableId="1372264556">
    <w:abstractNumId w:val="10"/>
  </w:num>
  <w:num w:numId="11" w16cid:durableId="7232192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0030"/>
    <w:rsid w:val="00034616"/>
    <w:rsid w:val="0006063C"/>
    <w:rsid w:val="00095A25"/>
    <w:rsid w:val="000C6E12"/>
    <w:rsid w:val="0015074B"/>
    <w:rsid w:val="00221DA4"/>
    <w:rsid w:val="0026073C"/>
    <w:rsid w:val="0029639D"/>
    <w:rsid w:val="00326F90"/>
    <w:rsid w:val="00333E53"/>
    <w:rsid w:val="00375015"/>
    <w:rsid w:val="003A180D"/>
    <w:rsid w:val="00445196"/>
    <w:rsid w:val="005663BE"/>
    <w:rsid w:val="00585FB7"/>
    <w:rsid w:val="006074EB"/>
    <w:rsid w:val="00607D89"/>
    <w:rsid w:val="00622E8B"/>
    <w:rsid w:val="007E3128"/>
    <w:rsid w:val="00875F64"/>
    <w:rsid w:val="00972346"/>
    <w:rsid w:val="00982A59"/>
    <w:rsid w:val="00AA1D8D"/>
    <w:rsid w:val="00AF25DC"/>
    <w:rsid w:val="00B47730"/>
    <w:rsid w:val="00C3293E"/>
    <w:rsid w:val="00C56FA7"/>
    <w:rsid w:val="00CB0664"/>
    <w:rsid w:val="00CD066D"/>
    <w:rsid w:val="00E026A5"/>
    <w:rsid w:val="00E054CA"/>
    <w:rsid w:val="00EB4AFC"/>
    <w:rsid w:val="00F610D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805BB"/>
  <w14:defaultImageDpi w14:val="300"/>
  <w15:docId w15:val="{D87F55C9-6A83-4026-B06D-E5463F775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75F64"/>
    <w:rPr>
      <w:color w:val="0000FF" w:themeColor="hyperlink"/>
      <w:u w:val="single"/>
    </w:rPr>
  </w:style>
  <w:style w:type="character" w:styleId="UnresolvedMention">
    <w:name w:val="Unresolved Mention"/>
    <w:basedOn w:val="DefaultParagraphFont"/>
    <w:uiPriority w:val="99"/>
    <w:semiHidden/>
    <w:unhideWhenUsed/>
    <w:rsid w:val="00875F64"/>
    <w:rPr>
      <w:color w:val="605E5C"/>
      <w:shd w:val="clear" w:color="auto" w:fill="E1DFDD"/>
    </w:rPr>
  </w:style>
  <w:style w:type="paragraph" w:styleId="TOC1">
    <w:name w:val="toc 1"/>
    <w:basedOn w:val="Normal"/>
    <w:next w:val="Normal"/>
    <w:autoRedefine/>
    <w:uiPriority w:val="39"/>
    <w:unhideWhenUsed/>
    <w:rsid w:val="00C56FA7"/>
    <w:pPr>
      <w:spacing w:after="100"/>
    </w:pPr>
  </w:style>
  <w:style w:type="paragraph" w:styleId="TOC2">
    <w:name w:val="toc 2"/>
    <w:basedOn w:val="Normal"/>
    <w:next w:val="Normal"/>
    <w:autoRedefine/>
    <w:uiPriority w:val="39"/>
    <w:unhideWhenUsed/>
    <w:rsid w:val="00C56FA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9/BJGP.2022.0150" TargetMode="External"/><Relationship Id="rId18" Type="http://schemas.openxmlformats.org/officeDocument/2006/relationships/hyperlink" Target="https://www.england.nhs.uk/2025/08/hundreds-of-thousands-use-amazon-style-prescription-tracker-in-nhs-app/" TargetMode="External"/><Relationship Id="rId3" Type="http://schemas.openxmlformats.org/officeDocument/2006/relationships/styles" Target="styles.xml"/><Relationship Id="rId21" Type="http://schemas.openxmlformats.org/officeDocument/2006/relationships/hyperlink" Target="https://doi.org/10.1186/s12916-024-03842-w" TargetMode="External"/><Relationship Id="rId7" Type="http://schemas.openxmlformats.org/officeDocument/2006/relationships/endnotes" Target="endnotes.xml"/><Relationship Id="rId12" Type="http://schemas.openxmlformats.org/officeDocument/2006/relationships/hyperlink" Target="https://ico.org.uk/for-organisations/uk-gdpr-guidance-and-resources/lawful-basis/special-category-data/what-is-special-category-data/" TargetMode="External"/><Relationship Id="rId17" Type="http://schemas.openxmlformats.org/officeDocument/2006/relationships/hyperlink" Target="https://www.england.nhs.uk/publication/nhs-long-term-workforce-pla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2019/01/nhs-app-begins-public-rollout/" TargetMode="External"/><Relationship Id="rId20" Type="http://schemas.openxmlformats.org/officeDocument/2006/relationships/hyperlink" Target="https://www.ofcom.org.uk/internet-based-services/technology/digital-adoption-and-digital-disadvantage-today-what-has-changed-and-what-barriers-rem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nhs-app/about/privacy-legal-information/privacy-notices/full-notice/" TargetMode="External"/><Relationship Id="rId23" Type="http://schemas.openxmlformats.org/officeDocument/2006/relationships/footer" Target="footer1.xml"/><Relationship Id="rId10" Type="http://schemas.openxmlformats.org/officeDocument/2006/relationships/hyperlink" Target="https://commonslibrary.parliament.uk/research-briefings/cbp-9731/" TargetMode="External"/><Relationship Id="rId19" Type="http://schemas.openxmlformats.org/officeDocument/2006/relationships/hyperlink" Target="https://digital.nhs.uk/data-and-information/publications/statistical/nhs-app-statistics/june-2026" TargetMode="External"/><Relationship Id="rId4" Type="http://schemas.openxmlformats.org/officeDocument/2006/relationships/settings" Target="settings.xml"/><Relationship Id="rId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yperlink" Target="https://www.nhs.uk/nhs-app/" TargetMode="External"/><Relationship Id="rId22" Type="http://schemas.openxmlformats.org/officeDocument/2006/relationships/hyperlink" Target="https://doi.org/10.1136/bmjopen-2024-0914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3231</Words>
  <Characters>18419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21607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Amber Zubair Rana</cp:lastModifiedBy>
  <cp:revision>2</cp:revision>
  <dcterms:created xsi:type="dcterms:W3CDTF">2026-07-26T23:58:00Z</dcterms:created>
  <dcterms:modified xsi:type="dcterms:W3CDTF">2026-07-26T23:58:00Z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2a826398-36be-4ae4-8b05-cd4f5b11f567</vt:lpwstr>
  </property>
</Properties>
</file>