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286317" w:rsidR="00286317" w:rsidP="00286317" w:rsidRDefault="00286317" w14:paraId="5E72700D" w14:textId="77777777">
      <w:pPr>
        <w:spacing w:line="360" w:lineRule="auto"/>
        <w:jc w:val="center"/>
        <w:rPr>
          <w:rFonts w:asciiTheme="minorBidi" w:hAnsiTheme="minorBidi"/>
          <w:b/>
          <w:bCs/>
          <w:lang w:val="en-GB"/>
        </w:rPr>
      </w:pPr>
    </w:p>
    <w:p w:rsidRPr="00286317" w:rsidR="00286317" w:rsidP="00286317" w:rsidRDefault="00286317" w14:paraId="5835EC5C" w14:textId="77777777">
      <w:pPr>
        <w:spacing w:line="360" w:lineRule="auto"/>
        <w:jc w:val="center"/>
        <w:rPr>
          <w:rFonts w:asciiTheme="minorBidi" w:hAnsiTheme="minorBidi"/>
          <w:b/>
          <w:bCs/>
          <w:lang w:val="en-GB"/>
        </w:rPr>
      </w:pPr>
    </w:p>
    <w:p w:rsidRPr="00286317" w:rsidR="00286317" w:rsidP="00286317" w:rsidRDefault="00286317" w14:paraId="0E06D953" w14:textId="77777777">
      <w:pPr>
        <w:spacing w:line="360" w:lineRule="auto"/>
        <w:jc w:val="center"/>
        <w:rPr>
          <w:rFonts w:asciiTheme="minorBidi" w:hAnsiTheme="minorBidi"/>
          <w:b/>
          <w:bCs/>
          <w:lang w:val="en-GB"/>
        </w:rPr>
      </w:pPr>
    </w:p>
    <w:p w:rsidRPr="00286317" w:rsidR="00286317" w:rsidP="00286317" w:rsidRDefault="00286317" w14:paraId="288F38D5" w14:textId="77777777">
      <w:pPr>
        <w:spacing w:line="360" w:lineRule="auto"/>
        <w:jc w:val="center"/>
        <w:rPr>
          <w:rFonts w:asciiTheme="minorBidi" w:hAnsiTheme="minorBidi"/>
          <w:b/>
          <w:bCs/>
          <w:lang w:val="en-GB"/>
        </w:rPr>
      </w:pPr>
    </w:p>
    <w:p w:rsidRPr="00286317" w:rsidR="00286317" w:rsidP="00286317" w:rsidRDefault="00286317" w14:paraId="7A0BD9EA" w14:textId="77777777">
      <w:pPr>
        <w:spacing w:line="360" w:lineRule="auto"/>
        <w:jc w:val="center"/>
        <w:rPr>
          <w:rFonts w:asciiTheme="minorBidi" w:hAnsiTheme="minorBidi"/>
          <w:b/>
          <w:bCs/>
          <w:lang w:val="en-GB"/>
        </w:rPr>
      </w:pPr>
    </w:p>
    <w:p w:rsidR="08F8BAE5" w:rsidP="11B64E6D" w:rsidRDefault="08F8BAE5" w14:paraId="1C63ADF2" w14:textId="42FAD67A">
      <w:pPr>
        <w:spacing w:line="360" w:lineRule="auto"/>
        <w:jc w:val="center"/>
        <w:rPr>
          <w:rFonts w:ascii="Arial" w:hAnsi="Arial" w:asciiTheme="minorBidi" w:hAnsiTheme="minorBidi"/>
          <w:b w:val="1"/>
          <w:bCs w:val="1"/>
          <w:lang w:val="en-GB"/>
        </w:rPr>
      </w:pPr>
      <w:r w:rsidRPr="11B64E6D" w:rsidR="08F8BAE5">
        <w:rPr>
          <w:rFonts w:ascii="Arial" w:hAnsi="Arial" w:asciiTheme="minorBidi" w:hAnsiTheme="minorBidi"/>
          <w:b w:val="1"/>
          <w:bCs w:val="1"/>
          <w:lang w:val="en-GB"/>
        </w:rPr>
        <w:t>Ioan Surdu</w:t>
      </w:r>
    </w:p>
    <w:p w:rsidRPr="00286317" w:rsidR="00286317" w:rsidP="11B64E6D" w:rsidRDefault="00286317" w14:paraId="790807B1" w14:textId="1ECEEDD3">
      <w:pPr>
        <w:spacing w:line="360" w:lineRule="auto"/>
        <w:jc w:val="center"/>
        <w:rPr>
          <w:rFonts w:ascii="Arial" w:hAnsi="Arial" w:asciiTheme="minorBidi" w:hAnsiTheme="minorBidi"/>
          <w:b w:val="1"/>
          <w:bCs w:val="1"/>
          <w:lang w:val="en-GB"/>
        </w:rPr>
      </w:pPr>
      <w:r w:rsidRPr="11B64E6D" w:rsidR="08F8BAE5">
        <w:rPr>
          <w:rFonts w:ascii="Arial" w:hAnsi="Arial" w:asciiTheme="minorBidi" w:hAnsiTheme="minorBidi"/>
          <w:b w:val="1"/>
          <w:bCs w:val="1"/>
          <w:lang w:val="en-GB"/>
        </w:rPr>
        <w:t>23336</w:t>
      </w:r>
      <w:r w:rsidRPr="11B64E6D" w:rsidR="08F8BAE5">
        <w:rPr>
          <w:rFonts w:ascii="Arial" w:hAnsi="Arial" w:asciiTheme="minorBidi" w:hAnsiTheme="minorBidi"/>
          <w:b w:val="1"/>
          <w:bCs w:val="1"/>
          <w:lang w:val="en-GB"/>
        </w:rPr>
        <w:t>3</w:t>
      </w:r>
      <w:r w:rsidRPr="11B64E6D" w:rsidR="08F8BAE5">
        <w:rPr>
          <w:rFonts w:ascii="Arial" w:hAnsi="Arial" w:asciiTheme="minorBidi" w:hAnsiTheme="minorBidi"/>
          <w:b w:val="1"/>
          <w:bCs w:val="1"/>
          <w:lang w:val="en-GB"/>
        </w:rPr>
        <w:t>8</w:t>
      </w:r>
    </w:p>
    <w:p w:rsidRPr="00286317" w:rsidR="00286317" w:rsidP="11B64E6D" w:rsidRDefault="00286317" w14:paraId="020C07E9" w14:textId="7CDD0D18">
      <w:pPr>
        <w:spacing w:line="360" w:lineRule="auto"/>
        <w:jc w:val="center"/>
        <w:rPr>
          <w:rFonts w:ascii="Arial" w:hAnsi="Arial" w:asciiTheme="minorBidi" w:hAnsiTheme="minorBidi"/>
          <w:b w:val="1"/>
          <w:bCs w:val="1"/>
          <w:lang w:val="en-GB"/>
        </w:rPr>
      </w:pPr>
      <w:r w:rsidRPr="11B64E6D" w:rsidR="08F8BAE5">
        <w:rPr>
          <w:rFonts w:ascii="Arial" w:hAnsi="Arial" w:asciiTheme="minorBidi" w:hAnsiTheme="minorBidi"/>
          <w:b w:val="1"/>
          <w:bCs w:val="1"/>
          <w:lang w:val="en-GB"/>
        </w:rPr>
        <w:t>Principles</w:t>
      </w:r>
      <w:r w:rsidRPr="11B64E6D" w:rsidR="08F8BAE5">
        <w:rPr>
          <w:rFonts w:ascii="Arial" w:hAnsi="Arial" w:asciiTheme="minorBidi" w:hAnsiTheme="minorBidi"/>
          <w:b w:val="1"/>
          <w:bCs w:val="1"/>
          <w:lang w:val="en-GB"/>
        </w:rPr>
        <w:t xml:space="preserve"> of health and social care</w:t>
      </w:r>
    </w:p>
    <w:p w:rsidRPr="00286317" w:rsidR="00286317" w:rsidP="11B64E6D" w:rsidRDefault="00286317" w14:paraId="53FC1873" w14:textId="13FF0D1A">
      <w:pPr>
        <w:spacing w:line="360" w:lineRule="auto"/>
        <w:jc w:val="center"/>
        <w:rPr>
          <w:rFonts w:ascii="Arial" w:hAnsi="Arial" w:asciiTheme="minorBidi" w:hAnsiTheme="minorBidi"/>
          <w:b w:val="1"/>
          <w:bCs w:val="1"/>
          <w:lang w:val="en-GB"/>
        </w:rPr>
      </w:pPr>
      <w:r w:rsidRPr="11B64E6D" w:rsidR="0863668B">
        <w:rPr>
          <w:rFonts w:ascii="Arial" w:hAnsi="Arial" w:asciiTheme="minorBidi" w:hAnsiTheme="minorBidi"/>
          <w:b w:val="1"/>
          <w:bCs w:val="1"/>
          <w:lang w:val="en-GB"/>
        </w:rPr>
        <w:t>Lecturer: Junaid Shaikh</w:t>
      </w:r>
    </w:p>
    <w:p w:rsidRPr="00286317" w:rsidR="00286317" w:rsidP="11B64E6D" w:rsidRDefault="00286317" w14:paraId="411AE930" w14:textId="12AB4F15">
      <w:pPr>
        <w:spacing w:line="360" w:lineRule="auto"/>
        <w:jc w:val="center"/>
        <w:rPr>
          <w:rFonts w:ascii="Arial" w:hAnsi="Arial" w:asciiTheme="minorBidi" w:hAnsiTheme="minorBidi"/>
          <w:b w:val="1"/>
          <w:bCs w:val="1"/>
          <w:lang w:val="en-GB"/>
        </w:rPr>
      </w:pPr>
      <w:r w:rsidRPr="11B64E6D" w:rsidR="0863668B">
        <w:rPr>
          <w:rFonts w:ascii="Arial" w:hAnsi="Arial" w:asciiTheme="minorBidi" w:hAnsiTheme="minorBidi"/>
          <w:b w:val="1"/>
          <w:bCs w:val="1"/>
          <w:lang w:val="en-GB"/>
        </w:rPr>
        <w:t>17/11/2025</w:t>
      </w:r>
    </w:p>
    <w:p w:rsidRPr="00286317" w:rsidR="00286317" w:rsidP="00286317" w:rsidRDefault="00286317" w14:paraId="3C21FCBE" w14:textId="77777777">
      <w:pPr>
        <w:spacing w:line="360" w:lineRule="auto"/>
        <w:jc w:val="both"/>
        <w:rPr>
          <w:rFonts w:asciiTheme="minorBidi" w:hAnsiTheme="minorBidi"/>
          <w:lang w:val="en-GB"/>
        </w:rPr>
      </w:pPr>
      <w:r w:rsidRPr="00286317">
        <w:rPr>
          <w:rFonts w:asciiTheme="minorBidi" w:hAnsiTheme="minorBidi"/>
          <w:lang w:val="en-GB"/>
        </w:rPr>
        <w:br w:type="page"/>
      </w:r>
    </w:p>
    <w:sdt>
      <w:sdtPr>
        <w:id w:val="-1011449380"/>
        <w:docPartObj>
          <w:docPartGallery w:val="Table of Contents"/>
          <w:docPartUnique/>
        </w:docPartObj>
        <w:rPr>
          <w:rFonts w:ascii="Arial" w:hAnsi="Arial" w:cs="Arial" w:asciiTheme="minorBidi" w:hAnsiTheme="minorBidi" w:cstheme="minorBidi"/>
          <w:color w:val="auto"/>
          <w:sz w:val="22"/>
          <w:szCs w:val="22"/>
          <w:lang w:val="en-GB"/>
        </w:rPr>
      </w:sdtPr>
      <w:sdtEndPr>
        <w:rPr>
          <w:rFonts w:ascii="Arial" w:hAnsi="Arial" w:eastAsia="Calibri" w:cs="Arial" w:asciiTheme="minorBidi" w:hAnsiTheme="minorBidi" w:eastAsiaTheme="minorAscii" w:cstheme="minorBidi"/>
          <w:b w:val="1"/>
          <w:bCs w:val="1"/>
          <w:noProof/>
          <w:color w:val="auto"/>
          <w:sz w:val="22"/>
          <w:szCs w:val="22"/>
          <w:lang w:val="en-GB"/>
        </w:rPr>
      </w:sdtEndPr>
      <w:sdtContent>
        <w:p w:rsidRPr="00286317" w:rsidR="00286317" w:rsidP="00286317" w:rsidRDefault="00286317" w14:paraId="4F33C892" w14:textId="64A983C1">
          <w:pPr>
            <w:pStyle w:val="TOCHeading"/>
            <w:spacing w:line="360" w:lineRule="auto"/>
            <w:jc w:val="both"/>
            <w:rPr>
              <w:rFonts w:asciiTheme="minorBidi" w:hAnsiTheme="minorBidi" w:cstheme="minorBidi"/>
              <w:color w:val="auto"/>
              <w:sz w:val="22"/>
              <w:szCs w:val="22"/>
              <w:lang w:val="en-GB"/>
            </w:rPr>
          </w:pPr>
          <w:r w:rsidRPr="00286317">
            <w:rPr>
              <w:rFonts w:asciiTheme="minorBidi" w:hAnsiTheme="minorBidi" w:cstheme="minorBidi"/>
              <w:b/>
              <w:bCs/>
              <w:color w:val="auto"/>
              <w:sz w:val="22"/>
              <w:szCs w:val="22"/>
              <w:lang w:val="en-GB"/>
            </w:rPr>
            <w:t>Contents</w:t>
          </w:r>
        </w:p>
        <w:p w:rsidRPr="00286317" w:rsidR="00286317" w:rsidP="00286317" w:rsidRDefault="00286317" w14:paraId="57EB28BA" w14:textId="3D459489">
          <w:pPr>
            <w:pStyle w:val="TOC1"/>
            <w:tabs>
              <w:tab w:val="right" w:leader="dot" w:pos="9350"/>
            </w:tabs>
            <w:spacing w:line="360" w:lineRule="auto"/>
            <w:jc w:val="both"/>
            <w:rPr>
              <w:rFonts w:asciiTheme="minorBidi" w:hAnsiTheme="minorBidi"/>
              <w:noProof/>
              <w:lang w:val="en-GB"/>
            </w:rPr>
          </w:pPr>
          <w:r w:rsidRPr="00286317">
            <w:rPr>
              <w:rFonts w:asciiTheme="minorBidi" w:hAnsiTheme="minorBidi"/>
              <w:lang w:val="en-GB"/>
            </w:rPr>
            <w:fldChar w:fldCharType="begin"/>
          </w:r>
          <w:r w:rsidRPr="00286317">
            <w:rPr>
              <w:rFonts w:asciiTheme="minorBidi" w:hAnsiTheme="minorBidi"/>
              <w:lang w:val="en-GB"/>
            </w:rPr>
            <w:instrText xml:space="preserve"> TOC \o "1-3" \h \z \u </w:instrText>
          </w:r>
          <w:r w:rsidRPr="00286317">
            <w:rPr>
              <w:rFonts w:asciiTheme="minorBidi" w:hAnsiTheme="minorBidi"/>
              <w:lang w:val="en-GB"/>
            </w:rPr>
            <w:fldChar w:fldCharType="separate"/>
          </w:r>
          <w:hyperlink w:history="1" w:anchor="_Toc210427364">
            <w:r w:rsidRPr="00286317">
              <w:rPr>
                <w:rStyle w:val="Hyperlink"/>
                <w:rFonts w:asciiTheme="minorBidi" w:hAnsiTheme="minorBidi"/>
                <w:noProof/>
                <w:color w:val="auto"/>
                <w:lang w:val="en-GB"/>
              </w:rPr>
              <w:t>Introduction</w:t>
            </w:r>
            <w:r w:rsidRPr="00286317">
              <w:rPr>
                <w:rFonts w:asciiTheme="minorBidi" w:hAnsiTheme="minorBidi"/>
                <w:noProof/>
                <w:webHidden/>
                <w:lang w:val="en-GB"/>
              </w:rPr>
              <w:tab/>
            </w:r>
            <w:r w:rsidRPr="00286317">
              <w:rPr>
                <w:rFonts w:asciiTheme="minorBidi" w:hAnsiTheme="minorBidi"/>
                <w:noProof/>
                <w:webHidden/>
                <w:lang w:val="en-GB"/>
              </w:rPr>
              <w:fldChar w:fldCharType="begin"/>
            </w:r>
            <w:r w:rsidRPr="00286317">
              <w:rPr>
                <w:rFonts w:asciiTheme="minorBidi" w:hAnsiTheme="minorBidi"/>
                <w:noProof/>
                <w:webHidden/>
                <w:lang w:val="en-GB"/>
              </w:rPr>
              <w:instrText xml:space="preserve"> PAGEREF _Toc210427364 \h </w:instrText>
            </w:r>
            <w:r w:rsidRPr="00286317">
              <w:rPr>
                <w:rFonts w:asciiTheme="minorBidi" w:hAnsiTheme="minorBidi"/>
                <w:noProof/>
                <w:webHidden/>
                <w:lang w:val="en-GB"/>
              </w:rPr>
            </w:r>
            <w:r w:rsidRPr="00286317">
              <w:rPr>
                <w:rFonts w:asciiTheme="minorBidi" w:hAnsiTheme="minorBidi"/>
                <w:noProof/>
                <w:webHidden/>
                <w:lang w:val="en-GB"/>
              </w:rPr>
              <w:fldChar w:fldCharType="separate"/>
            </w:r>
            <w:r w:rsidRPr="00286317">
              <w:rPr>
                <w:rFonts w:asciiTheme="minorBidi" w:hAnsiTheme="minorBidi"/>
                <w:noProof/>
                <w:webHidden/>
                <w:lang w:val="en-GB"/>
              </w:rPr>
              <w:t>3</w:t>
            </w:r>
            <w:r w:rsidRPr="00286317">
              <w:rPr>
                <w:rFonts w:asciiTheme="minorBidi" w:hAnsiTheme="minorBidi"/>
                <w:noProof/>
                <w:webHidden/>
                <w:lang w:val="en-GB"/>
              </w:rPr>
              <w:fldChar w:fldCharType="end"/>
            </w:r>
          </w:hyperlink>
        </w:p>
        <w:p w:rsidRPr="00286317" w:rsidR="00286317" w:rsidP="00286317" w:rsidRDefault="00286317" w14:paraId="7386465A" w14:textId="51FF92CA">
          <w:pPr>
            <w:pStyle w:val="TOC1"/>
            <w:tabs>
              <w:tab w:val="right" w:leader="dot" w:pos="9350"/>
            </w:tabs>
            <w:spacing w:line="360" w:lineRule="auto"/>
            <w:jc w:val="both"/>
            <w:rPr>
              <w:rFonts w:asciiTheme="minorBidi" w:hAnsiTheme="minorBidi"/>
              <w:noProof/>
              <w:lang w:val="en-GB"/>
            </w:rPr>
          </w:pPr>
          <w:hyperlink w:history="1" w:anchor="_Toc210427365">
            <w:r w:rsidRPr="00286317">
              <w:rPr>
                <w:rStyle w:val="Hyperlink"/>
                <w:rFonts w:asciiTheme="minorBidi" w:hAnsiTheme="minorBidi"/>
                <w:noProof/>
                <w:color w:val="auto"/>
                <w:lang w:val="en-GB"/>
              </w:rPr>
              <w:t>Person-Centred Care (PCC)</w:t>
            </w:r>
            <w:r w:rsidRPr="00286317">
              <w:rPr>
                <w:rFonts w:asciiTheme="minorBidi" w:hAnsiTheme="minorBidi"/>
                <w:noProof/>
                <w:webHidden/>
                <w:lang w:val="en-GB"/>
              </w:rPr>
              <w:tab/>
            </w:r>
            <w:r w:rsidRPr="00286317">
              <w:rPr>
                <w:rFonts w:asciiTheme="minorBidi" w:hAnsiTheme="minorBidi"/>
                <w:noProof/>
                <w:webHidden/>
                <w:lang w:val="en-GB"/>
              </w:rPr>
              <w:fldChar w:fldCharType="begin"/>
            </w:r>
            <w:r w:rsidRPr="00286317">
              <w:rPr>
                <w:rFonts w:asciiTheme="minorBidi" w:hAnsiTheme="minorBidi"/>
                <w:noProof/>
                <w:webHidden/>
                <w:lang w:val="en-GB"/>
              </w:rPr>
              <w:instrText xml:space="preserve"> PAGEREF _Toc210427365 \h </w:instrText>
            </w:r>
            <w:r w:rsidRPr="00286317">
              <w:rPr>
                <w:rFonts w:asciiTheme="minorBidi" w:hAnsiTheme="minorBidi"/>
                <w:noProof/>
                <w:webHidden/>
                <w:lang w:val="en-GB"/>
              </w:rPr>
            </w:r>
            <w:r w:rsidRPr="00286317">
              <w:rPr>
                <w:rFonts w:asciiTheme="minorBidi" w:hAnsiTheme="minorBidi"/>
                <w:noProof/>
                <w:webHidden/>
                <w:lang w:val="en-GB"/>
              </w:rPr>
              <w:fldChar w:fldCharType="separate"/>
            </w:r>
            <w:r w:rsidRPr="00286317">
              <w:rPr>
                <w:rFonts w:asciiTheme="minorBidi" w:hAnsiTheme="minorBidi"/>
                <w:noProof/>
                <w:webHidden/>
                <w:lang w:val="en-GB"/>
              </w:rPr>
              <w:t>3</w:t>
            </w:r>
            <w:r w:rsidRPr="00286317">
              <w:rPr>
                <w:rFonts w:asciiTheme="minorBidi" w:hAnsiTheme="minorBidi"/>
                <w:noProof/>
                <w:webHidden/>
                <w:lang w:val="en-GB"/>
              </w:rPr>
              <w:fldChar w:fldCharType="end"/>
            </w:r>
          </w:hyperlink>
        </w:p>
        <w:p w:rsidRPr="00286317" w:rsidR="00286317" w:rsidP="00286317" w:rsidRDefault="00286317" w14:paraId="0145E249" w14:textId="602BF199">
          <w:pPr>
            <w:pStyle w:val="TOC1"/>
            <w:tabs>
              <w:tab w:val="right" w:leader="dot" w:pos="9350"/>
            </w:tabs>
            <w:spacing w:line="360" w:lineRule="auto"/>
            <w:jc w:val="both"/>
            <w:rPr>
              <w:rFonts w:asciiTheme="minorBidi" w:hAnsiTheme="minorBidi"/>
              <w:noProof/>
              <w:lang w:val="en-GB"/>
            </w:rPr>
          </w:pPr>
          <w:hyperlink w:history="1" w:anchor="_Toc210427366">
            <w:r w:rsidRPr="00286317">
              <w:rPr>
                <w:rStyle w:val="Hyperlink"/>
                <w:rFonts w:asciiTheme="minorBidi" w:hAnsiTheme="minorBidi"/>
                <w:noProof/>
                <w:color w:val="auto"/>
                <w:lang w:val="en-GB"/>
              </w:rPr>
              <w:t>Theories/Models Underpinning PCC</w:t>
            </w:r>
            <w:r w:rsidRPr="00286317">
              <w:rPr>
                <w:rFonts w:asciiTheme="minorBidi" w:hAnsiTheme="minorBidi"/>
                <w:noProof/>
                <w:webHidden/>
                <w:lang w:val="en-GB"/>
              </w:rPr>
              <w:tab/>
            </w:r>
            <w:r w:rsidRPr="00286317">
              <w:rPr>
                <w:rFonts w:asciiTheme="minorBidi" w:hAnsiTheme="minorBidi"/>
                <w:noProof/>
                <w:webHidden/>
                <w:lang w:val="en-GB"/>
              </w:rPr>
              <w:fldChar w:fldCharType="begin"/>
            </w:r>
            <w:r w:rsidRPr="00286317">
              <w:rPr>
                <w:rFonts w:asciiTheme="minorBidi" w:hAnsiTheme="minorBidi"/>
                <w:noProof/>
                <w:webHidden/>
                <w:lang w:val="en-GB"/>
              </w:rPr>
              <w:instrText xml:space="preserve"> PAGEREF _Toc210427366 \h </w:instrText>
            </w:r>
            <w:r w:rsidRPr="00286317">
              <w:rPr>
                <w:rFonts w:asciiTheme="minorBidi" w:hAnsiTheme="minorBidi"/>
                <w:noProof/>
                <w:webHidden/>
                <w:lang w:val="en-GB"/>
              </w:rPr>
            </w:r>
            <w:r w:rsidRPr="00286317">
              <w:rPr>
                <w:rFonts w:asciiTheme="minorBidi" w:hAnsiTheme="minorBidi"/>
                <w:noProof/>
                <w:webHidden/>
                <w:lang w:val="en-GB"/>
              </w:rPr>
              <w:fldChar w:fldCharType="separate"/>
            </w:r>
            <w:r w:rsidRPr="00286317">
              <w:rPr>
                <w:rFonts w:asciiTheme="minorBidi" w:hAnsiTheme="minorBidi"/>
                <w:noProof/>
                <w:webHidden/>
                <w:lang w:val="en-GB"/>
              </w:rPr>
              <w:t>4</w:t>
            </w:r>
            <w:r w:rsidRPr="00286317">
              <w:rPr>
                <w:rFonts w:asciiTheme="minorBidi" w:hAnsiTheme="minorBidi"/>
                <w:noProof/>
                <w:webHidden/>
                <w:lang w:val="en-GB"/>
              </w:rPr>
              <w:fldChar w:fldCharType="end"/>
            </w:r>
          </w:hyperlink>
        </w:p>
        <w:p w:rsidRPr="00286317" w:rsidR="00286317" w:rsidP="00286317" w:rsidRDefault="00286317" w14:paraId="7106BA19" w14:textId="0E26CA74">
          <w:pPr>
            <w:pStyle w:val="TOC1"/>
            <w:tabs>
              <w:tab w:val="right" w:leader="dot" w:pos="9350"/>
            </w:tabs>
            <w:spacing w:line="360" w:lineRule="auto"/>
            <w:jc w:val="both"/>
            <w:rPr>
              <w:rFonts w:asciiTheme="minorBidi" w:hAnsiTheme="minorBidi"/>
              <w:noProof/>
              <w:lang w:val="en-GB"/>
            </w:rPr>
          </w:pPr>
          <w:hyperlink w:history="1" w:anchor="_Toc210427367">
            <w:r w:rsidRPr="00286317">
              <w:rPr>
                <w:rStyle w:val="Hyperlink"/>
                <w:rFonts w:asciiTheme="minorBidi" w:hAnsiTheme="minorBidi"/>
                <w:noProof/>
                <w:color w:val="auto"/>
                <w:lang w:val="en-GB"/>
              </w:rPr>
              <w:t>Ethical Fundamentals in Health and Social Care</w:t>
            </w:r>
            <w:r w:rsidRPr="00286317">
              <w:rPr>
                <w:rFonts w:asciiTheme="minorBidi" w:hAnsiTheme="minorBidi"/>
                <w:noProof/>
                <w:webHidden/>
                <w:lang w:val="en-GB"/>
              </w:rPr>
              <w:tab/>
            </w:r>
            <w:r w:rsidRPr="00286317">
              <w:rPr>
                <w:rFonts w:asciiTheme="minorBidi" w:hAnsiTheme="minorBidi"/>
                <w:noProof/>
                <w:webHidden/>
                <w:lang w:val="en-GB"/>
              </w:rPr>
              <w:fldChar w:fldCharType="begin"/>
            </w:r>
            <w:r w:rsidRPr="00286317">
              <w:rPr>
                <w:rFonts w:asciiTheme="minorBidi" w:hAnsiTheme="minorBidi"/>
                <w:noProof/>
                <w:webHidden/>
                <w:lang w:val="en-GB"/>
              </w:rPr>
              <w:instrText xml:space="preserve"> PAGEREF _Toc210427367 \h </w:instrText>
            </w:r>
            <w:r w:rsidRPr="00286317">
              <w:rPr>
                <w:rFonts w:asciiTheme="minorBidi" w:hAnsiTheme="minorBidi"/>
                <w:noProof/>
                <w:webHidden/>
                <w:lang w:val="en-GB"/>
              </w:rPr>
            </w:r>
            <w:r w:rsidRPr="00286317">
              <w:rPr>
                <w:rFonts w:asciiTheme="minorBidi" w:hAnsiTheme="minorBidi"/>
                <w:noProof/>
                <w:webHidden/>
                <w:lang w:val="en-GB"/>
              </w:rPr>
              <w:fldChar w:fldCharType="separate"/>
            </w:r>
            <w:r w:rsidRPr="00286317">
              <w:rPr>
                <w:rFonts w:asciiTheme="minorBidi" w:hAnsiTheme="minorBidi"/>
                <w:noProof/>
                <w:webHidden/>
                <w:lang w:val="en-GB"/>
              </w:rPr>
              <w:t>5</w:t>
            </w:r>
            <w:r w:rsidRPr="00286317">
              <w:rPr>
                <w:rFonts w:asciiTheme="minorBidi" w:hAnsiTheme="minorBidi"/>
                <w:noProof/>
                <w:webHidden/>
                <w:lang w:val="en-GB"/>
              </w:rPr>
              <w:fldChar w:fldCharType="end"/>
            </w:r>
          </w:hyperlink>
        </w:p>
        <w:p w:rsidRPr="00286317" w:rsidR="00286317" w:rsidP="00286317" w:rsidRDefault="00286317" w14:paraId="2A1E3809" w14:textId="6444DD5C">
          <w:pPr>
            <w:pStyle w:val="TOC1"/>
            <w:tabs>
              <w:tab w:val="right" w:leader="dot" w:pos="9350"/>
            </w:tabs>
            <w:spacing w:line="360" w:lineRule="auto"/>
            <w:jc w:val="both"/>
            <w:rPr>
              <w:rFonts w:asciiTheme="minorBidi" w:hAnsiTheme="minorBidi"/>
              <w:noProof/>
              <w:lang w:val="en-GB"/>
            </w:rPr>
          </w:pPr>
          <w:hyperlink w:history="1" w:anchor="_Toc210427368">
            <w:r w:rsidRPr="00286317">
              <w:rPr>
                <w:rStyle w:val="Hyperlink"/>
                <w:rFonts w:asciiTheme="minorBidi" w:hAnsiTheme="minorBidi"/>
                <w:noProof/>
                <w:color w:val="auto"/>
                <w:lang w:val="en-GB"/>
              </w:rPr>
              <w:t>Partnership Working (PW) in Health and Social Care</w:t>
            </w:r>
            <w:r w:rsidRPr="00286317">
              <w:rPr>
                <w:rFonts w:asciiTheme="minorBidi" w:hAnsiTheme="minorBidi"/>
                <w:noProof/>
                <w:webHidden/>
                <w:lang w:val="en-GB"/>
              </w:rPr>
              <w:tab/>
            </w:r>
            <w:r w:rsidRPr="00286317">
              <w:rPr>
                <w:rFonts w:asciiTheme="minorBidi" w:hAnsiTheme="minorBidi"/>
                <w:noProof/>
                <w:webHidden/>
                <w:lang w:val="en-GB"/>
              </w:rPr>
              <w:fldChar w:fldCharType="begin"/>
            </w:r>
            <w:r w:rsidRPr="00286317">
              <w:rPr>
                <w:rFonts w:asciiTheme="minorBidi" w:hAnsiTheme="minorBidi"/>
                <w:noProof/>
                <w:webHidden/>
                <w:lang w:val="en-GB"/>
              </w:rPr>
              <w:instrText xml:space="preserve"> PAGEREF _Toc210427368 \h </w:instrText>
            </w:r>
            <w:r w:rsidRPr="00286317">
              <w:rPr>
                <w:rFonts w:asciiTheme="minorBidi" w:hAnsiTheme="minorBidi"/>
                <w:noProof/>
                <w:webHidden/>
                <w:lang w:val="en-GB"/>
              </w:rPr>
            </w:r>
            <w:r w:rsidRPr="00286317">
              <w:rPr>
                <w:rFonts w:asciiTheme="minorBidi" w:hAnsiTheme="minorBidi"/>
                <w:noProof/>
                <w:webHidden/>
                <w:lang w:val="en-GB"/>
              </w:rPr>
              <w:fldChar w:fldCharType="separate"/>
            </w:r>
            <w:r w:rsidRPr="00286317">
              <w:rPr>
                <w:rFonts w:asciiTheme="minorBidi" w:hAnsiTheme="minorBidi"/>
                <w:noProof/>
                <w:webHidden/>
                <w:lang w:val="en-GB"/>
              </w:rPr>
              <w:t>5</w:t>
            </w:r>
            <w:r w:rsidRPr="00286317">
              <w:rPr>
                <w:rFonts w:asciiTheme="minorBidi" w:hAnsiTheme="minorBidi"/>
                <w:noProof/>
                <w:webHidden/>
                <w:lang w:val="en-GB"/>
              </w:rPr>
              <w:fldChar w:fldCharType="end"/>
            </w:r>
          </w:hyperlink>
        </w:p>
        <w:p w:rsidRPr="00286317" w:rsidR="00286317" w:rsidP="00286317" w:rsidRDefault="00286317" w14:paraId="64588650" w14:textId="5CFF9A2A">
          <w:pPr>
            <w:pStyle w:val="TOC1"/>
            <w:tabs>
              <w:tab w:val="right" w:leader="dot" w:pos="9350"/>
            </w:tabs>
            <w:spacing w:line="360" w:lineRule="auto"/>
            <w:jc w:val="both"/>
            <w:rPr>
              <w:rFonts w:asciiTheme="minorBidi" w:hAnsiTheme="minorBidi"/>
              <w:noProof/>
              <w:lang w:val="en-GB"/>
            </w:rPr>
          </w:pPr>
          <w:hyperlink w:history="1" w:anchor="_Toc210427369">
            <w:r w:rsidRPr="00286317">
              <w:rPr>
                <w:rStyle w:val="Hyperlink"/>
                <w:rFonts w:asciiTheme="minorBidi" w:hAnsiTheme="minorBidi"/>
                <w:noProof/>
                <w:color w:val="auto"/>
                <w:lang w:val="en-GB"/>
              </w:rPr>
              <w:t>Application of PW in Practice</w:t>
            </w:r>
            <w:r w:rsidRPr="00286317">
              <w:rPr>
                <w:rFonts w:asciiTheme="minorBidi" w:hAnsiTheme="minorBidi"/>
                <w:noProof/>
                <w:webHidden/>
                <w:lang w:val="en-GB"/>
              </w:rPr>
              <w:tab/>
            </w:r>
            <w:r w:rsidRPr="00286317">
              <w:rPr>
                <w:rFonts w:asciiTheme="minorBidi" w:hAnsiTheme="minorBidi"/>
                <w:noProof/>
                <w:webHidden/>
                <w:lang w:val="en-GB"/>
              </w:rPr>
              <w:fldChar w:fldCharType="begin"/>
            </w:r>
            <w:r w:rsidRPr="00286317">
              <w:rPr>
                <w:rFonts w:asciiTheme="minorBidi" w:hAnsiTheme="minorBidi"/>
                <w:noProof/>
                <w:webHidden/>
                <w:lang w:val="en-GB"/>
              </w:rPr>
              <w:instrText xml:space="preserve"> PAGEREF _Toc210427369 \h </w:instrText>
            </w:r>
            <w:r w:rsidRPr="00286317">
              <w:rPr>
                <w:rFonts w:asciiTheme="minorBidi" w:hAnsiTheme="minorBidi"/>
                <w:noProof/>
                <w:webHidden/>
                <w:lang w:val="en-GB"/>
              </w:rPr>
            </w:r>
            <w:r w:rsidRPr="00286317">
              <w:rPr>
                <w:rFonts w:asciiTheme="minorBidi" w:hAnsiTheme="minorBidi"/>
                <w:noProof/>
                <w:webHidden/>
                <w:lang w:val="en-GB"/>
              </w:rPr>
              <w:fldChar w:fldCharType="separate"/>
            </w:r>
            <w:r w:rsidRPr="00286317">
              <w:rPr>
                <w:rFonts w:asciiTheme="minorBidi" w:hAnsiTheme="minorBidi"/>
                <w:noProof/>
                <w:webHidden/>
                <w:lang w:val="en-GB"/>
              </w:rPr>
              <w:t>6</w:t>
            </w:r>
            <w:r w:rsidRPr="00286317">
              <w:rPr>
                <w:rFonts w:asciiTheme="minorBidi" w:hAnsiTheme="minorBidi"/>
                <w:noProof/>
                <w:webHidden/>
                <w:lang w:val="en-GB"/>
              </w:rPr>
              <w:fldChar w:fldCharType="end"/>
            </w:r>
          </w:hyperlink>
        </w:p>
        <w:p w:rsidRPr="00286317" w:rsidR="00286317" w:rsidP="00286317" w:rsidRDefault="00286317" w14:paraId="33258B1F" w14:textId="682708C7">
          <w:pPr>
            <w:pStyle w:val="TOC1"/>
            <w:tabs>
              <w:tab w:val="right" w:leader="dot" w:pos="9350"/>
            </w:tabs>
            <w:spacing w:line="360" w:lineRule="auto"/>
            <w:jc w:val="both"/>
            <w:rPr>
              <w:rFonts w:asciiTheme="minorBidi" w:hAnsiTheme="minorBidi"/>
              <w:noProof/>
              <w:lang w:val="en-GB"/>
            </w:rPr>
          </w:pPr>
          <w:hyperlink w:history="1" w:anchor="_Toc210427370">
            <w:r w:rsidRPr="00286317">
              <w:rPr>
                <w:rStyle w:val="Hyperlink"/>
                <w:rFonts w:asciiTheme="minorBidi" w:hAnsiTheme="minorBidi"/>
                <w:noProof/>
                <w:color w:val="auto"/>
                <w:lang w:val="en-GB"/>
              </w:rPr>
              <w:t>Policy and Legislation</w:t>
            </w:r>
            <w:r w:rsidRPr="00286317">
              <w:rPr>
                <w:rFonts w:asciiTheme="minorBidi" w:hAnsiTheme="minorBidi"/>
                <w:noProof/>
                <w:webHidden/>
                <w:lang w:val="en-GB"/>
              </w:rPr>
              <w:tab/>
            </w:r>
            <w:r w:rsidRPr="00286317">
              <w:rPr>
                <w:rFonts w:asciiTheme="minorBidi" w:hAnsiTheme="minorBidi"/>
                <w:noProof/>
                <w:webHidden/>
                <w:lang w:val="en-GB"/>
              </w:rPr>
              <w:fldChar w:fldCharType="begin"/>
            </w:r>
            <w:r w:rsidRPr="00286317">
              <w:rPr>
                <w:rFonts w:asciiTheme="minorBidi" w:hAnsiTheme="minorBidi"/>
                <w:noProof/>
                <w:webHidden/>
                <w:lang w:val="en-GB"/>
              </w:rPr>
              <w:instrText xml:space="preserve"> PAGEREF _Toc210427370 \h </w:instrText>
            </w:r>
            <w:r w:rsidRPr="00286317">
              <w:rPr>
                <w:rFonts w:asciiTheme="minorBidi" w:hAnsiTheme="minorBidi"/>
                <w:noProof/>
                <w:webHidden/>
                <w:lang w:val="en-GB"/>
              </w:rPr>
            </w:r>
            <w:r w:rsidRPr="00286317">
              <w:rPr>
                <w:rFonts w:asciiTheme="minorBidi" w:hAnsiTheme="minorBidi"/>
                <w:noProof/>
                <w:webHidden/>
                <w:lang w:val="en-GB"/>
              </w:rPr>
              <w:fldChar w:fldCharType="separate"/>
            </w:r>
            <w:r w:rsidRPr="00286317">
              <w:rPr>
                <w:rFonts w:asciiTheme="minorBidi" w:hAnsiTheme="minorBidi"/>
                <w:noProof/>
                <w:webHidden/>
                <w:lang w:val="en-GB"/>
              </w:rPr>
              <w:t>6</w:t>
            </w:r>
            <w:r w:rsidRPr="00286317">
              <w:rPr>
                <w:rFonts w:asciiTheme="minorBidi" w:hAnsiTheme="minorBidi"/>
                <w:noProof/>
                <w:webHidden/>
                <w:lang w:val="en-GB"/>
              </w:rPr>
              <w:fldChar w:fldCharType="end"/>
            </w:r>
          </w:hyperlink>
        </w:p>
        <w:p w:rsidRPr="00286317" w:rsidR="00286317" w:rsidP="00286317" w:rsidRDefault="00286317" w14:paraId="4256F8DB" w14:textId="61A16BC0">
          <w:pPr>
            <w:pStyle w:val="TOC1"/>
            <w:tabs>
              <w:tab w:val="right" w:leader="dot" w:pos="9350"/>
            </w:tabs>
            <w:spacing w:line="360" w:lineRule="auto"/>
            <w:jc w:val="both"/>
            <w:rPr>
              <w:rFonts w:asciiTheme="minorBidi" w:hAnsiTheme="minorBidi"/>
              <w:noProof/>
              <w:lang w:val="en-GB"/>
            </w:rPr>
          </w:pPr>
          <w:hyperlink w:history="1" w:anchor="_Toc210427371">
            <w:r w:rsidRPr="00286317">
              <w:rPr>
                <w:rStyle w:val="Hyperlink"/>
                <w:rFonts w:asciiTheme="minorBidi" w:hAnsiTheme="minorBidi"/>
                <w:noProof/>
                <w:color w:val="auto"/>
                <w:lang w:val="en-GB"/>
              </w:rPr>
              <w:t>Future Development.</w:t>
            </w:r>
            <w:r w:rsidRPr="00286317">
              <w:rPr>
                <w:rFonts w:asciiTheme="minorBidi" w:hAnsiTheme="minorBidi"/>
                <w:noProof/>
                <w:webHidden/>
                <w:lang w:val="en-GB"/>
              </w:rPr>
              <w:tab/>
            </w:r>
            <w:r w:rsidRPr="00286317">
              <w:rPr>
                <w:rFonts w:asciiTheme="minorBidi" w:hAnsiTheme="minorBidi"/>
                <w:noProof/>
                <w:webHidden/>
                <w:lang w:val="en-GB"/>
              </w:rPr>
              <w:fldChar w:fldCharType="begin"/>
            </w:r>
            <w:r w:rsidRPr="00286317">
              <w:rPr>
                <w:rFonts w:asciiTheme="minorBidi" w:hAnsiTheme="minorBidi"/>
                <w:noProof/>
                <w:webHidden/>
                <w:lang w:val="en-GB"/>
              </w:rPr>
              <w:instrText xml:space="preserve"> PAGEREF _Toc210427371 \h </w:instrText>
            </w:r>
            <w:r w:rsidRPr="00286317">
              <w:rPr>
                <w:rFonts w:asciiTheme="minorBidi" w:hAnsiTheme="minorBidi"/>
                <w:noProof/>
                <w:webHidden/>
                <w:lang w:val="en-GB"/>
              </w:rPr>
            </w:r>
            <w:r w:rsidRPr="00286317">
              <w:rPr>
                <w:rFonts w:asciiTheme="minorBidi" w:hAnsiTheme="minorBidi"/>
                <w:noProof/>
                <w:webHidden/>
                <w:lang w:val="en-GB"/>
              </w:rPr>
              <w:fldChar w:fldCharType="separate"/>
            </w:r>
            <w:r w:rsidRPr="00286317">
              <w:rPr>
                <w:rFonts w:asciiTheme="minorBidi" w:hAnsiTheme="minorBidi"/>
                <w:noProof/>
                <w:webHidden/>
                <w:lang w:val="en-GB"/>
              </w:rPr>
              <w:t>7</w:t>
            </w:r>
            <w:r w:rsidRPr="00286317">
              <w:rPr>
                <w:rFonts w:asciiTheme="minorBidi" w:hAnsiTheme="minorBidi"/>
                <w:noProof/>
                <w:webHidden/>
                <w:lang w:val="en-GB"/>
              </w:rPr>
              <w:fldChar w:fldCharType="end"/>
            </w:r>
          </w:hyperlink>
        </w:p>
        <w:p w:rsidRPr="00286317" w:rsidR="00286317" w:rsidP="00286317" w:rsidRDefault="00286317" w14:paraId="1D95C62C" w14:textId="5297B5FF">
          <w:pPr>
            <w:pStyle w:val="TOC1"/>
            <w:tabs>
              <w:tab w:val="right" w:leader="dot" w:pos="9350"/>
            </w:tabs>
            <w:spacing w:line="360" w:lineRule="auto"/>
            <w:jc w:val="both"/>
            <w:rPr>
              <w:rFonts w:asciiTheme="minorBidi" w:hAnsiTheme="minorBidi"/>
              <w:noProof/>
              <w:lang w:val="en-GB"/>
            </w:rPr>
          </w:pPr>
          <w:hyperlink w:history="1" w:anchor="_Toc210427372">
            <w:r w:rsidRPr="00286317">
              <w:rPr>
                <w:rStyle w:val="Hyperlink"/>
                <w:rFonts w:asciiTheme="minorBidi" w:hAnsiTheme="minorBidi"/>
                <w:noProof/>
                <w:color w:val="auto"/>
                <w:lang w:val="en-GB"/>
              </w:rPr>
              <w:t>Conclusion</w:t>
            </w:r>
            <w:r w:rsidRPr="00286317">
              <w:rPr>
                <w:rFonts w:asciiTheme="minorBidi" w:hAnsiTheme="minorBidi"/>
                <w:noProof/>
                <w:webHidden/>
                <w:lang w:val="en-GB"/>
              </w:rPr>
              <w:tab/>
            </w:r>
            <w:r w:rsidRPr="00286317">
              <w:rPr>
                <w:rFonts w:asciiTheme="minorBidi" w:hAnsiTheme="minorBidi"/>
                <w:noProof/>
                <w:webHidden/>
                <w:lang w:val="en-GB"/>
              </w:rPr>
              <w:fldChar w:fldCharType="begin"/>
            </w:r>
            <w:r w:rsidRPr="00286317">
              <w:rPr>
                <w:rFonts w:asciiTheme="minorBidi" w:hAnsiTheme="minorBidi"/>
                <w:noProof/>
                <w:webHidden/>
                <w:lang w:val="en-GB"/>
              </w:rPr>
              <w:instrText xml:space="preserve"> PAGEREF _Toc210427372 \h </w:instrText>
            </w:r>
            <w:r w:rsidRPr="00286317">
              <w:rPr>
                <w:rFonts w:asciiTheme="minorBidi" w:hAnsiTheme="minorBidi"/>
                <w:noProof/>
                <w:webHidden/>
                <w:lang w:val="en-GB"/>
              </w:rPr>
            </w:r>
            <w:r w:rsidRPr="00286317">
              <w:rPr>
                <w:rFonts w:asciiTheme="minorBidi" w:hAnsiTheme="minorBidi"/>
                <w:noProof/>
                <w:webHidden/>
                <w:lang w:val="en-GB"/>
              </w:rPr>
              <w:fldChar w:fldCharType="separate"/>
            </w:r>
            <w:r w:rsidRPr="00286317">
              <w:rPr>
                <w:rFonts w:asciiTheme="minorBidi" w:hAnsiTheme="minorBidi"/>
                <w:noProof/>
                <w:webHidden/>
                <w:lang w:val="en-GB"/>
              </w:rPr>
              <w:t>7</w:t>
            </w:r>
            <w:r w:rsidRPr="00286317">
              <w:rPr>
                <w:rFonts w:asciiTheme="minorBidi" w:hAnsiTheme="minorBidi"/>
                <w:noProof/>
                <w:webHidden/>
                <w:lang w:val="en-GB"/>
              </w:rPr>
              <w:fldChar w:fldCharType="end"/>
            </w:r>
          </w:hyperlink>
        </w:p>
        <w:p w:rsidRPr="00286317" w:rsidR="00286317" w:rsidP="00286317" w:rsidRDefault="00286317" w14:paraId="15E04CF2" w14:textId="778D52AF">
          <w:pPr>
            <w:pStyle w:val="TOC1"/>
            <w:tabs>
              <w:tab w:val="right" w:leader="dot" w:pos="9350"/>
            </w:tabs>
            <w:spacing w:line="360" w:lineRule="auto"/>
            <w:jc w:val="both"/>
            <w:rPr>
              <w:rFonts w:asciiTheme="minorBidi" w:hAnsiTheme="minorBidi"/>
              <w:noProof/>
              <w:lang w:val="en-GB"/>
            </w:rPr>
          </w:pPr>
          <w:hyperlink w:history="1" w:anchor="_Toc210427373">
            <w:r w:rsidRPr="00286317">
              <w:rPr>
                <w:rStyle w:val="Hyperlink"/>
                <w:rFonts w:asciiTheme="minorBidi" w:hAnsiTheme="minorBidi"/>
                <w:noProof/>
                <w:color w:val="auto"/>
                <w:lang w:val="en-GB"/>
              </w:rPr>
              <w:t>References</w:t>
            </w:r>
            <w:r w:rsidRPr="00286317">
              <w:rPr>
                <w:rFonts w:asciiTheme="minorBidi" w:hAnsiTheme="minorBidi"/>
                <w:noProof/>
                <w:webHidden/>
                <w:lang w:val="en-GB"/>
              </w:rPr>
              <w:tab/>
            </w:r>
            <w:r w:rsidRPr="00286317">
              <w:rPr>
                <w:rFonts w:asciiTheme="minorBidi" w:hAnsiTheme="minorBidi"/>
                <w:noProof/>
                <w:webHidden/>
                <w:lang w:val="en-GB"/>
              </w:rPr>
              <w:fldChar w:fldCharType="begin"/>
            </w:r>
            <w:r w:rsidRPr="00286317">
              <w:rPr>
                <w:rFonts w:asciiTheme="minorBidi" w:hAnsiTheme="minorBidi"/>
                <w:noProof/>
                <w:webHidden/>
                <w:lang w:val="en-GB"/>
              </w:rPr>
              <w:instrText xml:space="preserve"> PAGEREF _Toc210427373 \h </w:instrText>
            </w:r>
            <w:r w:rsidRPr="00286317">
              <w:rPr>
                <w:rFonts w:asciiTheme="minorBidi" w:hAnsiTheme="minorBidi"/>
                <w:noProof/>
                <w:webHidden/>
                <w:lang w:val="en-GB"/>
              </w:rPr>
            </w:r>
            <w:r w:rsidRPr="00286317">
              <w:rPr>
                <w:rFonts w:asciiTheme="minorBidi" w:hAnsiTheme="minorBidi"/>
                <w:noProof/>
                <w:webHidden/>
                <w:lang w:val="en-GB"/>
              </w:rPr>
              <w:fldChar w:fldCharType="separate"/>
            </w:r>
            <w:r w:rsidRPr="00286317">
              <w:rPr>
                <w:rFonts w:asciiTheme="minorBidi" w:hAnsiTheme="minorBidi"/>
                <w:noProof/>
                <w:webHidden/>
                <w:lang w:val="en-GB"/>
              </w:rPr>
              <w:t>8</w:t>
            </w:r>
            <w:r w:rsidRPr="00286317">
              <w:rPr>
                <w:rFonts w:asciiTheme="minorBidi" w:hAnsiTheme="minorBidi"/>
                <w:noProof/>
                <w:webHidden/>
                <w:lang w:val="en-GB"/>
              </w:rPr>
              <w:fldChar w:fldCharType="end"/>
            </w:r>
          </w:hyperlink>
        </w:p>
        <w:p w:rsidRPr="00286317" w:rsidR="00286317" w:rsidP="00286317" w:rsidRDefault="00286317" w14:paraId="10A2691A" w14:textId="6F95E61B">
          <w:pPr>
            <w:spacing w:line="360" w:lineRule="auto"/>
            <w:jc w:val="both"/>
            <w:rPr>
              <w:rFonts w:asciiTheme="minorBidi" w:hAnsiTheme="minorBidi"/>
              <w:lang w:val="en-GB"/>
            </w:rPr>
          </w:pPr>
          <w:r w:rsidRPr="00286317">
            <w:rPr>
              <w:rFonts w:asciiTheme="minorBidi" w:hAnsiTheme="minorBidi"/>
              <w:b/>
              <w:bCs/>
              <w:noProof/>
              <w:lang w:val="en-GB"/>
            </w:rPr>
            <w:fldChar w:fldCharType="end"/>
          </w:r>
        </w:p>
      </w:sdtContent>
    </w:sdt>
    <w:p w:rsidRPr="00286317" w:rsidR="00286317" w:rsidP="00286317" w:rsidRDefault="00286317" w14:paraId="134B8F58" w14:textId="4070A2CA">
      <w:pPr>
        <w:spacing w:line="360" w:lineRule="auto"/>
        <w:jc w:val="both"/>
        <w:rPr>
          <w:rFonts w:asciiTheme="minorBidi" w:hAnsiTheme="minorBidi"/>
          <w:lang w:val="en-GB"/>
        </w:rPr>
      </w:pPr>
      <w:r w:rsidRPr="00286317">
        <w:rPr>
          <w:rFonts w:asciiTheme="minorBidi" w:hAnsiTheme="minorBidi"/>
          <w:lang w:val="en-GB"/>
        </w:rPr>
        <w:br w:type="page"/>
      </w:r>
    </w:p>
    <w:p w:rsidRPr="00286317" w:rsidR="00172C11" w:rsidP="00286317" w:rsidRDefault="00172C11" w14:paraId="2F76AA0E" w14:textId="135732FB">
      <w:pPr>
        <w:pStyle w:val="Heading1"/>
        <w:spacing w:line="360" w:lineRule="auto"/>
        <w:jc w:val="both"/>
        <w:rPr>
          <w:rFonts w:asciiTheme="minorBidi" w:hAnsiTheme="minorBidi" w:cstheme="minorBidi"/>
          <w:sz w:val="22"/>
          <w:szCs w:val="22"/>
          <w:lang w:val="en-GB"/>
        </w:rPr>
      </w:pPr>
      <w:bookmarkStart w:name="_Toc210427364" w:id="0"/>
      <w:r w:rsidRPr="00286317">
        <w:rPr>
          <w:rFonts w:asciiTheme="minorBidi" w:hAnsiTheme="minorBidi" w:cstheme="minorBidi"/>
          <w:sz w:val="22"/>
          <w:szCs w:val="22"/>
          <w:lang w:val="en-GB"/>
        </w:rPr>
        <w:lastRenderedPageBreak/>
        <w:t>Introduction</w:t>
      </w:r>
      <w:bookmarkEnd w:id="0"/>
    </w:p>
    <w:p w:rsidRPr="00286317" w:rsidR="00172C11" w:rsidP="00286317" w:rsidRDefault="00286317" w14:paraId="7666B5BF" w14:textId="286A3CB1">
      <w:pPr>
        <w:spacing w:line="360" w:lineRule="auto"/>
        <w:jc w:val="both"/>
        <w:rPr>
          <w:rFonts w:asciiTheme="minorBidi" w:hAnsiTheme="minorBidi"/>
          <w:lang w:val="en-GB"/>
        </w:rPr>
      </w:pPr>
      <w:r w:rsidRPr="00286317">
        <w:rPr>
          <w:rFonts w:asciiTheme="minorBidi" w:hAnsiTheme="minorBidi"/>
          <w:lang w:val="en-GB"/>
        </w:rPr>
        <w:t>Health and social care practice in the United Kingdom increasingly emphasises patient-focused approaches to ensure quality, equality and efficiency in services</w:t>
      </w:r>
      <w:r w:rsidRPr="00286317" w:rsidR="00172C11">
        <w:rPr>
          <w:rFonts w:asciiTheme="minorBidi" w:hAnsiTheme="minorBidi"/>
          <w:lang w:val="en-GB"/>
        </w:rPr>
        <w:t>. Person-centred care (PCC) and partnership working (PW) are two critical components of this agenda that are important to provide responsive and sustainable care. This report compares PCC to PW both in terms of their definitions, advantages, and disadvantages as well as their ethical underpinnings, theoretical basis and policy environments. It also examines how partnership working can be put into practise using the example of integrated care systems in England. The policy drivers of these approaches can be identified through key UK economic policies, including the Health and Social Care Act 2012 and NHS Long Term Plan. The analysis comes to the end with recommendations to progress PCC and PW to address the modern and future needs of health and social care in the UK.</w:t>
      </w:r>
    </w:p>
    <w:p w:rsidRPr="00286317" w:rsidR="00172C11" w:rsidP="00286317" w:rsidRDefault="00172C11" w14:paraId="5D575858" w14:textId="77777777">
      <w:pPr>
        <w:pStyle w:val="Heading1"/>
        <w:spacing w:line="360" w:lineRule="auto"/>
        <w:jc w:val="both"/>
        <w:rPr>
          <w:rFonts w:asciiTheme="minorBidi" w:hAnsiTheme="minorBidi" w:cstheme="minorBidi"/>
          <w:sz w:val="22"/>
          <w:szCs w:val="22"/>
          <w:lang w:val="en-GB"/>
        </w:rPr>
      </w:pPr>
      <w:bookmarkStart w:name="_Toc210427365" w:id="1"/>
      <w:r w:rsidRPr="00286317">
        <w:rPr>
          <w:rFonts w:asciiTheme="minorBidi" w:hAnsiTheme="minorBidi" w:cstheme="minorBidi"/>
          <w:sz w:val="22"/>
          <w:szCs w:val="22"/>
          <w:lang w:val="en-GB"/>
        </w:rPr>
        <w:t>Person-Centred Care (PCC)</w:t>
      </w:r>
      <w:bookmarkEnd w:id="1"/>
    </w:p>
    <w:p w:rsidRPr="00286317" w:rsidR="00172C11" w:rsidP="00286317" w:rsidRDefault="00172C11" w14:paraId="7AE520D3" w14:textId="39560C4D">
      <w:pPr>
        <w:spacing w:line="360" w:lineRule="auto"/>
        <w:jc w:val="both"/>
        <w:rPr>
          <w:rFonts w:asciiTheme="minorBidi" w:hAnsiTheme="minorBidi"/>
          <w:lang w:val="en-GB"/>
        </w:rPr>
      </w:pPr>
      <w:r w:rsidRPr="00286317">
        <w:rPr>
          <w:rFonts w:asciiTheme="minorBidi" w:hAnsiTheme="minorBidi"/>
          <w:lang w:val="en-GB"/>
        </w:rPr>
        <w:t xml:space="preserve">Person-centred care is a practise that places the preferences, values, and needs of people in the forefront instead of provider and standardised models of care. It also facilitates the respect of autonomy and dignity since it focuses interventions on the individual instead of using generic measures (Ebrahimi et al., 2020). PCC also focuses on shared decision-making, communication and a holistic approach which acknowledges patients as active participants in management of their care. According to Feldthusen et al. (2022), PCC is an approach that changes the face of health and social care to the </w:t>
      </w:r>
      <w:r w:rsidRPr="00286317" w:rsidR="00286317">
        <w:rPr>
          <w:rFonts w:asciiTheme="minorBidi" w:hAnsiTheme="minorBidi"/>
          <w:lang w:val="en-GB"/>
        </w:rPr>
        <w:t>real-life</w:t>
      </w:r>
      <w:r w:rsidRPr="00286317">
        <w:rPr>
          <w:rFonts w:asciiTheme="minorBidi" w:hAnsiTheme="minorBidi"/>
          <w:lang w:val="en-GB"/>
        </w:rPr>
        <w:t xml:space="preserve"> experiences of service users and is intended to become centred in all areas of interaction and treatment planning. All these definitions reveal that PCC is congruent with policy as well as ethical mandates to ensure that people are at the centre of care delivery.</w:t>
      </w:r>
    </w:p>
    <w:p w:rsidRPr="00286317" w:rsidR="00172C11" w:rsidP="00286317" w:rsidRDefault="00172C11" w14:paraId="43293E55" w14:textId="77777777">
      <w:pPr>
        <w:spacing w:line="360" w:lineRule="auto"/>
        <w:jc w:val="both"/>
        <w:rPr>
          <w:rFonts w:asciiTheme="minorBidi" w:hAnsiTheme="minorBidi"/>
          <w:lang w:val="en-GB"/>
        </w:rPr>
      </w:pPr>
      <w:r w:rsidRPr="00286317">
        <w:rPr>
          <w:rFonts w:asciiTheme="minorBidi" w:hAnsiTheme="minorBidi"/>
          <w:lang w:val="en-GB"/>
        </w:rPr>
        <w:t>The advantages of PCC are commonly reported within environments. As in Yu et al. (2023), the inpatient services implemented using PCC approaches were associated with improved clinical outcomes, patient satisfaction, and adverse events. Nkhoma et al. (2022) also found evidence that PCC interventions do reduce unnecessary hospitalisation and overall costs but improve patient wellbeing. PCC can improve patient and professional trust and thereby increase compliance with treatment plan and generate more sustainable healthcare results. These benefits justify the rationale behind the high-level of promotion of the UK policy agenda of using PCC as the instrument of enhancing care quality and efficiency.</w:t>
      </w:r>
    </w:p>
    <w:p w:rsidRPr="00286317" w:rsidR="00172C11" w:rsidP="00286317" w:rsidRDefault="00172C11" w14:paraId="2D16B097" w14:textId="5392F4AD">
      <w:pPr>
        <w:spacing w:line="360" w:lineRule="auto"/>
        <w:jc w:val="both"/>
        <w:rPr>
          <w:rFonts w:asciiTheme="minorBidi" w:hAnsiTheme="minorBidi"/>
          <w:lang w:val="en-GB"/>
        </w:rPr>
      </w:pPr>
      <w:r w:rsidRPr="00286317">
        <w:rPr>
          <w:rFonts w:asciiTheme="minorBidi" w:hAnsiTheme="minorBidi"/>
          <w:lang w:val="en-GB"/>
        </w:rPr>
        <w:lastRenderedPageBreak/>
        <w:t>PCC has a number of implementation limitations although it has got advantages. As underlined by Burgers et al. (2021), the methodological difficulties of PCC frequently confront the research as it is multifaceted and context-specific, and it is challenging to standardise the interventions. Practically, the limits that a resource provides include workforce deficits, time constraints, and lack of funds which deter the provision of PCC on a regular basis. Walsh et al. (2022) identified that opportunities to engage patients in the decision-making process are frequently limited by structural barriers like overcrowding and life-threatening clinical priorities in the emergency care environment. Moreover, disparities also exist in PCC provision, and disadvantaged groups tend to miss the chance to participate in their treatment. Such restrictions indicate that PCC has tremendous potential, but its effectiveness is dependent on the systemic support and stable integration into practise.</w:t>
      </w:r>
    </w:p>
    <w:p w:rsidRPr="00286317" w:rsidR="00172C11" w:rsidP="00286317" w:rsidRDefault="00172C11" w14:paraId="79366163" w14:textId="77777777">
      <w:pPr>
        <w:pStyle w:val="Heading1"/>
        <w:spacing w:line="360" w:lineRule="auto"/>
        <w:jc w:val="both"/>
        <w:rPr>
          <w:rFonts w:asciiTheme="minorBidi" w:hAnsiTheme="minorBidi" w:cstheme="minorBidi"/>
          <w:sz w:val="22"/>
          <w:szCs w:val="22"/>
          <w:lang w:val="en-GB"/>
        </w:rPr>
      </w:pPr>
      <w:bookmarkStart w:name="_Toc210427366" w:id="2"/>
      <w:r w:rsidRPr="00286317">
        <w:rPr>
          <w:rFonts w:asciiTheme="minorBidi" w:hAnsiTheme="minorBidi" w:cstheme="minorBidi"/>
          <w:sz w:val="22"/>
          <w:szCs w:val="22"/>
          <w:lang w:val="en-GB"/>
        </w:rPr>
        <w:t>Theories/Models Underpinning PCC</w:t>
      </w:r>
      <w:bookmarkEnd w:id="2"/>
    </w:p>
    <w:p w:rsidRPr="00286317" w:rsidR="00172C11" w:rsidP="00286317" w:rsidRDefault="00172C11" w14:paraId="2FC4D8E9" w14:textId="2D51F3B0">
      <w:pPr>
        <w:spacing w:line="360" w:lineRule="auto"/>
        <w:jc w:val="both"/>
        <w:rPr>
          <w:rFonts w:asciiTheme="minorBidi" w:hAnsiTheme="minorBidi"/>
          <w:lang w:val="en-GB"/>
        </w:rPr>
      </w:pPr>
      <w:r w:rsidRPr="00286317">
        <w:rPr>
          <w:rFonts w:asciiTheme="minorBidi" w:hAnsiTheme="minorBidi"/>
          <w:lang w:val="en-GB"/>
        </w:rPr>
        <w:t xml:space="preserve">Person-centred care may be justified by various theoretical models, and </w:t>
      </w:r>
      <w:r w:rsidRPr="00286317" w:rsidR="00286317">
        <w:rPr>
          <w:rFonts w:asciiTheme="minorBidi" w:hAnsiTheme="minorBidi"/>
          <w:lang w:val="en-GB"/>
        </w:rPr>
        <w:t>Maslow’s</w:t>
      </w:r>
      <w:r w:rsidRPr="00286317">
        <w:rPr>
          <w:rFonts w:asciiTheme="minorBidi" w:hAnsiTheme="minorBidi"/>
          <w:lang w:val="en-GB"/>
        </w:rPr>
        <w:t xml:space="preserve"> hierarchy of needs, as well as dementia care model by Kitwood, are especially applicable. The model by Kitwood has particular impact on dementia care and has principles aimed at seeing beyond biomedical therapy to understanding the uniqueness of patients and their psychosocial needs. Mohr et al. (2021) outlined some important categories of interventions in dementia care, including communication, environmental adaptation, and family engagement, which are rather supportive of the system proposed by Kitwood. Such a theoretical background shows that PCC is not merely clinical outcomes but it is also concerned with the provision of dignity and quality of life.</w:t>
      </w:r>
    </w:p>
    <w:p w:rsidRPr="00286317" w:rsidR="00172C11" w:rsidP="00286317" w:rsidRDefault="00172C11" w14:paraId="2DC22568" w14:textId="77777777">
      <w:pPr>
        <w:spacing w:line="360" w:lineRule="auto"/>
        <w:jc w:val="both"/>
        <w:rPr>
          <w:rFonts w:asciiTheme="minorBidi" w:hAnsiTheme="minorBidi"/>
          <w:lang w:val="en-GB"/>
        </w:rPr>
      </w:pPr>
      <w:r w:rsidRPr="00286317">
        <w:rPr>
          <w:rFonts w:asciiTheme="minorBidi" w:hAnsiTheme="minorBidi"/>
          <w:lang w:val="en-GB"/>
        </w:rPr>
        <w:t>Howard et al. (2021) also investigated the question of whether complex needs of residents with such conditions as serious mental illness and developmental disabilities are appropriately met with the help of PCC models. They concluded that although PCC frameworks were found to be inclusive, there were still difficulties in addressing the needs that were highly heterogeneous. The advantages of these models are that they focus more on honour, self-rule and holistic care. The drawbacks though, include failure to work well in environments where resources are low or in environments where the staff are not properly taught the basics of PCC. Altogether, theoretical models are good sources of PCC, although it is essential to adjust to the local context and regularly assess it.</w:t>
      </w:r>
    </w:p>
    <w:p w:rsidRPr="00286317" w:rsidR="00172C11" w:rsidP="00286317" w:rsidRDefault="00172C11" w14:paraId="09CA2FEA" w14:textId="108ACAFA">
      <w:pPr>
        <w:pStyle w:val="Heading1"/>
        <w:spacing w:line="360" w:lineRule="auto"/>
        <w:jc w:val="both"/>
        <w:rPr>
          <w:rFonts w:asciiTheme="minorBidi" w:hAnsiTheme="minorBidi" w:cstheme="minorBidi"/>
          <w:sz w:val="22"/>
          <w:szCs w:val="22"/>
          <w:lang w:val="en-GB"/>
        </w:rPr>
      </w:pPr>
      <w:bookmarkStart w:name="_Toc210427367" w:id="3"/>
      <w:r w:rsidRPr="00286317">
        <w:rPr>
          <w:rFonts w:asciiTheme="minorBidi" w:hAnsiTheme="minorBidi" w:cstheme="minorBidi"/>
          <w:sz w:val="22"/>
          <w:szCs w:val="22"/>
          <w:lang w:val="en-GB"/>
        </w:rPr>
        <w:lastRenderedPageBreak/>
        <w:t>Ethical Fundamentals in Health and Social Care</w:t>
      </w:r>
      <w:bookmarkEnd w:id="3"/>
    </w:p>
    <w:p w:rsidRPr="00286317" w:rsidR="00172C11" w:rsidP="00286317" w:rsidRDefault="00172C11" w14:paraId="2C9CCB92" w14:textId="77777777">
      <w:pPr>
        <w:spacing w:line="360" w:lineRule="auto"/>
        <w:jc w:val="both"/>
        <w:rPr>
          <w:rFonts w:asciiTheme="minorBidi" w:hAnsiTheme="minorBidi"/>
          <w:lang w:val="en-GB"/>
        </w:rPr>
      </w:pPr>
      <w:r w:rsidRPr="00286317">
        <w:rPr>
          <w:rFonts w:asciiTheme="minorBidi" w:hAnsiTheme="minorBidi"/>
          <w:lang w:val="en-GB"/>
        </w:rPr>
        <w:t>Both PCC and PW are based on ethics. The decision-making of healthcare is still guided by four fundamental principles, including autonomy, beneficence, non-maleficence, and justice (Andersson et al., 2022). The foundations of autonomy, beneficence, non-maleficence, and justice establish the right of people to take a part in their care choices, the responsibility to act in the best interest of patients, the non-harm approach and equal rights to services respectively.</w:t>
      </w:r>
    </w:p>
    <w:p w:rsidRPr="00286317" w:rsidR="00172C11" w:rsidP="00286317" w:rsidRDefault="00172C11" w14:paraId="163A7649" w14:textId="77777777">
      <w:pPr>
        <w:spacing w:line="360" w:lineRule="auto"/>
        <w:jc w:val="both"/>
        <w:rPr>
          <w:rFonts w:asciiTheme="minorBidi" w:hAnsiTheme="minorBidi"/>
          <w:lang w:val="en-GB"/>
        </w:rPr>
      </w:pPr>
      <w:r w:rsidRPr="00286317">
        <w:rPr>
          <w:rFonts w:asciiTheme="minorBidi" w:hAnsiTheme="minorBidi"/>
          <w:lang w:val="en-GB"/>
        </w:rPr>
        <w:t>Practically, controversies about ethics when it comes to PCC implementation are often present. As an example, Dittborn et al. (2021) explain that the COVID-19 pandemic made clinical ethics support services especially important as part of the UK, especially to compromise between patient preferences and the priorities related to the dissemination of information on the problem and the concentration of resources. These problems demonstrate that ethical rules are not always easy to implement, particularly the clash of values or the limitations of the decision-making process under the pressure of the bigger picture.</w:t>
      </w:r>
    </w:p>
    <w:p w:rsidRPr="00286317" w:rsidR="00172C11" w:rsidP="00286317" w:rsidRDefault="00172C11" w14:paraId="186E93DF" w14:textId="77777777">
      <w:pPr>
        <w:spacing w:line="360" w:lineRule="auto"/>
        <w:jc w:val="both"/>
        <w:rPr>
          <w:rFonts w:asciiTheme="minorBidi" w:hAnsiTheme="minorBidi"/>
          <w:lang w:val="en-GB"/>
        </w:rPr>
      </w:pPr>
      <w:r w:rsidRPr="00286317">
        <w:rPr>
          <w:rFonts w:asciiTheme="minorBidi" w:hAnsiTheme="minorBidi"/>
          <w:lang w:val="en-GB"/>
        </w:rPr>
        <w:t>Partnership working also overlaps with ethics. The delivery of fair and equal care may regularly need cross-professional and cross-organisational response. By integrating ethical solutions enabling PCC and PW, there will be an opportunity to develop a set of solutions that will focus not only on the rights of individuals but on the common good as well.</w:t>
      </w:r>
    </w:p>
    <w:p w:rsidRPr="00286317" w:rsidR="00172C11" w:rsidP="00286317" w:rsidRDefault="00286317" w14:paraId="6B9E8A91" w14:textId="62F079B5">
      <w:pPr>
        <w:pStyle w:val="Heading1"/>
        <w:spacing w:line="360" w:lineRule="auto"/>
        <w:jc w:val="both"/>
        <w:rPr>
          <w:rFonts w:asciiTheme="minorBidi" w:hAnsiTheme="minorBidi" w:cstheme="minorBidi"/>
          <w:sz w:val="22"/>
          <w:szCs w:val="22"/>
          <w:lang w:val="en-GB"/>
        </w:rPr>
      </w:pPr>
      <w:bookmarkStart w:name="_Toc210427368" w:id="4"/>
      <w:r w:rsidRPr="00286317">
        <w:rPr>
          <w:rFonts w:asciiTheme="minorBidi" w:hAnsiTheme="minorBidi" w:cstheme="minorBidi"/>
          <w:sz w:val="22"/>
          <w:szCs w:val="22"/>
          <w:lang w:val="en-GB"/>
        </w:rPr>
        <w:t>Partnership Working (PW) in Health and Social Care</w:t>
      </w:r>
      <w:bookmarkEnd w:id="4"/>
    </w:p>
    <w:p w:rsidRPr="00286317" w:rsidR="00172C11" w:rsidP="00286317" w:rsidRDefault="00172C11" w14:paraId="3C36C7E6" w14:textId="77777777">
      <w:pPr>
        <w:spacing w:line="360" w:lineRule="auto"/>
        <w:jc w:val="both"/>
        <w:rPr>
          <w:rFonts w:asciiTheme="minorBidi" w:hAnsiTheme="minorBidi"/>
          <w:lang w:val="en-GB"/>
        </w:rPr>
      </w:pPr>
      <w:r w:rsidRPr="00286317">
        <w:rPr>
          <w:rFonts w:asciiTheme="minorBidi" w:hAnsiTheme="minorBidi"/>
          <w:lang w:val="en-GB"/>
        </w:rPr>
        <w:t>Partnership working is a working relationship involving professionals, organisations and service users in an attempt to provide coordinated and effective care. The conceptualisation of PW by Raftery et al. (2021) is based on the idea that various actors are working in harmony in which joint working produces better results than the total outputs of individual working. PW in the context of health and social care is incorporation of medical, social and community services to address the multifaceted requirements of patients.</w:t>
      </w:r>
    </w:p>
    <w:p w:rsidRPr="00286317" w:rsidR="00172C11" w:rsidP="00286317" w:rsidRDefault="00172C11" w14:paraId="1C9F99B3" w14:textId="77777777">
      <w:pPr>
        <w:spacing w:line="360" w:lineRule="auto"/>
        <w:jc w:val="both"/>
        <w:rPr>
          <w:rFonts w:asciiTheme="minorBidi" w:hAnsiTheme="minorBidi"/>
          <w:lang w:val="en-GB"/>
        </w:rPr>
      </w:pPr>
      <w:r w:rsidRPr="00286317">
        <w:rPr>
          <w:rFonts w:asciiTheme="minorBidi" w:hAnsiTheme="minorBidi"/>
          <w:lang w:val="en-GB"/>
        </w:rPr>
        <w:t>The advantages of PW are adequately known. As Miller et al. (2021) observe, the integration of health and social services strategies in England has enhanced referral processes and resulted in an easier shift to care and improved outcomes among service users. Another way in which PW promotes efficiency is elimination of service duplication and preventive care. In the eyes of service users, provider-provider partnership can result in comprehensive support that is not limited to current clinical issues.</w:t>
      </w:r>
    </w:p>
    <w:p w:rsidRPr="00286317" w:rsidR="00172C11" w:rsidP="00286317" w:rsidRDefault="00172C11" w14:paraId="31D82505" w14:textId="77777777">
      <w:pPr>
        <w:spacing w:line="360" w:lineRule="auto"/>
        <w:jc w:val="both"/>
        <w:rPr>
          <w:rFonts w:asciiTheme="minorBidi" w:hAnsiTheme="minorBidi"/>
          <w:lang w:val="en-GB"/>
        </w:rPr>
      </w:pPr>
      <w:r w:rsidRPr="00286317">
        <w:rPr>
          <w:rFonts w:asciiTheme="minorBidi" w:hAnsiTheme="minorBidi"/>
          <w:lang w:val="en-GB"/>
        </w:rPr>
        <w:lastRenderedPageBreak/>
        <w:t>Nevertheless, PW is not without its serious constraints. Blockley et al. (2022) claim integration endeavours are usually hampered by mismatched organisational cultures, lack of accountability, and staff resistance to change. Collaborative models are also constrained by financial and structural factors. In other instances, inter-organisational power imbalances impede the authentic collaboration, which minimises the value of PW to patients. These obstacles present to us the fact that PW is a great strategy requiring consistent dedication, mutual vision and adequate resources to succeed.</w:t>
      </w:r>
    </w:p>
    <w:p w:rsidRPr="00286317" w:rsidR="00172C11" w:rsidP="00286317" w:rsidRDefault="00286317" w14:paraId="43FDEA46" w14:textId="6605FE48">
      <w:pPr>
        <w:pStyle w:val="Heading1"/>
        <w:spacing w:line="360" w:lineRule="auto"/>
        <w:jc w:val="both"/>
        <w:rPr>
          <w:rFonts w:asciiTheme="minorBidi" w:hAnsiTheme="minorBidi" w:cstheme="minorBidi"/>
          <w:sz w:val="22"/>
          <w:szCs w:val="22"/>
          <w:lang w:val="en-GB"/>
        </w:rPr>
      </w:pPr>
      <w:bookmarkStart w:name="_Toc210427369" w:id="5"/>
      <w:r w:rsidRPr="00286317">
        <w:rPr>
          <w:rFonts w:asciiTheme="minorBidi" w:hAnsiTheme="minorBidi" w:cstheme="minorBidi"/>
          <w:sz w:val="22"/>
          <w:szCs w:val="22"/>
          <w:lang w:val="en-GB"/>
        </w:rPr>
        <w:t>Application of PW in Practice</w:t>
      </w:r>
      <w:bookmarkEnd w:id="5"/>
    </w:p>
    <w:p w:rsidRPr="00286317" w:rsidR="00286317" w:rsidP="00286317" w:rsidRDefault="00286317" w14:paraId="6BB435FF" w14:textId="58CC570B">
      <w:pPr>
        <w:spacing w:line="360" w:lineRule="auto"/>
        <w:jc w:val="both"/>
        <w:rPr>
          <w:rFonts w:asciiTheme="minorBidi" w:hAnsiTheme="minorBidi"/>
          <w:lang w:val="en-GB"/>
        </w:rPr>
      </w:pPr>
      <w:r w:rsidRPr="00286317">
        <w:rPr>
          <w:rFonts w:asciiTheme="minorBidi" w:hAnsiTheme="minorBidi"/>
          <w:lang w:val="en-GB"/>
        </w:rPr>
        <w:t xml:space="preserve">The practical example of partnership working (PW) in action is integrated care systems (ICS) in England. These systems were officially put in place to promote partnerships between the NHS organisations, local authorities and the voluntary or third-sector partners as they strive to provide more </w:t>
      </w:r>
      <w:r w:rsidRPr="00286317">
        <w:rPr>
          <w:rFonts w:asciiTheme="minorBidi" w:hAnsiTheme="minorBidi"/>
          <w:lang w:val="en-GB"/>
        </w:rPr>
        <w:t>well-coordinated</w:t>
      </w:r>
      <w:r w:rsidRPr="00286317">
        <w:rPr>
          <w:rFonts w:asciiTheme="minorBidi" w:hAnsiTheme="minorBidi"/>
          <w:lang w:val="en-GB"/>
        </w:rPr>
        <w:t xml:space="preserve"> and efficient health and social care. According to Miller et al. (2021), ICS enable organisations to go beyond competitive arrangements to collective responsibility, enhance more strategic planning, shared capital and enhanced utilisation of shared resources. This has seen increased sector collaboration and increased the ability to address health needs at a population level.</w:t>
      </w:r>
    </w:p>
    <w:p w:rsidRPr="00286317" w:rsidR="00172C11" w:rsidP="00286317" w:rsidRDefault="00286317" w14:paraId="573E81E0" w14:textId="649FB272">
      <w:pPr>
        <w:spacing w:line="360" w:lineRule="auto"/>
        <w:jc w:val="both"/>
        <w:rPr>
          <w:rFonts w:asciiTheme="minorBidi" w:hAnsiTheme="minorBidi"/>
          <w:lang w:val="en-GB"/>
        </w:rPr>
      </w:pPr>
      <w:r w:rsidRPr="00286317">
        <w:rPr>
          <w:rFonts w:asciiTheme="minorBidi" w:hAnsiTheme="minorBidi"/>
          <w:lang w:val="en-GB"/>
        </w:rPr>
        <w:t>Introducing the idea that integration has enhanced continuity of care, Blockley et al. (2022) also note that patients have had a more comfortable entry and exit into services, and more holistic care, especially that which is focused on complex or long-term conditions. PW in the ICS also supports concepts of person-centred care (PCC), as services are now geared towards the needs of persons, instead of being packaged animost between providers. Both shared information systems and coordinated interventions and meaningful involvement of patients in decision-making can help to achieve better experiences and outcomes. In spite of these gains, there are still challenges such as continued pressures on workforce, inequitable funding in regions, and the challenge of establishing fair interaction with diverse and marginalised communities.</w:t>
      </w:r>
    </w:p>
    <w:p w:rsidRPr="00286317" w:rsidR="00172C11" w:rsidP="00286317" w:rsidRDefault="00172C11" w14:paraId="459C9B33" w14:textId="77777777">
      <w:pPr>
        <w:pStyle w:val="Heading1"/>
        <w:spacing w:line="360" w:lineRule="auto"/>
        <w:jc w:val="both"/>
        <w:rPr>
          <w:rFonts w:asciiTheme="minorBidi" w:hAnsiTheme="minorBidi" w:cstheme="minorBidi"/>
          <w:sz w:val="22"/>
          <w:szCs w:val="22"/>
          <w:lang w:val="en-GB"/>
        </w:rPr>
      </w:pPr>
      <w:bookmarkStart w:name="_Toc210427370" w:id="6"/>
      <w:r w:rsidRPr="00286317">
        <w:rPr>
          <w:rFonts w:asciiTheme="minorBidi" w:hAnsiTheme="minorBidi" w:cstheme="minorBidi"/>
          <w:sz w:val="22"/>
          <w:szCs w:val="22"/>
          <w:lang w:val="en-GB"/>
        </w:rPr>
        <w:t>Policy and Legislation</w:t>
      </w:r>
      <w:bookmarkEnd w:id="6"/>
    </w:p>
    <w:p w:rsidRPr="00286317" w:rsidR="00172C11" w:rsidP="00286317" w:rsidRDefault="00172C11" w14:paraId="23FADB01" w14:textId="77777777">
      <w:pPr>
        <w:spacing w:line="360" w:lineRule="auto"/>
        <w:jc w:val="both"/>
        <w:rPr>
          <w:rFonts w:asciiTheme="minorBidi" w:hAnsiTheme="minorBidi"/>
          <w:lang w:val="en-GB"/>
        </w:rPr>
      </w:pPr>
      <w:r w:rsidRPr="00286317">
        <w:rPr>
          <w:rFonts w:asciiTheme="minorBidi" w:hAnsiTheme="minorBidi"/>
          <w:lang w:val="en-GB"/>
        </w:rPr>
        <w:t xml:space="preserve">UK health and social care policy gives a good mandate on PCC and PW. Health and Social Care Act 2012 provided a statutory framework upon which integration could be achieved and it facilitated patient choice as a key value. The NHS Long Term Plan additionally supported PCC through the focus on individualised care model, shared decision-making, and integrated care </w:t>
      </w:r>
      <w:r w:rsidRPr="00286317">
        <w:rPr>
          <w:rFonts w:asciiTheme="minorBidi" w:hAnsiTheme="minorBidi"/>
          <w:lang w:val="en-GB"/>
        </w:rPr>
        <w:lastRenderedPageBreak/>
        <w:t>systems. These models indicate how laws and policy have entrenched PCC and PW within the system of health and social care.</w:t>
      </w:r>
    </w:p>
    <w:p w:rsidRPr="00286317" w:rsidR="00172C11" w:rsidP="00286317" w:rsidRDefault="00172C11" w14:paraId="69B08948" w14:textId="77777777">
      <w:pPr>
        <w:spacing w:line="360" w:lineRule="auto"/>
        <w:jc w:val="both"/>
        <w:rPr>
          <w:rFonts w:asciiTheme="minorBidi" w:hAnsiTheme="minorBidi"/>
          <w:lang w:val="en-GB"/>
        </w:rPr>
      </w:pPr>
      <w:r w:rsidRPr="00286317">
        <w:rPr>
          <w:rFonts w:asciiTheme="minorBidi" w:hAnsiTheme="minorBidi"/>
          <w:lang w:val="en-GB"/>
        </w:rPr>
        <w:t>Trying to exemplify the application of PCC models in primary care, Ahmed et al. (2022) reveal that policy support changes this model, making it adaptable to all types of population and situations. Handley et al. (2020) also show that measurement frameworks created in hospitals manifest a policy-propelled transition towards patient-centredness and experience as quality measurements. These developments taken together affirm that the UK legislation and policy play a central role in the progress of PCC and PW in practise.</w:t>
      </w:r>
    </w:p>
    <w:p w:rsidRPr="00286317" w:rsidR="00172C11" w:rsidP="00286317" w:rsidRDefault="00172C11" w14:paraId="7F3FB356" w14:textId="77777777">
      <w:pPr>
        <w:pStyle w:val="Heading1"/>
        <w:spacing w:line="360" w:lineRule="auto"/>
        <w:jc w:val="both"/>
        <w:rPr>
          <w:rFonts w:asciiTheme="minorBidi" w:hAnsiTheme="minorBidi" w:cstheme="minorBidi"/>
          <w:sz w:val="22"/>
          <w:szCs w:val="22"/>
          <w:lang w:val="en-GB"/>
        </w:rPr>
      </w:pPr>
      <w:bookmarkStart w:name="_Toc210427371" w:id="7"/>
      <w:r w:rsidRPr="00286317">
        <w:rPr>
          <w:rFonts w:asciiTheme="minorBidi" w:hAnsiTheme="minorBidi" w:cstheme="minorBidi"/>
          <w:sz w:val="22"/>
          <w:szCs w:val="22"/>
          <w:lang w:val="en-GB"/>
        </w:rPr>
        <w:t>Future Development.</w:t>
      </w:r>
      <w:bookmarkEnd w:id="7"/>
    </w:p>
    <w:p w:rsidRPr="00286317" w:rsidR="00172C11" w:rsidP="00286317" w:rsidRDefault="00286317" w14:paraId="49CFE799" w14:textId="195E8DB6">
      <w:pPr>
        <w:spacing w:line="360" w:lineRule="auto"/>
        <w:jc w:val="both"/>
        <w:rPr>
          <w:rFonts w:asciiTheme="minorBidi" w:hAnsiTheme="minorBidi"/>
          <w:lang w:val="en-GB"/>
        </w:rPr>
      </w:pPr>
      <w:r w:rsidRPr="00286317">
        <w:rPr>
          <w:rFonts w:asciiTheme="minorBidi" w:hAnsiTheme="minorBidi"/>
          <w:lang w:val="en-GB"/>
        </w:rPr>
        <w:t xml:space="preserve">The field of PCC and PW development in the UK must focus on the future with the aim of building the workforce by introducing long term training programmes with the aim of providing staff with skills and confidence in the ability to provide high quality care in various contexts. This goes beyond just investing in education and also having long-term retention strategies to eliminate burnout and high turnover. Yu et al. (2023) </w:t>
      </w:r>
      <w:proofErr w:type="gramStart"/>
      <w:r w:rsidRPr="00286317">
        <w:rPr>
          <w:rFonts w:asciiTheme="minorBidi" w:hAnsiTheme="minorBidi"/>
          <w:lang w:val="en-GB"/>
        </w:rPr>
        <w:t>emphasise</w:t>
      </w:r>
      <w:proofErr w:type="gramEnd"/>
      <w:r w:rsidRPr="00286317">
        <w:rPr>
          <w:rFonts w:asciiTheme="minorBidi" w:hAnsiTheme="minorBidi"/>
          <w:lang w:val="en-GB"/>
        </w:rPr>
        <w:t xml:space="preserve"> that the incorporation of patient-centred models at all levels of healthcare provision can increase the adherence rate to the treatment process and improve health outcomes. Walsh et al. (2022) highlight the necessity of mitigating the structural issues, e.g., unequal financing and disparity in the distribution of services, to provide equitable access. Further investing in the digital technologies, such as telehealth and shared electronic record, might also facilitate improved coordination among professionals, which would lead to the improvement of collaboration working. Increasing the involvement of local groups in service planning and evaluation will assist in the insuring that the future developments will be sustainable, equitable and sensitive to the needs of different patients.</w:t>
      </w:r>
    </w:p>
    <w:p w:rsidRPr="00286317" w:rsidR="00172C11" w:rsidP="00286317" w:rsidRDefault="00172C11" w14:paraId="10C6F269" w14:textId="77777777">
      <w:pPr>
        <w:pStyle w:val="Heading1"/>
        <w:spacing w:line="360" w:lineRule="auto"/>
        <w:jc w:val="both"/>
        <w:rPr>
          <w:rFonts w:asciiTheme="minorBidi" w:hAnsiTheme="minorBidi" w:cstheme="minorBidi"/>
          <w:sz w:val="22"/>
          <w:szCs w:val="22"/>
          <w:lang w:val="en-GB"/>
        </w:rPr>
      </w:pPr>
      <w:bookmarkStart w:name="_Toc210427372" w:id="8"/>
      <w:r w:rsidRPr="00286317">
        <w:rPr>
          <w:rFonts w:asciiTheme="minorBidi" w:hAnsiTheme="minorBidi" w:cstheme="minorBidi"/>
          <w:sz w:val="22"/>
          <w:szCs w:val="22"/>
          <w:lang w:val="en-GB"/>
        </w:rPr>
        <w:t>Conclusion</w:t>
      </w:r>
      <w:bookmarkEnd w:id="8"/>
    </w:p>
    <w:p w:rsidRPr="00286317" w:rsidR="00286317" w:rsidP="00286317" w:rsidRDefault="00172C11" w14:paraId="7E7D8A12" w14:textId="1335BE15">
      <w:pPr>
        <w:spacing w:line="360" w:lineRule="auto"/>
        <w:jc w:val="both"/>
        <w:rPr>
          <w:rFonts w:asciiTheme="minorBidi" w:hAnsiTheme="minorBidi"/>
          <w:b/>
          <w:bCs/>
          <w:lang w:val="en-GB"/>
        </w:rPr>
      </w:pPr>
      <w:r w:rsidRPr="00286317">
        <w:rPr>
          <w:rFonts w:asciiTheme="minorBidi" w:hAnsiTheme="minorBidi"/>
          <w:lang w:val="en-GB"/>
        </w:rPr>
        <w:t xml:space="preserve">This report has considered person-centred care and partnership working as important aspects of UK health and social care practise. PCC has definite advantages regarding the patient results and satisfaction, but resource and context scarcity continue to be obstacles. PW also improves service integration and </w:t>
      </w:r>
      <w:r w:rsidRPr="00286317" w:rsidR="00286317">
        <w:rPr>
          <w:rFonts w:asciiTheme="minorBidi" w:hAnsiTheme="minorBidi"/>
          <w:lang w:val="en-GB"/>
        </w:rPr>
        <w:t>efficiency;</w:t>
      </w:r>
      <w:r w:rsidRPr="00286317">
        <w:rPr>
          <w:rFonts w:asciiTheme="minorBidi" w:hAnsiTheme="minorBidi"/>
          <w:lang w:val="en-GB"/>
        </w:rPr>
        <w:t xml:space="preserve"> however, organisation culture and financial pressure remain a barrier. Both approaches have ethical principles on which they are based, and the policy and legislation put them into practise. The discussion indicates that to make strides with PCC and PW, long-term commitment, collaboration, and innovation are important in helping to make care more responsive, equitable, and effective to various populations.</w:t>
      </w:r>
      <w:r w:rsidRPr="00286317" w:rsidR="00286317">
        <w:rPr>
          <w:rFonts w:asciiTheme="minorBidi" w:hAnsiTheme="minorBidi"/>
          <w:b/>
          <w:bCs/>
          <w:lang w:val="en-GB"/>
        </w:rPr>
        <w:br w:type="page"/>
      </w:r>
    </w:p>
    <w:p w:rsidRPr="00286317" w:rsidR="00172C11" w:rsidP="00286317" w:rsidRDefault="00172C11" w14:paraId="7C60D3B5" w14:textId="0EF8EBDF">
      <w:pPr>
        <w:pStyle w:val="Heading1"/>
        <w:spacing w:line="360" w:lineRule="auto"/>
        <w:jc w:val="both"/>
        <w:rPr>
          <w:rFonts w:asciiTheme="minorBidi" w:hAnsiTheme="minorBidi" w:cstheme="minorBidi"/>
          <w:sz w:val="22"/>
          <w:szCs w:val="22"/>
          <w:lang w:val="en-GB"/>
        </w:rPr>
      </w:pPr>
      <w:bookmarkStart w:name="_Toc210427373" w:id="9"/>
      <w:r w:rsidRPr="00286317">
        <w:rPr>
          <w:rFonts w:asciiTheme="minorBidi" w:hAnsiTheme="minorBidi" w:cstheme="minorBidi"/>
          <w:sz w:val="22"/>
          <w:szCs w:val="22"/>
          <w:lang w:val="en-GB"/>
        </w:rPr>
        <w:lastRenderedPageBreak/>
        <w:t>Reference</w:t>
      </w:r>
      <w:r w:rsidRPr="00286317">
        <w:rPr>
          <w:rFonts w:asciiTheme="minorBidi" w:hAnsiTheme="minorBidi" w:cstheme="minorBidi"/>
          <w:sz w:val="22"/>
          <w:szCs w:val="22"/>
          <w:lang w:val="en-GB"/>
        </w:rPr>
        <w:t>s</w:t>
      </w:r>
      <w:bookmarkEnd w:id="9"/>
    </w:p>
    <w:p w:rsidRPr="00172C11" w:rsidR="00172C11" w:rsidP="00286317" w:rsidRDefault="00172C11" w14:paraId="2BF6D4F3" w14:textId="5462D8CD">
      <w:pPr>
        <w:spacing w:line="360" w:lineRule="auto"/>
        <w:jc w:val="both"/>
        <w:rPr>
          <w:rFonts w:asciiTheme="minorBidi" w:hAnsiTheme="minorBidi"/>
          <w:lang w:val="en-GB"/>
        </w:rPr>
      </w:pPr>
      <w:r w:rsidRPr="00172C11">
        <w:rPr>
          <w:rFonts w:asciiTheme="minorBidi" w:hAnsiTheme="minorBidi"/>
          <w:lang w:val="en-GB"/>
        </w:rPr>
        <w:t>Ahmed, A., Muijsenbergh, M.E.T.C. van den and Vrijhoef, H.J.M. (2022). Person</w:t>
      </w:r>
      <w:r w:rsidRPr="00172C11">
        <w:rPr>
          <w:rFonts w:ascii="Cambria Math" w:hAnsi="Cambria Math" w:cs="Cambria Math"/>
          <w:lang w:val="en-GB"/>
        </w:rPr>
        <w:t>‐</w:t>
      </w:r>
      <w:r w:rsidRPr="00172C11">
        <w:rPr>
          <w:rFonts w:asciiTheme="minorBidi" w:hAnsiTheme="minorBidi"/>
          <w:lang w:val="en-GB"/>
        </w:rPr>
        <w:t xml:space="preserve">centred Care in Primary care: What Works for whom, How and in What circumstances? </w:t>
      </w:r>
      <w:r w:rsidRPr="00172C11">
        <w:rPr>
          <w:rFonts w:asciiTheme="minorBidi" w:hAnsiTheme="minorBidi"/>
          <w:i/>
          <w:iCs/>
          <w:lang w:val="en-GB"/>
        </w:rPr>
        <w:t>Health &amp; Social Care in the Community</w:t>
      </w:r>
      <w:r w:rsidRPr="00172C11">
        <w:rPr>
          <w:rFonts w:asciiTheme="minorBidi" w:hAnsiTheme="minorBidi"/>
          <w:lang w:val="en-GB"/>
        </w:rPr>
        <w:t xml:space="preserve">, [online] 30(6). </w:t>
      </w:r>
      <w:r w:rsidRPr="00286317">
        <w:rPr>
          <w:rFonts w:asciiTheme="minorBidi" w:hAnsiTheme="minorBidi"/>
          <w:lang w:val="en-GB"/>
        </w:rPr>
        <w:t>doi:</w:t>
      </w:r>
      <w:hyperlink w:history="1" r:id="rId5">
        <w:r w:rsidRPr="00172C11">
          <w:rPr>
            <w:rStyle w:val="Hyperlink"/>
            <w:rFonts w:asciiTheme="minorBidi" w:hAnsiTheme="minorBidi"/>
            <w:color w:val="auto"/>
            <w:lang w:val="en-GB"/>
          </w:rPr>
          <w:t>https://doi.org/10.1111/hsc.13913</w:t>
        </w:r>
      </w:hyperlink>
      <w:r w:rsidRPr="00172C11">
        <w:rPr>
          <w:rFonts w:asciiTheme="minorBidi" w:hAnsiTheme="minorBidi"/>
          <w:lang w:val="en-GB"/>
        </w:rPr>
        <w:t>.</w:t>
      </w:r>
      <w:r w:rsidRPr="00286317">
        <w:rPr>
          <w:rFonts w:asciiTheme="minorBidi" w:hAnsiTheme="minorBidi"/>
          <w:lang w:val="en-GB"/>
        </w:rPr>
        <w:t xml:space="preserve"> </w:t>
      </w:r>
    </w:p>
    <w:p w:rsidRPr="00172C11" w:rsidR="00172C11" w:rsidP="00286317" w:rsidRDefault="00172C11" w14:paraId="7CAD2806" w14:textId="2507DBF9">
      <w:pPr>
        <w:spacing w:line="360" w:lineRule="auto"/>
        <w:jc w:val="both"/>
        <w:rPr>
          <w:rFonts w:asciiTheme="minorBidi" w:hAnsiTheme="minorBidi"/>
          <w:lang w:val="en-GB"/>
        </w:rPr>
      </w:pPr>
      <w:r w:rsidRPr="00172C11">
        <w:rPr>
          <w:rFonts w:asciiTheme="minorBidi" w:hAnsiTheme="minorBidi"/>
          <w:lang w:val="en-GB"/>
        </w:rPr>
        <w:t xml:space="preserve">Andersson, H., Svensson, A., Frank, C., Rantala, A., Holmberg, M. and Bremer, A. (2022). Ethics education to support ethical competence learning in healthcare: an integrative systematic review. </w:t>
      </w:r>
      <w:r w:rsidRPr="00172C11">
        <w:rPr>
          <w:rFonts w:asciiTheme="minorBidi" w:hAnsiTheme="minorBidi"/>
          <w:i/>
          <w:iCs/>
          <w:lang w:val="en-GB"/>
        </w:rPr>
        <w:t>BioMed Central Medical Ethics</w:t>
      </w:r>
      <w:r w:rsidRPr="00172C11">
        <w:rPr>
          <w:rFonts w:asciiTheme="minorBidi" w:hAnsiTheme="minorBidi"/>
          <w:lang w:val="en-GB"/>
        </w:rPr>
        <w:t xml:space="preserve">, [online] 23(1), pp.1–26. </w:t>
      </w:r>
      <w:r w:rsidRPr="00286317">
        <w:rPr>
          <w:rFonts w:asciiTheme="minorBidi" w:hAnsiTheme="minorBidi"/>
          <w:lang w:val="en-GB"/>
        </w:rPr>
        <w:t xml:space="preserve">doi: </w:t>
      </w:r>
      <w:hyperlink w:history="1" r:id="rId6">
        <w:r w:rsidRPr="00172C11">
          <w:rPr>
            <w:rStyle w:val="Hyperlink"/>
            <w:rFonts w:asciiTheme="minorBidi" w:hAnsiTheme="minorBidi"/>
            <w:color w:val="auto"/>
            <w:lang w:val="en-GB"/>
          </w:rPr>
          <w:t>https://doi.org/10.1186/s12910-022-00766-z</w:t>
        </w:r>
      </w:hyperlink>
      <w:r w:rsidRPr="00172C11">
        <w:rPr>
          <w:rFonts w:asciiTheme="minorBidi" w:hAnsiTheme="minorBidi"/>
          <w:lang w:val="en-GB"/>
        </w:rPr>
        <w:t>.</w:t>
      </w:r>
      <w:r w:rsidRPr="00286317">
        <w:rPr>
          <w:rFonts w:asciiTheme="minorBidi" w:hAnsiTheme="minorBidi"/>
          <w:lang w:val="en-GB"/>
        </w:rPr>
        <w:t xml:space="preserve"> </w:t>
      </w:r>
    </w:p>
    <w:p w:rsidRPr="00172C11" w:rsidR="00172C11" w:rsidP="00286317" w:rsidRDefault="00172C11" w14:paraId="19E56086" w14:textId="2FB894B4">
      <w:pPr>
        <w:spacing w:line="360" w:lineRule="auto"/>
        <w:jc w:val="both"/>
        <w:rPr>
          <w:rFonts w:asciiTheme="minorBidi" w:hAnsiTheme="minorBidi"/>
          <w:lang w:val="en-GB"/>
        </w:rPr>
      </w:pPr>
      <w:r w:rsidRPr="00172C11">
        <w:rPr>
          <w:rFonts w:asciiTheme="minorBidi" w:hAnsiTheme="minorBidi"/>
          <w:lang w:val="en-GB"/>
        </w:rPr>
        <w:t xml:space="preserve">Blockley, D., Stirrat, G., Alexander, K. and Phillips, S. (2022). Integrating Health and Social Care Services. </w:t>
      </w:r>
      <w:r w:rsidRPr="00172C11">
        <w:rPr>
          <w:rFonts w:asciiTheme="minorBidi" w:hAnsiTheme="minorBidi"/>
          <w:i/>
          <w:iCs/>
          <w:lang w:val="en-GB"/>
        </w:rPr>
        <w:t>Global Advances in Health and Medicine</w:t>
      </w:r>
      <w:r w:rsidRPr="00172C11">
        <w:rPr>
          <w:rFonts w:asciiTheme="minorBidi" w:hAnsiTheme="minorBidi"/>
          <w:lang w:val="en-GB"/>
        </w:rPr>
        <w:t xml:space="preserve">, [online] 11, p.2164957X2211171. </w:t>
      </w:r>
      <w:r w:rsidRPr="00286317">
        <w:rPr>
          <w:rFonts w:asciiTheme="minorBidi" w:hAnsiTheme="minorBidi"/>
          <w:lang w:val="en-GB"/>
        </w:rPr>
        <w:t xml:space="preserve">doi: </w:t>
      </w:r>
      <w:hyperlink w:history="1" r:id="rId7">
        <w:r w:rsidRPr="00172C11">
          <w:rPr>
            <w:rStyle w:val="Hyperlink"/>
            <w:rFonts w:asciiTheme="minorBidi" w:hAnsiTheme="minorBidi"/>
            <w:color w:val="auto"/>
            <w:lang w:val="en-GB"/>
          </w:rPr>
          <w:t>https://doi.org/10.1177/2164957x221117112</w:t>
        </w:r>
      </w:hyperlink>
      <w:r w:rsidRPr="00172C11">
        <w:rPr>
          <w:rFonts w:asciiTheme="minorBidi" w:hAnsiTheme="minorBidi"/>
          <w:lang w:val="en-GB"/>
        </w:rPr>
        <w:t>.</w:t>
      </w:r>
      <w:r w:rsidRPr="00286317">
        <w:rPr>
          <w:rFonts w:asciiTheme="minorBidi" w:hAnsiTheme="minorBidi"/>
          <w:lang w:val="en-GB"/>
        </w:rPr>
        <w:t xml:space="preserve"> </w:t>
      </w:r>
    </w:p>
    <w:p w:rsidRPr="00172C11" w:rsidR="00172C11" w:rsidP="00286317" w:rsidRDefault="00172C11" w14:paraId="0FB4AF5A" w14:textId="06977795">
      <w:pPr>
        <w:spacing w:line="360" w:lineRule="auto"/>
        <w:jc w:val="both"/>
        <w:rPr>
          <w:rFonts w:asciiTheme="minorBidi" w:hAnsiTheme="minorBidi"/>
          <w:lang w:val="en-GB"/>
        </w:rPr>
      </w:pPr>
      <w:r w:rsidRPr="00172C11">
        <w:rPr>
          <w:rFonts w:asciiTheme="minorBidi" w:hAnsiTheme="minorBidi"/>
          <w:lang w:val="en-GB"/>
        </w:rPr>
        <w:t xml:space="preserve">Burgers, J.S., van der Weijden, T. and Bischoff, E.W.M.A. (2021). Challenges of Research on Person-Centered Care in General Practice: A Scoping Review. </w:t>
      </w:r>
      <w:r w:rsidRPr="00172C11">
        <w:rPr>
          <w:rFonts w:asciiTheme="minorBidi" w:hAnsiTheme="minorBidi"/>
          <w:i/>
          <w:iCs/>
          <w:lang w:val="en-GB"/>
        </w:rPr>
        <w:t>Frontiers in Medicine</w:t>
      </w:r>
      <w:r w:rsidRPr="00172C11">
        <w:rPr>
          <w:rFonts w:asciiTheme="minorBidi" w:hAnsiTheme="minorBidi"/>
          <w:lang w:val="en-GB"/>
        </w:rPr>
        <w:t xml:space="preserve">, 8. </w:t>
      </w:r>
      <w:r w:rsidRPr="00286317">
        <w:rPr>
          <w:rFonts w:asciiTheme="minorBidi" w:hAnsiTheme="minorBidi"/>
          <w:lang w:val="en-GB"/>
        </w:rPr>
        <w:t xml:space="preserve">doi: </w:t>
      </w:r>
      <w:hyperlink w:history="1" r:id="rId8">
        <w:r w:rsidRPr="00172C11">
          <w:rPr>
            <w:rStyle w:val="Hyperlink"/>
            <w:rFonts w:asciiTheme="minorBidi" w:hAnsiTheme="minorBidi"/>
            <w:color w:val="auto"/>
            <w:lang w:val="en-GB"/>
          </w:rPr>
          <w:t>https://doi.org/10.3389/fmed.2021.669491</w:t>
        </w:r>
      </w:hyperlink>
      <w:r w:rsidRPr="00172C11">
        <w:rPr>
          <w:rFonts w:asciiTheme="minorBidi" w:hAnsiTheme="minorBidi"/>
          <w:lang w:val="en-GB"/>
        </w:rPr>
        <w:t>.</w:t>
      </w:r>
      <w:r w:rsidRPr="00286317">
        <w:rPr>
          <w:rFonts w:asciiTheme="minorBidi" w:hAnsiTheme="minorBidi"/>
          <w:lang w:val="en-GB"/>
        </w:rPr>
        <w:t xml:space="preserve"> </w:t>
      </w:r>
    </w:p>
    <w:p w:rsidRPr="00172C11" w:rsidR="00172C11" w:rsidP="00286317" w:rsidRDefault="00172C11" w14:paraId="21B7CBCA" w14:textId="7133970C">
      <w:pPr>
        <w:spacing w:line="360" w:lineRule="auto"/>
        <w:jc w:val="both"/>
        <w:rPr>
          <w:rFonts w:asciiTheme="minorBidi" w:hAnsiTheme="minorBidi"/>
          <w:lang w:val="en-GB"/>
        </w:rPr>
      </w:pPr>
      <w:r w:rsidRPr="00172C11">
        <w:rPr>
          <w:rFonts w:asciiTheme="minorBidi" w:hAnsiTheme="minorBidi"/>
          <w:lang w:val="en-GB"/>
        </w:rPr>
        <w:t xml:space="preserve">Dittborn, M., Cave, E. and Archard, D. (2021). Clinical ethics support services during the COVID-19 pandemic in the UK: a cross-sectional survey. </w:t>
      </w:r>
      <w:r w:rsidRPr="00172C11">
        <w:rPr>
          <w:rFonts w:asciiTheme="minorBidi" w:hAnsiTheme="minorBidi"/>
          <w:i/>
          <w:iCs/>
          <w:lang w:val="en-GB"/>
        </w:rPr>
        <w:t>Journal of Medical Ethics</w:t>
      </w:r>
      <w:r w:rsidRPr="00172C11">
        <w:rPr>
          <w:rFonts w:asciiTheme="minorBidi" w:hAnsiTheme="minorBidi"/>
          <w:lang w:val="en-GB"/>
        </w:rPr>
        <w:t xml:space="preserve">, 48, pp.695–701. </w:t>
      </w:r>
      <w:r w:rsidRPr="00286317">
        <w:rPr>
          <w:rFonts w:asciiTheme="minorBidi" w:hAnsiTheme="minorBidi"/>
          <w:lang w:val="en-GB"/>
        </w:rPr>
        <w:t xml:space="preserve">doi: </w:t>
      </w:r>
      <w:hyperlink w:history="1" r:id="rId9">
        <w:r w:rsidRPr="00172C11">
          <w:rPr>
            <w:rStyle w:val="Hyperlink"/>
            <w:rFonts w:asciiTheme="minorBidi" w:hAnsiTheme="minorBidi"/>
            <w:color w:val="auto"/>
            <w:lang w:val="en-GB"/>
          </w:rPr>
          <w:t>https://doi.org/10.1136/medethics-2021-107818</w:t>
        </w:r>
      </w:hyperlink>
      <w:r w:rsidRPr="00172C11">
        <w:rPr>
          <w:rFonts w:asciiTheme="minorBidi" w:hAnsiTheme="minorBidi"/>
          <w:lang w:val="en-GB"/>
        </w:rPr>
        <w:t>.</w:t>
      </w:r>
      <w:r w:rsidRPr="00286317">
        <w:rPr>
          <w:rFonts w:asciiTheme="minorBidi" w:hAnsiTheme="minorBidi"/>
          <w:lang w:val="en-GB"/>
        </w:rPr>
        <w:t xml:space="preserve"> </w:t>
      </w:r>
    </w:p>
    <w:p w:rsidRPr="00172C11" w:rsidR="00172C11" w:rsidP="00286317" w:rsidRDefault="00172C11" w14:paraId="71515501" w14:textId="43C405AE">
      <w:pPr>
        <w:spacing w:line="360" w:lineRule="auto"/>
        <w:jc w:val="both"/>
        <w:rPr>
          <w:rFonts w:asciiTheme="minorBidi" w:hAnsiTheme="minorBidi"/>
          <w:lang w:val="en-GB"/>
        </w:rPr>
      </w:pPr>
      <w:r w:rsidRPr="00172C11">
        <w:rPr>
          <w:rFonts w:asciiTheme="minorBidi" w:hAnsiTheme="minorBidi"/>
          <w:lang w:val="en-GB"/>
        </w:rPr>
        <w:t xml:space="preserve">Ebrahimi, Z., Patel, H., Wijk, H., Ekman, I. and Olaya-Contreras, P. (2020). A Systematic Review on Implementation of person-centered Care Interventions for Older People in out-of-hospital Settings. </w:t>
      </w:r>
      <w:r w:rsidRPr="00172C11">
        <w:rPr>
          <w:rFonts w:asciiTheme="minorBidi" w:hAnsiTheme="minorBidi"/>
          <w:i/>
          <w:iCs/>
          <w:lang w:val="en-GB"/>
        </w:rPr>
        <w:t>Geriatric Nursing</w:t>
      </w:r>
      <w:r w:rsidRPr="00172C11">
        <w:rPr>
          <w:rFonts w:asciiTheme="minorBidi" w:hAnsiTheme="minorBidi"/>
          <w:lang w:val="en-GB"/>
        </w:rPr>
        <w:t xml:space="preserve">, [online] 42(1), pp.213–224. </w:t>
      </w:r>
      <w:r w:rsidRPr="00286317">
        <w:rPr>
          <w:rFonts w:asciiTheme="minorBidi" w:hAnsiTheme="minorBidi"/>
          <w:lang w:val="en-GB"/>
        </w:rPr>
        <w:t>doi:</w:t>
      </w:r>
      <w:hyperlink w:history="1" r:id="rId10">
        <w:r w:rsidRPr="00172C11">
          <w:rPr>
            <w:rStyle w:val="Hyperlink"/>
            <w:rFonts w:asciiTheme="minorBidi" w:hAnsiTheme="minorBidi"/>
            <w:color w:val="auto"/>
            <w:lang w:val="en-GB"/>
          </w:rPr>
          <w:t>https://doi.org/10.1016/j.gerinurse.2020.08.004</w:t>
        </w:r>
      </w:hyperlink>
      <w:r w:rsidRPr="00172C11">
        <w:rPr>
          <w:rFonts w:asciiTheme="minorBidi" w:hAnsiTheme="minorBidi"/>
          <w:lang w:val="en-GB"/>
        </w:rPr>
        <w:t>.</w:t>
      </w:r>
      <w:r w:rsidRPr="00286317">
        <w:rPr>
          <w:rFonts w:asciiTheme="minorBidi" w:hAnsiTheme="minorBidi"/>
          <w:lang w:val="en-GB"/>
        </w:rPr>
        <w:t xml:space="preserve"> </w:t>
      </w:r>
    </w:p>
    <w:p w:rsidRPr="00172C11" w:rsidR="00172C11" w:rsidP="00286317" w:rsidRDefault="00172C11" w14:paraId="7DA9D7D8" w14:textId="6558FD25">
      <w:pPr>
        <w:spacing w:line="360" w:lineRule="auto"/>
        <w:jc w:val="both"/>
        <w:rPr>
          <w:rFonts w:asciiTheme="minorBidi" w:hAnsiTheme="minorBidi"/>
          <w:lang w:val="en-GB"/>
        </w:rPr>
      </w:pPr>
      <w:r w:rsidRPr="00172C11">
        <w:rPr>
          <w:rFonts w:asciiTheme="minorBidi" w:hAnsiTheme="minorBidi"/>
          <w:lang w:val="en-GB"/>
        </w:rPr>
        <w:t xml:space="preserve">Feldthusen, C., Forsgren, E., Wallström, S., Andersson, V., Löfqvist, N., Sawatzky, R., Öhlén, J. and J. Ung, E. (2022). Centredness in health care: A systematic overview of reviews. </w:t>
      </w:r>
      <w:r w:rsidRPr="00172C11">
        <w:rPr>
          <w:rFonts w:asciiTheme="minorBidi" w:hAnsiTheme="minorBidi"/>
          <w:i/>
          <w:iCs/>
          <w:lang w:val="en-GB"/>
        </w:rPr>
        <w:t>Health Expectations</w:t>
      </w:r>
      <w:r w:rsidRPr="00172C11">
        <w:rPr>
          <w:rFonts w:asciiTheme="minorBidi" w:hAnsiTheme="minorBidi"/>
          <w:lang w:val="en-GB"/>
        </w:rPr>
        <w:t xml:space="preserve">, 25(3). </w:t>
      </w:r>
      <w:r w:rsidRPr="00286317">
        <w:rPr>
          <w:rFonts w:asciiTheme="minorBidi" w:hAnsiTheme="minorBidi"/>
          <w:lang w:val="en-GB"/>
        </w:rPr>
        <w:t xml:space="preserve">doi: </w:t>
      </w:r>
      <w:hyperlink w:history="1" r:id="rId11">
        <w:r w:rsidRPr="00172C11">
          <w:rPr>
            <w:rStyle w:val="Hyperlink"/>
            <w:rFonts w:asciiTheme="minorBidi" w:hAnsiTheme="minorBidi"/>
            <w:color w:val="auto"/>
            <w:lang w:val="en-GB"/>
          </w:rPr>
          <w:t>https://doi.org/10.1111/hex.13461</w:t>
        </w:r>
      </w:hyperlink>
      <w:r w:rsidRPr="00172C11">
        <w:rPr>
          <w:rFonts w:asciiTheme="minorBidi" w:hAnsiTheme="minorBidi"/>
          <w:lang w:val="en-GB"/>
        </w:rPr>
        <w:t>.</w:t>
      </w:r>
      <w:r w:rsidRPr="00286317">
        <w:rPr>
          <w:rFonts w:asciiTheme="minorBidi" w:hAnsiTheme="minorBidi"/>
          <w:lang w:val="en-GB"/>
        </w:rPr>
        <w:t xml:space="preserve"> </w:t>
      </w:r>
    </w:p>
    <w:p w:rsidRPr="00172C11" w:rsidR="00172C11" w:rsidP="00286317" w:rsidRDefault="00172C11" w14:paraId="77CA72C6" w14:textId="37AAAC74">
      <w:pPr>
        <w:spacing w:line="360" w:lineRule="auto"/>
        <w:jc w:val="both"/>
        <w:rPr>
          <w:rFonts w:asciiTheme="minorBidi" w:hAnsiTheme="minorBidi"/>
          <w:lang w:val="en-GB"/>
        </w:rPr>
      </w:pPr>
      <w:r w:rsidRPr="00172C11">
        <w:rPr>
          <w:rFonts w:asciiTheme="minorBidi" w:hAnsiTheme="minorBidi"/>
          <w:lang w:val="en-GB"/>
        </w:rPr>
        <w:t xml:space="preserve">Handley, S.C., Bell, S. and Nembhard, I.M. (2020). A systematic review of surveys for measuring patient-centered care in the hospital setting. </w:t>
      </w:r>
      <w:r w:rsidRPr="00172C11">
        <w:rPr>
          <w:rFonts w:asciiTheme="minorBidi" w:hAnsiTheme="minorBidi"/>
          <w:i/>
          <w:iCs/>
          <w:lang w:val="en-GB"/>
        </w:rPr>
        <w:t>Medical Care</w:t>
      </w:r>
      <w:r w:rsidRPr="00172C11">
        <w:rPr>
          <w:rFonts w:asciiTheme="minorBidi" w:hAnsiTheme="minorBidi"/>
          <w:lang w:val="en-GB"/>
        </w:rPr>
        <w:t xml:space="preserve">, Publish Ahead of </w:t>
      </w:r>
      <w:proofErr w:type="gramStart"/>
      <w:r w:rsidRPr="00172C11">
        <w:rPr>
          <w:rFonts w:asciiTheme="minorBidi" w:hAnsiTheme="minorBidi"/>
          <w:lang w:val="en-GB"/>
        </w:rPr>
        <w:t>Print(</w:t>
      </w:r>
      <w:proofErr w:type="gramEnd"/>
      <w:r w:rsidRPr="00172C11">
        <w:rPr>
          <w:rFonts w:asciiTheme="minorBidi" w:hAnsiTheme="minorBidi"/>
          <w:lang w:val="en-GB"/>
        </w:rPr>
        <w:t xml:space="preserve">3). </w:t>
      </w:r>
      <w:r w:rsidRPr="00286317">
        <w:rPr>
          <w:rFonts w:asciiTheme="minorBidi" w:hAnsiTheme="minorBidi"/>
          <w:lang w:val="en-GB"/>
        </w:rPr>
        <w:t xml:space="preserve">doi: </w:t>
      </w:r>
      <w:hyperlink w:history="1" r:id="rId12">
        <w:r w:rsidRPr="00172C11">
          <w:rPr>
            <w:rStyle w:val="Hyperlink"/>
            <w:rFonts w:asciiTheme="minorBidi" w:hAnsiTheme="minorBidi"/>
            <w:color w:val="auto"/>
            <w:lang w:val="en-GB"/>
          </w:rPr>
          <w:t>https://doi.org/10.1097/mlr.0000000000001474</w:t>
        </w:r>
      </w:hyperlink>
      <w:r w:rsidRPr="00172C11">
        <w:rPr>
          <w:rFonts w:asciiTheme="minorBidi" w:hAnsiTheme="minorBidi"/>
          <w:lang w:val="en-GB"/>
        </w:rPr>
        <w:t>.</w:t>
      </w:r>
      <w:r w:rsidRPr="00286317">
        <w:rPr>
          <w:rFonts w:asciiTheme="minorBidi" w:hAnsiTheme="minorBidi"/>
          <w:lang w:val="en-GB"/>
        </w:rPr>
        <w:t xml:space="preserve"> </w:t>
      </w:r>
    </w:p>
    <w:p w:rsidRPr="00172C11" w:rsidR="00172C11" w:rsidP="00286317" w:rsidRDefault="00172C11" w14:paraId="2CA21921" w14:textId="7B998D9A">
      <w:pPr>
        <w:spacing w:line="360" w:lineRule="auto"/>
        <w:jc w:val="both"/>
        <w:rPr>
          <w:rFonts w:asciiTheme="minorBidi" w:hAnsiTheme="minorBidi"/>
          <w:lang w:val="en-GB"/>
        </w:rPr>
      </w:pPr>
      <w:r w:rsidRPr="00172C11">
        <w:rPr>
          <w:rFonts w:asciiTheme="minorBidi" w:hAnsiTheme="minorBidi"/>
          <w:lang w:val="en-GB"/>
        </w:rPr>
        <w:t xml:space="preserve">Howard, E.P., Martin, L., Heckman, G.A. and Morris, J.N. (2021). Does the Person-Centered Care Model Support the Needs of Long-Term Care Residents </w:t>
      </w:r>
      <w:proofErr w:type="gramStart"/>
      <w:r w:rsidRPr="00172C11">
        <w:rPr>
          <w:rFonts w:asciiTheme="minorBidi" w:hAnsiTheme="minorBidi"/>
          <w:lang w:val="en-GB"/>
        </w:rPr>
        <w:t>With</w:t>
      </w:r>
      <w:proofErr w:type="gramEnd"/>
      <w:r w:rsidRPr="00172C11">
        <w:rPr>
          <w:rFonts w:asciiTheme="minorBidi" w:hAnsiTheme="minorBidi"/>
          <w:lang w:val="en-GB"/>
        </w:rPr>
        <w:t xml:space="preserve"> Serious Mental Illness and </w:t>
      </w:r>
      <w:r w:rsidRPr="00172C11">
        <w:rPr>
          <w:rFonts w:asciiTheme="minorBidi" w:hAnsiTheme="minorBidi"/>
          <w:lang w:val="en-GB"/>
        </w:rPr>
        <w:lastRenderedPageBreak/>
        <w:t xml:space="preserve">Intellectual and Developmental Disabilities? </w:t>
      </w:r>
      <w:r w:rsidRPr="00172C11">
        <w:rPr>
          <w:rFonts w:asciiTheme="minorBidi" w:hAnsiTheme="minorBidi"/>
          <w:i/>
          <w:iCs/>
          <w:lang w:val="en-GB"/>
        </w:rPr>
        <w:t>Frontiers in Psychiatry</w:t>
      </w:r>
      <w:r w:rsidRPr="00172C11">
        <w:rPr>
          <w:rFonts w:asciiTheme="minorBidi" w:hAnsiTheme="minorBidi"/>
          <w:lang w:val="en-GB"/>
        </w:rPr>
        <w:t xml:space="preserve">, 12. </w:t>
      </w:r>
      <w:r w:rsidRPr="00286317">
        <w:rPr>
          <w:rFonts w:asciiTheme="minorBidi" w:hAnsiTheme="minorBidi"/>
          <w:lang w:val="en-GB"/>
        </w:rPr>
        <w:t xml:space="preserve">doi: </w:t>
      </w:r>
      <w:hyperlink w:history="1" r:id="rId13">
        <w:r w:rsidRPr="00172C11">
          <w:rPr>
            <w:rStyle w:val="Hyperlink"/>
            <w:rFonts w:asciiTheme="minorBidi" w:hAnsiTheme="minorBidi"/>
            <w:color w:val="auto"/>
            <w:lang w:val="en-GB"/>
          </w:rPr>
          <w:t>https://doi.org/10.3389/fpsyt.2021.704764</w:t>
        </w:r>
      </w:hyperlink>
      <w:r w:rsidRPr="00172C11">
        <w:rPr>
          <w:rFonts w:asciiTheme="minorBidi" w:hAnsiTheme="minorBidi"/>
          <w:lang w:val="en-GB"/>
        </w:rPr>
        <w:t>.</w:t>
      </w:r>
      <w:r w:rsidRPr="00286317">
        <w:rPr>
          <w:rFonts w:asciiTheme="minorBidi" w:hAnsiTheme="minorBidi"/>
          <w:lang w:val="en-GB"/>
        </w:rPr>
        <w:t xml:space="preserve"> </w:t>
      </w:r>
    </w:p>
    <w:p w:rsidRPr="00172C11" w:rsidR="00172C11" w:rsidP="00286317" w:rsidRDefault="00172C11" w14:paraId="61AAE2EC" w14:textId="6E66D59F">
      <w:pPr>
        <w:spacing w:line="360" w:lineRule="auto"/>
        <w:jc w:val="both"/>
        <w:rPr>
          <w:rFonts w:asciiTheme="minorBidi" w:hAnsiTheme="minorBidi"/>
          <w:lang w:val="en-GB"/>
        </w:rPr>
      </w:pPr>
      <w:r w:rsidRPr="00172C11">
        <w:rPr>
          <w:rFonts w:asciiTheme="minorBidi" w:hAnsiTheme="minorBidi"/>
          <w:lang w:val="en-GB"/>
        </w:rPr>
        <w:t xml:space="preserve">Miller, R., Glasby, J. and Dickinson, H. (2021). Integrated Health and Social Care in England: Ten Years On. </w:t>
      </w:r>
      <w:r w:rsidRPr="00172C11">
        <w:rPr>
          <w:rFonts w:asciiTheme="minorBidi" w:hAnsiTheme="minorBidi"/>
          <w:i/>
          <w:iCs/>
          <w:lang w:val="en-GB"/>
        </w:rPr>
        <w:t>International Journal of Integrated Care</w:t>
      </w:r>
      <w:r w:rsidRPr="00172C11">
        <w:rPr>
          <w:rFonts w:asciiTheme="minorBidi" w:hAnsiTheme="minorBidi"/>
          <w:lang w:val="en-GB"/>
        </w:rPr>
        <w:t xml:space="preserve">, [online] 21(4). </w:t>
      </w:r>
      <w:r w:rsidRPr="00286317">
        <w:rPr>
          <w:rFonts w:asciiTheme="minorBidi" w:hAnsiTheme="minorBidi"/>
          <w:lang w:val="en-GB"/>
        </w:rPr>
        <w:t xml:space="preserve">doi: </w:t>
      </w:r>
      <w:hyperlink w:history="1" r:id="rId14">
        <w:r w:rsidRPr="00172C11">
          <w:rPr>
            <w:rStyle w:val="Hyperlink"/>
            <w:rFonts w:asciiTheme="minorBidi" w:hAnsiTheme="minorBidi"/>
            <w:color w:val="auto"/>
            <w:lang w:val="en-GB"/>
          </w:rPr>
          <w:t>https://doi.org/10.5334/ijic.5666</w:t>
        </w:r>
      </w:hyperlink>
      <w:r w:rsidRPr="00172C11">
        <w:rPr>
          <w:rFonts w:asciiTheme="minorBidi" w:hAnsiTheme="minorBidi"/>
          <w:lang w:val="en-GB"/>
        </w:rPr>
        <w:t>.</w:t>
      </w:r>
      <w:r w:rsidRPr="00286317">
        <w:rPr>
          <w:rFonts w:asciiTheme="minorBidi" w:hAnsiTheme="minorBidi"/>
          <w:lang w:val="en-GB"/>
        </w:rPr>
        <w:t xml:space="preserve"> </w:t>
      </w:r>
    </w:p>
    <w:p w:rsidRPr="00172C11" w:rsidR="00172C11" w:rsidP="00286317" w:rsidRDefault="00172C11" w14:paraId="73D07310" w14:textId="6FD5083C">
      <w:pPr>
        <w:spacing w:line="360" w:lineRule="auto"/>
        <w:jc w:val="both"/>
        <w:rPr>
          <w:rFonts w:asciiTheme="minorBidi" w:hAnsiTheme="minorBidi"/>
          <w:lang w:val="en-GB"/>
        </w:rPr>
      </w:pPr>
      <w:r w:rsidRPr="00172C11">
        <w:rPr>
          <w:rFonts w:asciiTheme="minorBidi" w:hAnsiTheme="minorBidi"/>
          <w:lang w:val="en-GB"/>
        </w:rPr>
        <w:t xml:space="preserve">Mohr, W., Rädke, A., Afi, A., Edvardsson, D., Mühlichen, F., Platen, M., Roes, M., Michalowsky, B. and Hoffmann, W. (2021). Key Intervention Categories to Provide Person-Centered Dementia Care: A Systematic Review of Person-Centered Interventions. </w:t>
      </w:r>
      <w:r w:rsidRPr="00172C11">
        <w:rPr>
          <w:rFonts w:asciiTheme="minorBidi" w:hAnsiTheme="minorBidi"/>
          <w:i/>
          <w:iCs/>
          <w:lang w:val="en-GB"/>
        </w:rPr>
        <w:t>Journal of Alzheimer’s Disease</w:t>
      </w:r>
      <w:r w:rsidRPr="00172C11">
        <w:rPr>
          <w:rFonts w:asciiTheme="minorBidi" w:hAnsiTheme="minorBidi"/>
          <w:lang w:val="en-GB"/>
        </w:rPr>
        <w:t xml:space="preserve">, 84(1), pp.1–24. </w:t>
      </w:r>
      <w:r w:rsidRPr="00286317">
        <w:rPr>
          <w:rFonts w:asciiTheme="minorBidi" w:hAnsiTheme="minorBidi"/>
          <w:lang w:val="en-GB"/>
        </w:rPr>
        <w:t xml:space="preserve">doi: </w:t>
      </w:r>
      <w:hyperlink w:history="1" r:id="rId15">
        <w:r w:rsidRPr="00172C11">
          <w:rPr>
            <w:rStyle w:val="Hyperlink"/>
            <w:rFonts w:asciiTheme="minorBidi" w:hAnsiTheme="minorBidi"/>
            <w:color w:val="auto"/>
            <w:lang w:val="en-GB"/>
          </w:rPr>
          <w:t>https://doi.org/10.3233/jad-210647</w:t>
        </w:r>
      </w:hyperlink>
      <w:r w:rsidRPr="00172C11">
        <w:rPr>
          <w:rFonts w:asciiTheme="minorBidi" w:hAnsiTheme="minorBidi"/>
          <w:lang w:val="en-GB"/>
        </w:rPr>
        <w:t>.</w:t>
      </w:r>
      <w:r w:rsidRPr="00286317">
        <w:rPr>
          <w:rFonts w:asciiTheme="minorBidi" w:hAnsiTheme="minorBidi"/>
          <w:lang w:val="en-GB"/>
        </w:rPr>
        <w:t xml:space="preserve"> </w:t>
      </w:r>
    </w:p>
    <w:p w:rsidRPr="00172C11" w:rsidR="00172C11" w:rsidP="00286317" w:rsidRDefault="00172C11" w14:paraId="1EDB2C45" w14:textId="43ACD6F4">
      <w:pPr>
        <w:spacing w:line="360" w:lineRule="auto"/>
        <w:jc w:val="both"/>
        <w:rPr>
          <w:rFonts w:asciiTheme="minorBidi" w:hAnsiTheme="minorBidi"/>
          <w:lang w:val="en-GB"/>
        </w:rPr>
      </w:pPr>
      <w:r w:rsidRPr="00172C11">
        <w:rPr>
          <w:rFonts w:asciiTheme="minorBidi" w:hAnsiTheme="minorBidi"/>
          <w:lang w:val="en-GB"/>
        </w:rPr>
        <w:t xml:space="preserve">Nkhoma, K.B., Cook, A., Giusti, A., Farrant, L., Petrus, R., Petersen, I., Gwyther, L., Venkatapuram, S. and Harding, R. (2022). A systematic review of impact of person-centred interventions for serious physical illness in terms of outcomes and costs. </w:t>
      </w:r>
      <w:r w:rsidRPr="00172C11">
        <w:rPr>
          <w:rFonts w:asciiTheme="minorBidi" w:hAnsiTheme="minorBidi"/>
          <w:i/>
          <w:iCs/>
          <w:lang w:val="en-GB"/>
        </w:rPr>
        <w:t>BMJ Open</w:t>
      </w:r>
      <w:r w:rsidRPr="00172C11">
        <w:rPr>
          <w:rFonts w:asciiTheme="minorBidi" w:hAnsiTheme="minorBidi"/>
          <w:lang w:val="en-GB"/>
        </w:rPr>
        <w:t xml:space="preserve">, [online] 12(7), p.e054386. </w:t>
      </w:r>
      <w:r w:rsidRPr="00286317">
        <w:rPr>
          <w:rFonts w:asciiTheme="minorBidi" w:hAnsiTheme="minorBidi"/>
          <w:lang w:val="en-GB"/>
        </w:rPr>
        <w:t xml:space="preserve">doi: </w:t>
      </w:r>
      <w:hyperlink w:history="1" r:id="rId16">
        <w:r w:rsidRPr="00172C11">
          <w:rPr>
            <w:rStyle w:val="Hyperlink"/>
            <w:rFonts w:asciiTheme="minorBidi" w:hAnsiTheme="minorBidi"/>
            <w:color w:val="auto"/>
            <w:lang w:val="en-GB"/>
          </w:rPr>
          <w:t>https://doi.org/10.1136/bmjopen-2021-054386</w:t>
        </w:r>
      </w:hyperlink>
      <w:r w:rsidRPr="00172C11">
        <w:rPr>
          <w:rFonts w:asciiTheme="minorBidi" w:hAnsiTheme="minorBidi"/>
          <w:lang w:val="en-GB"/>
        </w:rPr>
        <w:t>.</w:t>
      </w:r>
      <w:r w:rsidRPr="00286317">
        <w:rPr>
          <w:rFonts w:asciiTheme="minorBidi" w:hAnsiTheme="minorBidi"/>
          <w:lang w:val="en-GB"/>
        </w:rPr>
        <w:t xml:space="preserve"> </w:t>
      </w:r>
    </w:p>
    <w:p w:rsidRPr="00172C11" w:rsidR="00172C11" w:rsidP="00286317" w:rsidRDefault="00172C11" w14:paraId="593E057E" w14:textId="37BA7148">
      <w:pPr>
        <w:spacing w:line="360" w:lineRule="auto"/>
        <w:jc w:val="both"/>
        <w:rPr>
          <w:rFonts w:asciiTheme="minorBidi" w:hAnsiTheme="minorBidi"/>
          <w:lang w:val="en-GB"/>
        </w:rPr>
      </w:pPr>
      <w:r w:rsidRPr="00172C11">
        <w:rPr>
          <w:rFonts w:asciiTheme="minorBidi" w:hAnsiTheme="minorBidi"/>
          <w:lang w:val="en-GB"/>
        </w:rPr>
        <w:t xml:space="preserve">Raftery, P., Hossain, M. and Palmer, J. (2021). A Conceptual Framework for Analysing Partnership and Synergy in a Global Health Alliance: Case of the UK Public Health Rapid Support Team (UK-PHRST). </w:t>
      </w:r>
      <w:r w:rsidRPr="00172C11">
        <w:rPr>
          <w:rFonts w:asciiTheme="minorBidi" w:hAnsiTheme="minorBidi"/>
          <w:i/>
          <w:iCs/>
          <w:lang w:val="en-GB"/>
        </w:rPr>
        <w:t>Health Policy and Planning</w:t>
      </w:r>
      <w:r w:rsidRPr="00172C11">
        <w:rPr>
          <w:rFonts w:asciiTheme="minorBidi" w:hAnsiTheme="minorBidi"/>
          <w:lang w:val="en-GB"/>
        </w:rPr>
        <w:t xml:space="preserve">, 37(3). </w:t>
      </w:r>
      <w:r w:rsidRPr="00286317">
        <w:rPr>
          <w:rFonts w:asciiTheme="minorBidi" w:hAnsiTheme="minorBidi"/>
          <w:lang w:val="en-GB"/>
        </w:rPr>
        <w:t xml:space="preserve">doi: </w:t>
      </w:r>
      <w:hyperlink w:history="1" r:id="rId17">
        <w:r w:rsidRPr="00172C11">
          <w:rPr>
            <w:rStyle w:val="Hyperlink"/>
            <w:rFonts w:asciiTheme="minorBidi" w:hAnsiTheme="minorBidi"/>
            <w:color w:val="auto"/>
            <w:lang w:val="en-GB"/>
          </w:rPr>
          <w:t>https://doi.org/10.1093/heapol/czab150</w:t>
        </w:r>
      </w:hyperlink>
      <w:r w:rsidRPr="00172C11">
        <w:rPr>
          <w:rFonts w:asciiTheme="minorBidi" w:hAnsiTheme="minorBidi"/>
          <w:lang w:val="en-GB"/>
        </w:rPr>
        <w:t>.</w:t>
      </w:r>
      <w:r w:rsidRPr="00286317">
        <w:rPr>
          <w:rFonts w:asciiTheme="minorBidi" w:hAnsiTheme="minorBidi"/>
          <w:lang w:val="en-GB"/>
        </w:rPr>
        <w:t xml:space="preserve"> </w:t>
      </w:r>
    </w:p>
    <w:p w:rsidRPr="00172C11" w:rsidR="00172C11" w:rsidP="00286317" w:rsidRDefault="00172C11" w14:paraId="3B6595FB" w14:textId="27588003">
      <w:pPr>
        <w:spacing w:line="360" w:lineRule="auto"/>
        <w:jc w:val="both"/>
        <w:rPr>
          <w:rFonts w:asciiTheme="minorBidi" w:hAnsiTheme="minorBidi"/>
          <w:lang w:val="en-GB"/>
        </w:rPr>
      </w:pPr>
      <w:r w:rsidRPr="00172C11">
        <w:rPr>
          <w:rFonts w:asciiTheme="minorBidi" w:hAnsiTheme="minorBidi"/>
          <w:lang w:val="en-GB"/>
        </w:rPr>
        <w:t xml:space="preserve">Walsh, A., Bodaghkhani, E., Etchegary, H., Alcock, L., Patey, C., Senior, D. and Asghari, S. (2022). Patient-centered Care in the Emergency department: a Systematic Review and meta-ethnographic Synthesis. </w:t>
      </w:r>
      <w:r w:rsidRPr="00172C11">
        <w:rPr>
          <w:rFonts w:asciiTheme="minorBidi" w:hAnsiTheme="minorBidi"/>
          <w:i/>
          <w:iCs/>
          <w:lang w:val="en-GB"/>
        </w:rPr>
        <w:t>International Journal of Emergency Medicine</w:t>
      </w:r>
      <w:r w:rsidRPr="00172C11">
        <w:rPr>
          <w:rFonts w:asciiTheme="minorBidi" w:hAnsiTheme="minorBidi"/>
          <w:lang w:val="en-GB"/>
        </w:rPr>
        <w:t xml:space="preserve">, [online] 15(1). </w:t>
      </w:r>
      <w:r w:rsidRPr="00286317">
        <w:rPr>
          <w:rFonts w:asciiTheme="minorBidi" w:hAnsiTheme="minorBidi"/>
          <w:lang w:val="en-GB"/>
        </w:rPr>
        <w:t xml:space="preserve">doi: </w:t>
      </w:r>
      <w:hyperlink w:history="1" r:id="rId18">
        <w:r w:rsidRPr="00172C11">
          <w:rPr>
            <w:rStyle w:val="Hyperlink"/>
            <w:rFonts w:asciiTheme="minorBidi" w:hAnsiTheme="minorBidi"/>
            <w:color w:val="auto"/>
            <w:lang w:val="en-GB"/>
          </w:rPr>
          <w:t>https://doi.org/10.1186/s12245-022-00438-0</w:t>
        </w:r>
      </w:hyperlink>
      <w:r w:rsidRPr="00172C11">
        <w:rPr>
          <w:rFonts w:asciiTheme="minorBidi" w:hAnsiTheme="minorBidi"/>
          <w:lang w:val="en-GB"/>
        </w:rPr>
        <w:t>.</w:t>
      </w:r>
      <w:r w:rsidRPr="00286317">
        <w:rPr>
          <w:rFonts w:asciiTheme="minorBidi" w:hAnsiTheme="minorBidi"/>
          <w:lang w:val="en-GB"/>
        </w:rPr>
        <w:t xml:space="preserve"> </w:t>
      </w:r>
    </w:p>
    <w:p w:rsidRPr="00286317" w:rsidR="00172C11" w:rsidP="00286317" w:rsidRDefault="00172C11" w14:paraId="4D9039CF" w14:textId="2318BA55">
      <w:pPr>
        <w:spacing w:line="360" w:lineRule="auto"/>
        <w:jc w:val="both"/>
        <w:rPr>
          <w:rFonts w:asciiTheme="minorBidi" w:hAnsiTheme="minorBidi"/>
          <w:lang w:val="en-GB"/>
        </w:rPr>
      </w:pPr>
      <w:r w:rsidRPr="00172C11">
        <w:rPr>
          <w:rFonts w:asciiTheme="minorBidi" w:hAnsiTheme="minorBidi"/>
          <w:lang w:val="en-GB"/>
        </w:rPr>
        <w:t xml:space="preserve">Yu, C., Xian, Y., Jing, T., Bai, M., Li, X., Li, J., Liang, H., Yu, G. and Zhang, Z. (2023). More patient-centered care, better healthcare: the association between patient-centered care and healthcare outcomes in inpatients. </w:t>
      </w:r>
      <w:r w:rsidRPr="00172C11">
        <w:rPr>
          <w:rFonts w:asciiTheme="minorBidi" w:hAnsiTheme="minorBidi"/>
          <w:i/>
          <w:iCs/>
          <w:lang w:val="en-GB"/>
        </w:rPr>
        <w:t>Frontiers in Public Health</w:t>
      </w:r>
      <w:r w:rsidRPr="00172C11">
        <w:rPr>
          <w:rFonts w:asciiTheme="minorBidi" w:hAnsiTheme="minorBidi"/>
          <w:lang w:val="en-GB"/>
        </w:rPr>
        <w:t xml:space="preserve">, 11(1148277), pp.1–9. </w:t>
      </w:r>
      <w:r w:rsidRPr="00286317">
        <w:rPr>
          <w:rFonts w:asciiTheme="minorBidi" w:hAnsiTheme="minorBidi"/>
          <w:lang w:val="en-GB"/>
        </w:rPr>
        <w:t xml:space="preserve">doi: </w:t>
      </w:r>
      <w:hyperlink w:history="1" r:id="rId19">
        <w:r w:rsidRPr="00172C11">
          <w:rPr>
            <w:rStyle w:val="Hyperlink"/>
            <w:rFonts w:asciiTheme="minorBidi" w:hAnsiTheme="minorBidi"/>
            <w:color w:val="auto"/>
            <w:lang w:val="en-GB"/>
          </w:rPr>
          <w:t>https://doi.org/10.3389/fpubh.2023.1148277</w:t>
        </w:r>
      </w:hyperlink>
      <w:r w:rsidRPr="00172C11">
        <w:rPr>
          <w:rFonts w:asciiTheme="minorBidi" w:hAnsiTheme="minorBidi"/>
          <w:lang w:val="en-GB"/>
        </w:rPr>
        <w:t>.</w:t>
      </w:r>
      <w:r w:rsidRPr="00286317">
        <w:rPr>
          <w:rFonts w:asciiTheme="minorBidi" w:hAnsiTheme="minorBidi"/>
          <w:lang w:val="en-GB"/>
        </w:rPr>
        <w:t xml:space="preserve"> </w:t>
      </w:r>
    </w:p>
    <w:sectPr w:rsidRPr="00286317" w:rsidR="00172C11">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EC1"/>
    <w:rsid w:val="0004048E"/>
    <w:rsid w:val="00063BFB"/>
    <w:rsid w:val="00172C11"/>
    <w:rsid w:val="001C6E3F"/>
    <w:rsid w:val="001E45E5"/>
    <w:rsid w:val="002574CC"/>
    <w:rsid w:val="00286317"/>
    <w:rsid w:val="002A5EC1"/>
    <w:rsid w:val="002C7E34"/>
    <w:rsid w:val="003A4C6F"/>
    <w:rsid w:val="004E37AA"/>
    <w:rsid w:val="0052538A"/>
    <w:rsid w:val="0054453F"/>
    <w:rsid w:val="00557BE4"/>
    <w:rsid w:val="005C3D80"/>
    <w:rsid w:val="006F2EA9"/>
    <w:rsid w:val="00A32D38"/>
    <w:rsid w:val="00A63EAA"/>
    <w:rsid w:val="00B909F6"/>
    <w:rsid w:val="00B90A46"/>
    <w:rsid w:val="00BC266E"/>
    <w:rsid w:val="00BD76A9"/>
    <w:rsid w:val="00C27451"/>
    <w:rsid w:val="00C83C5E"/>
    <w:rsid w:val="00CE420E"/>
    <w:rsid w:val="00D25002"/>
    <w:rsid w:val="00EE6379"/>
    <w:rsid w:val="00FD3660"/>
    <w:rsid w:val="0863668B"/>
    <w:rsid w:val="08F8BAE5"/>
    <w:rsid w:val="11B64E6D"/>
    <w:rsid w:val="63D279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A156B"/>
  <w15:chartTrackingRefBased/>
  <w15:docId w15:val="{2FA122CB-54D7-4CDD-BE9E-6F6A6B760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AU"/>
    </w:rPr>
  </w:style>
  <w:style w:type="paragraph" w:styleId="Heading1">
    <w:name w:val="heading 1"/>
    <w:basedOn w:val="Normal"/>
    <w:next w:val="Normal"/>
    <w:link w:val="Heading1Char"/>
    <w:uiPriority w:val="9"/>
    <w:qFormat/>
    <w:rsid w:val="0052538A"/>
    <w:pPr>
      <w:keepNext/>
      <w:keepLines/>
      <w:spacing w:before="240" w:after="240"/>
      <w:jc w:val="center"/>
      <w:outlineLvl w:val="0"/>
    </w:pPr>
    <w:rPr>
      <w:rFonts w:ascii="Times New Roman" w:hAnsi="Times New Roman" w:eastAsiaTheme="majorEastAsia" w:cstheme="majorBidi"/>
      <w:b/>
      <w:sz w:val="24"/>
      <w:szCs w:val="32"/>
    </w:rPr>
  </w:style>
  <w:style w:type="paragraph" w:styleId="Heading2">
    <w:name w:val="heading 2"/>
    <w:basedOn w:val="Normal"/>
    <w:next w:val="Normal"/>
    <w:link w:val="Heading2Char"/>
    <w:uiPriority w:val="9"/>
    <w:semiHidden/>
    <w:unhideWhenUsed/>
    <w:qFormat/>
    <w:rsid w:val="0052538A"/>
    <w:pPr>
      <w:keepNext/>
      <w:keepLines/>
      <w:spacing w:before="240" w:after="240"/>
      <w:outlineLvl w:val="1"/>
    </w:pPr>
    <w:rPr>
      <w:rFonts w:ascii="Times New Roman" w:hAnsi="Times New Roman" w:eastAsiaTheme="majorEastAsia" w:cstheme="majorBidi"/>
      <w:b/>
      <w:sz w:val="24"/>
      <w:szCs w:val="26"/>
    </w:rPr>
  </w:style>
  <w:style w:type="paragraph" w:styleId="Heading3">
    <w:name w:val="heading 3"/>
    <w:basedOn w:val="Normal"/>
    <w:next w:val="Normal"/>
    <w:link w:val="Heading3Char"/>
    <w:uiPriority w:val="9"/>
    <w:semiHidden/>
    <w:unhideWhenUsed/>
    <w:qFormat/>
    <w:rsid w:val="0052538A"/>
    <w:pPr>
      <w:keepNext/>
      <w:keepLines/>
      <w:spacing w:before="240" w:after="240"/>
      <w:outlineLvl w:val="2"/>
    </w:pPr>
    <w:rPr>
      <w:rFonts w:ascii="Times New Roman" w:hAnsi="Times New Roman" w:eastAsiaTheme="majorEastAsia" w:cstheme="majorBidi"/>
      <w:b/>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2538A"/>
    <w:rPr>
      <w:rFonts w:ascii="Times New Roman" w:hAnsi="Times New Roman" w:eastAsiaTheme="majorEastAsia" w:cstheme="majorBidi"/>
      <w:b/>
      <w:sz w:val="24"/>
      <w:szCs w:val="32"/>
      <w:lang w:val="en-AU"/>
    </w:rPr>
  </w:style>
  <w:style w:type="character" w:styleId="Heading2Char" w:customStyle="1">
    <w:name w:val="Heading 2 Char"/>
    <w:basedOn w:val="DefaultParagraphFont"/>
    <w:link w:val="Heading2"/>
    <w:uiPriority w:val="9"/>
    <w:semiHidden/>
    <w:rsid w:val="0052538A"/>
    <w:rPr>
      <w:rFonts w:ascii="Times New Roman" w:hAnsi="Times New Roman" w:eastAsiaTheme="majorEastAsia" w:cstheme="majorBidi"/>
      <w:b/>
      <w:sz w:val="24"/>
      <w:szCs w:val="26"/>
      <w:lang w:val="en-AU"/>
    </w:rPr>
  </w:style>
  <w:style w:type="character" w:styleId="Heading3Char" w:customStyle="1">
    <w:name w:val="Heading 3 Char"/>
    <w:basedOn w:val="DefaultParagraphFont"/>
    <w:link w:val="Heading3"/>
    <w:uiPriority w:val="9"/>
    <w:semiHidden/>
    <w:rsid w:val="0052538A"/>
    <w:rPr>
      <w:rFonts w:ascii="Times New Roman" w:hAnsi="Times New Roman" w:eastAsiaTheme="majorEastAsia" w:cstheme="majorBidi"/>
      <w:b/>
      <w:sz w:val="24"/>
      <w:szCs w:val="24"/>
      <w:lang w:val="en-AU"/>
    </w:rPr>
  </w:style>
  <w:style w:type="character" w:styleId="Hyperlink">
    <w:name w:val="Hyperlink"/>
    <w:basedOn w:val="DefaultParagraphFont"/>
    <w:uiPriority w:val="99"/>
    <w:unhideWhenUsed/>
    <w:rsid w:val="00172C11"/>
    <w:rPr>
      <w:color w:val="0563C1" w:themeColor="hyperlink"/>
      <w:u w:val="single"/>
    </w:rPr>
  </w:style>
  <w:style w:type="character" w:styleId="UnresolvedMention">
    <w:name w:val="Unresolved Mention"/>
    <w:basedOn w:val="DefaultParagraphFont"/>
    <w:uiPriority w:val="99"/>
    <w:semiHidden/>
    <w:unhideWhenUsed/>
    <w:rsid w:val="00172C11"/>
    <w:rPr>
      <w:color w:val="605E5C"/>
      <w:shd w:val="clear" w:color="auto" w:fill="E1DFDD"/>
    </w:rPr>
  </w:style>
  <w:style w:type="paragraph" w:styleId="TOCHeading">
    <w:name w:val="TOC Heading"/>
    <w:basedOn w:val="Heading1"/>
    <w:next w:val="Normal"/>
    <w:uiPriority w:val="39"/>
    <w:unhideWhenUsed/>
    <w:qFormat/>
    <w:rsid w:val="00286317"/>
    <w:pPr>
      <w:spacing w:after="0"/>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8631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6760">
      <w:bodyDiv w:val="1"/>
      <w:marLeft w:val="0"/>
      <w:marRight w:val="0"/>
      <w:marTop w:val="0"/>
      <w:marBottom w:val="0"/>
      <w:divBdr>
        <w:top w:val="none" w:sz="0" w:space="0" w:color="auto"/>
        <w:left w:val="none" w:sz="0" w:space="0" w:color="auto"/>
        <w:bottom w:val="none" w:sz="0" w:space="0" w:color="auto"/>
        <w:right w:val="none" w:sz="0" w:space="0" w:color="auto"/>
      </w:divBdr>
      <w:divsChild>
        <w:div w:id="1288390811">
          <w:marLeft w:val="0"/>
          <w:marRight w:val="0"/>
          <w:marTop w:val="0"/>
          <w:marBottom w:val="0"/>
          <w:divBdr>
            <w:top w:val="none" w:sz="0" w:space="0" w:color="auto"/>
            <w:left w:val="none" w:sz="0" w:space="0" w:color="auto"/>
            <w:bottom w:val="none" w:sz="0" w:space="0" w:color="auto"/>
            <w:right w:val="none" w:sz="0" w:space="0" w:color="auto"/>
          </w:divBdr>
        </w:div>
      </w:divsChild>
    </w:div>
    <w:div w:id="148986435">
      <w:bodyDiv w:val="1"/>
      <w:marLeft w:val="0"/>
      <w:marRight w:val="0"/>
      <w:marTop w:val="0"/>
      <w:marBottom w:val="0"/>
      <w:divBdr>
        <w:top w:val="none" w:sz="0" w:space="0" w:color="auto"/>
        <w:left w:val="none" w:sz="0" w:space="0" w:color="auto"/>
        <w:bottom w:val="none" w:sz="0" w:space="0" w:color="auto"/>
        <w:right w:val="none" w:sz="0" w:space="0" w:color="auto"/>
      </w:divBdr>
      <w:divsChild>
        <w:div w:id="329527606">
          <w:marLeft w:val="0"/>
          <w:marRight w:val="0"/>
          <w:marTop w:val="0"/>
          <w:marBottom w:val="0"/>
          <w:divBdr>
            <w:top w:val="none" w:sz="0" w:space="0" w:color="auto"/>
            <w:left w:val="none" w:sz="0" w:space="0" w:color="auto"/>
            <w:bottom w:val="none" w:sz="0" w:space="0" w:color="auto"/>
            <w:right w:val="none" w:sz="0" w:space="0" w:color="auto"/>
          </w:divBdr>
        </w:div>
      </w:divsChild>
    </w:div>
    <w:div w:id="475613366">
      <w:bodyDiv w:val="1"/>
      <w:marLeft w:val="0"/>
      <w:marRight w:val="0"/>
      <w:marTop w:val="0"/>
      <w:marBottom w:val="0"/>
      <w:divBdr>
        <w:top w:val="none" w:sz="0" w:space="0" w:color="auto"/>
        <w:left w:val="none" w:sz="0" w:space="0" w:color="auto"/>
        <w:bottom w:val="none" w:sz="0" w:space="0" w:color="auto"/>
        <w:right w:val="none" w:sz="0" w:space="0" w:color="auto"/>
      </w:divBdr>
    </w:div>
    <w:div w:id="1900943612">
      <w:bodyDiv w:val="1"/>
      <w:marLeft w:val="0"/>
      <w:marRight w:val="0"/>
      <w:marTop w:val="0"/>
      <w:marBottom w:val="0"/>
      <w:divBdr>
        <w:top w:val="none" w:sz="0" w:space="0" w:color="auto"/>
        <w:left w:val="none" w:sz="0" w:space="0" w:color="auto"/>
        <w:bottom w:val="none" w:sz="0" w:space="0" w:color="auto"/>
        <w:right w:val="none" w:sz="0" w:space="0" w:color="auto"/>
      </w:divBdr>
      <w:divsChild>
        <w:div w:id="13038048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3389/fmed.2021.669491" TargetMode="External" Id="rId8" /><Relationship Type="http://schemas.openxmlformats.org/officeDocument/2006/relationships/hyperlink" Target="https://doi.org/10.3389/fpsyt.2021.704764" TargetMode="External" Id="rId13" /><Relationship Type="http://schemas.openxmlformats.org/officeDocument/2006/relationships/hyperlink" Target="https://doi.org/10.1186/s12245-022-00438-0" TargetMode="External" Id="rId18" /><Relationship Type="http://schemas.openxmlformats.org/officeDocument/2006/relationships/settings" Target="settings.xml" Id="rId3" /><Relationship Type="http://schemas.openxmlformats.org/officeDocument/2006/relationships/theme" Target="theme/theme1.xml" Id="rId21" /><Relationship Type="http://schemas.openxmlformats.org/officeDocument/2006/relationships/hyperlink" Target="https://doi.org/10.1177/2164957x221117112" TargetMode="External" Id="rId7" /><Relationship Type="http://schemas.openxmlformats.org/officeDocument/2006/relationships/hyperlink" Target="https://doi.org/10.1097/mlr.0000000000001474" TargetMode="External" Id="rId12" /><Relationship Type="http://schemas.openxmlformats.org/officeDocument/2006/relationships/hyperlink" Target="https://doi.org/10.1093/heapol/czab150" TargetMode="External" Id="rId17" /><Relationship Type="http://schemas.openxmlformats.org/officeDocument/2006/relationships/styles" Target="styles.xml" Id="rId2" /><Relationship Type="http://schemas.openxmlformats.org/officeDocument/2006/relationships/hyperlink" Target="https://doi.org/10.1136/bmjopen-2021-054386"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hyperlink" Target="https://doi.org/10.1186/s12910-022-00766-z" TargetMode="External" Id="rId6" /><Relationship Type="http://schemas.openxmlformats.org/officeDocument/2006/relationships/hyperlink" Target="https://doi.org/10.1111/hex.13461" TargetMode="External" Id="rId11" /><Relationship Type="http://schemas.openxmlformats.org/officeDocument/2006/relationships/hyperlink" Target="https://doi.org/10.1111/hsc.13913" TargetMode="External" Id="rId5" /><Relationship Type="http://schemas.openxmlformats.org/officeDocument/2006/relationships/hyperlink" Target="https://doi.org/10.3233/jad-210647" TargetMode="External" Id="rId15" /><Relationship Type="http://schemas.openxmlformats.org/officeDocument/2006/relationships/hyperlink" Target="https://doi.org/10.1016/j.gerinurse.2020.08.004" TargetMode="External" Id="rId10" /><Relationship Type="http://schemas.openxmlformats.org/officeDocument/2006/relationships/hyperlink" Target="https://doi.org/10.3389/fpubh.2023.1148277" TargetMode="External" Id="rId19" /><Relationship Type="http://schemas.openxmlformats.org/officeDocument/2006/relationships/webSettings" Target="webSettings.xml" Id="rId4" /><Relationship Type="http://schemas.openxmlformats.org/officeDocument/2006/relationships/hyperlink" Target="https://doi.org/10.1136/medethics-2021-107818" TargetMode="External" Id="rId9" /><Relationship Type="http://schemas.openxmlformats.org/officeDocument/2006/relationships/hyperlink" Target="https://doi.org/10.5334/ijic.5666"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B649B-5507-44C1-9FDB-015D7C5BB4E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 01</dc:creator>
  <keywords/>
  <dc:description/>
  <lastModifiedBy>Ioan Surdu (2333638)</lastModifiedBy>
  <revision>3</revision>
  <dcterms:created xsi:type="dcterms:W3CDTF">2025-10-03T20:21:00.0000000Z</dcterms:created>
  <dcterms:modified xsi:type="dcterms:W3CDTF">2025-10-05T13:01:44.0890557Z</dcterms:modified>
</coreProperties>
</file>