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8B80F" w14:textId="1E085BC1" w:rsidR="00E43A4C" w:rsidRPr="0048137E" w:rsidRDefault="00E43A4C" w:rsidP="008544A1">
      <w:pPr>
        <w:spacing w:after="0" w:line="360" w:lineRule="auto"/>
        <w:jc w:val="both"/>
        <w:textAlignment w:val="baseline"/>
        <w:rPr>
          <w:rFonts w:eastAsia="Times New Roman" w:cstheme="minorHAnsi"/>
          <w:szCs w:val="24"/>
          <w:lang w:eastAsia="en-GB"/>
        </w:rPr>
      </w:pPr>
      <w:r w:rsidRPr="0048137E">
        <w:rPr>
          <w:rFonts w:eastAsia="Times New Roman" w:cstheme="minorHAnsi"/>
          <w:caps/>
          <w:color w:val="5B9BD5"/>
          <w:szCs w:val="24"/>
          <w:bdr w:val="none" w:sz="0" w:space="0" w:color="auto" w:frame="1"/>
          <w:lang w:val="en-US" w:eastAsia="en-GB"/>
        </w:rPr>
        <w:br/>
      </w:r>
      <w:r w:rsidR="005F4246">
        <w:rPr>
          <w:rFonts w:eastAsia="Times New Roman" w:cstheme="minorHAnsi"/>
          <w:caps/>
          <w:color w:val="5B9BD5"/>
          <w:szCs w:val="24"/>
          <w:bdr w:val="none" w:sz="0" w:space="0" w:color="auto" w:frame="1"/>
          <w:lang w:val="en-US" w:eastAsia="en-GB"/>
        </w:rPr>
        <w:t xml:space="preserve">                                                     </w:t>
      </w:r>
      <w:r w:rsidRPr="0048137E">
        <w:rPr>
          <w:rFonts w:eastAsia="Times New Roman" w:cstheme="minorHAnsi"/>
          <w:caps/>
          <w:color w:val="5B9BD5"/>
          <w:szCs w:val="24"/>
          <w:bdr w:val="none" w:sz="0" w:space="0" w:color="auto" w:frame="1"/>
          <w:lang w:val="en-US" w:eastAsia="en-GB"/>
        </w:rPr>
        <w:t>HILTON HOTEL </w:t>
      </w:r>
    </w:p>
    <w:p w14:paraId="5BEA0A63" w14:textId="59421117" w:rsidR="00E43A4C" w:rsidRPr="0048137E" w:rsidRDefault="00E43A4C" w:rsidP="0048137E">
      <w:pPr>
        <w:spacing w:after="0" w:line="360" w:lineRule="auto"/>
        <w:jc w:val="center"/>
        <w:rPr>
          <w:rFonts w:eastAsia="Times New Roman" w:cstheme="minorHAnsi"/>
          <w:szCs w:val="24"/>
          <w:lang w:eastAsia="en-GB"/>
        </w:rPr>
      </w:pPr>
      <w:r w:rsidRPr="0048137E">
        <w:rPr>
          <w:rFonts w:eastAsia="Times New Roman" w:cstheme="minorHAnsi"/>
          <w:color w:val="5B9BD5"/>
          <w:szCs w:val="24"/>
          <w:bdr w:val="none" w:sz="0" w:space="0" w:color="auto" w:frame="1"/>
          <w:lang w:val="en-US" w:eastAsia="en-GB"/>
        </w:rPr>
        <w:t>Report on Ratio analysis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E43A4C" w:rsidRPr="0048137E" w14:paraId="0B97961C" w14:textId="77777777" w:rsidTr="00E43A4C">
        <w:trPr>
          <w:trHeight w:val="1230"/>
          <w:tblCellSpacing w:w="15" w:type="dxa"/>
        </w:trPr>
        <w:tc>
          <w:tcPr>
            <w:tcW w:w="11580" w:type="dxa"/>
            <w:hideMark/>
          </w:tcPr>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936"/>
            </w:tblGrid>
            <w:tr w:rsidR="00E43A4C" w:rsidRPr="0048137E" w14:paraId="3520E6CD" w14:textId="77777777">
              <w:trPr>
                <w:tblCellSpacing w:w="15" w:type="dxa"/>
              </w:trPr>
              <w:tc>
                <w:tcPr>
                  <w:tcW w:w="0" w:type="auto"/>
                  <w:vAlign w:val="center"/>
                  <w:hideMark/>
                </w:tcPr>
                <w:p w14:paraId="3C9D6A3B" w14:textId="2E7E106C" w:rsidR="00E43A4C" w:rsidRPr="0048137E" w:rsidRDefault="00E43A4C" w:rsidP="0048137E">
                  <w:pPr>
                    <w:spacing w:after="0" w:line="360" w:lineRule="auto"/>
                    <w:jc w:val="center"/>
                    <w:textAlignment w:val="baseline"/>
                    <w:rPr>
                      <w:rFonts w:eastAsia="Times New Roman" w:cstheme="minorHAnsi"/>
                      <w:szCs w:val="24"/>
                      <w:lang w:eastAsia="en-GB"/>
                    </w:rPr>
                  </w:pPr>
                  <w:r w:rsidRPr="0048137E">
                    <w:rPr>
                      <w:rFonts w:eastAsia="Times New Roman" w:cstheme="minorHAnsi"/>
                      <w:caps/>
                      <w:color w:val="5B9BD5"/>
                      <w:szCs w:val="24"/>
                      <w:bdr w:val="none" w:sz="0" w:space="0" w:color="auto" w:frame="1"/>
                      <w:lang w:val="en-US" w:eastAsia="en-GB"/>
                    </w:rPr>
                    <w:t> </w:t>
                  </w:r>
                </w:p>
                <w:p w14:paraId="7E013358" w14:textId="77777777" w:rsidR="00E43A4C" w:rsidRPr="0048137E" w:rsidRDefault="00E43A4C" w:rsidP="0048137E">
                  <w:pPr>
                    <w:spacing w:after="0" w:line="360" w:lineRule="auto"/>
                    <w:jc w:val="center"/>
                    <w:textAlignment w:val="baseline"/>
                    <w:rPr>
                      <w:rFonts w:eastAsia="Times New Roman" w:cstheme="minorHAnsi"/>
                      <w:szCs w:val="24"/>
                      <w:lang w:eastAsia="en-GB"/>
                    </w:rPr>
                  </w:pPr>
                  <w:r w:rsidRPr="0048137E">
                    <w:rPr>
                      <w:rFonts w:eastAsia="Times New Roman" w:cstheme="minorHAnsi"/>
                      <w:caps/>
                      <w:color w:val="5B9BD5"/>
                      <w:szCs w:val="24"/>
                      <w:bdr w:val="none" w:sz="0" w:space="0" w:color="auto" w:frame="1"/>
                      <w:lang w:val="en-US" w:eastAsia="en-GB"/>
                    </w:rPr>
                    <w:t>     </w:t>
                  </w:r>
                  <w:r w:rsidRPr="0048137E">
                    <w:rPr>
                      <w:rFonts w:eastAsia="Times New Roman" w:cstheme="minorHAnsi"/>
                      <w:color w:val="5B9BD5"/>
                      <w:szCs w:val="24"/>
                      <w:bdr w:val="none" w:sz="0" w:space="0" w:color="auto" w:frame="1"/>
                      <w:lang w:val="en-US" w:eastAsia="en-GB"/>
                    </w:rPr>
                    <w:t> </w:t>
                  </w:r>
                </w:p>
                <w:p w14:paraId="0F1BB5FA" w14:textId="77777777" w:rsidR="00E43A4C" w:rsidRPr="0048137E" w:rsidRDefault="00E43A4C" w:rsidP="0048137E">
                  <w:pPr>
                    <w:spacing w:after="0" w:line="360" w:lineRule="auto"/>
                    <w:jc w:val="center"/>
                    <w:textAlignment w:val="baseline"/>
                    <w:rPr>
                      <w:rFonts w:eastAsia="Times New Roman" w:cstheme="minorHAnsi"/>
                      <w:szCs w:val="24"/>
                      <w:lang w:eastAsia="en-GB"/>
                    </w:rPr>
                  </w:pPr>
                  <w:r w:rsidRPr="0048137E">
                    <w:rPr>
                      <w:rFonts w:eastAsia="Times New Roman" w:cstheme="minorHAnsi"/>
                      <w:color w:val="5B9BD5"/>
                      <w:szCs w:val="24"/>
                      <w:bdr w:val="none" w:sz="0" w:space="0" w:color="auto" w:frame="1"/>
                      <w:lang w:val="en-US" w:eastAsia="en-GB"/>
                    </w:rPr>
                    <w:t>      </w:t>
                  </w:r>
                </w:p>
              </w:tc>
            </w:tr>
          </w:tbl>
          <w:p w14:paraId="4A431C0A"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 </w:t>
            </w:r>
          </w:p>
        </w:tc>
      </w:tr>
    </w:tbl>
    <w:p w14:paraId="516667EB" w14:textId="77777777" w:rsidR="00E43A4C" w:rsidRPr="0048137E" w:rsidRDefault="00E43A4C" w:rsidP="005F4246">
      <w:pPr>
        <w:spacing w:after="0" w:line="360" w:lineRule="auto"/>
        <w:jc w:val="both"/>
        <w:rPr>
          <w:rFonts w:eastAsia="Times New Roman" w:cstheme="minorHAnsi"/>
          <w:szCs w:val="24"/>
          <w:lang w:eastAsia="en-GB"/>
        </w:rPr>
      </w:pPr>
      <w:r w:rsidRPr="0048137E">
        <w:rPr>
          <w:rFonts w:eastAsia="Times New Roman" w:cstheme="minorHAnsi"/>
          <w:color w:val="5B9BD5"/>
          <w:szCs w:val="24"/>
          <w:bdr w:val="none" w:sz="0" w:space="0" w:color="auto" w:frame="1"/>
          <w:lang w:val="en-US" w:eastAsia="en-GB"/>
        </w:rPr>
        <w:t> </w:t>
      </w:r>
    </w:p>
    <w:p w14:paraId="60AD819A" w14:textId="77777777" w:rsidR="00E43A4C" w:rsidRPr="0048137E" w:rsidRDefault="00E43A4C" w:rsidP="0048137E">
      <w:pPr>
        <w:spacing w:before="240" w:after="0" w:line="360" w:lineRule="auto"/>
        <w:outlineLvl w:val="0"/>
        <w:rPr>
          <w:rFonts w:eastAsia="Times New Roman" w:cstheme="minorHAnsi"/>
          <w:color w:val="2E74B5"/>
          <w:kern w:val="36"/>
          <w:szCs w:val="24"/>
          <w:lang w:eastAsia="en-GB"/>
        </w:rPr>
      </w:pPr>
      <w:r w:rsidRPr="0048137E">
        <w:rPr>
          <w:rFonts w:eastAsia="Times New Roman" w:cstheme="minorHAnsi"/>
          <w:color w:val="2E74B5"/>
          <w:kern w:val="36"/>
          <w:szCs w:val="24"/>
          <w:lang w:eastAsia="en-GB"/>
        </w:rPr>
        <w:t> </w:t>
      </w:r>
    </w:p>
    <w:p w14:paraId="7B51EBF9" w14:textId="77777777" w:rsidR="00E43A4C" w:rsidRPr="0048137E" w:rsidRDefault="00E43A4C" w:rsidP="0048137E">
      <w:pPr>
        <w:spacing w:after="0" w:line="360" w:lineRule="auto"/>
        <w:outlineLvl w:val="0"/>
        <w:rPr>
          <w:rFonts w:eastAsia="Times New Roman" w:cstheme="minorHAnsi"/>
          <w:color w:val="2E74B5"/>
          <w:kern w:val="36"/>
          <w:szCs w:val="24"/>
          <w:lang w:eastAsia="en-GB"/>
        </w:rPr>
      </w:pPr>
      <w:r w:rsidRPr="0048137E">
        <w:rPr>
          <w:rFonts w:eastAsia="Times New Roman" w:cstheme="minorHAnsi"/>
          <w:color w:val="2E74B5"/>
          <w:kern w:val="36"/>
          <w:szCs w:val="24"/>
          <w:bdr w:val="none" w:sz="0" w:space="0" w:color="auto" w:frame="1"/>
          <w:lang w:eastAsia="en-GB"/>
        </w:rPr>
        <w:t>                                              </w:t>
      </w:r>
      <w:r w:rsidRPr="0048137E">
        <w:rPr>
          <w:rFonts w:eastAsia="Times New Roman" w:cstheme="minorHAnsi"/>
          <w:color w:val="2E74B5"/>
          <w:kern w:val="36"/>
          <w:szCs w:val="24"/>
          <w:lang w:eastAsia="en-GB"/>
        </w:rPr>
        <w:t> </w:t>
      </w:r>
    </w:p>
    <w:p w14:paraId="10D6B967" w14:textId="3548D614"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Student Name William</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Thorpe </w:t>
      </w:r>
    </w:p>
    <w:p w14:paraId="18936755" w14:textId="77777777"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p>
    <w:p w14:paraId="69EFE338" w14:textId="77777777"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Student no 2018536 </w:t>
      </w:r>
    </w:p>
    <w:p w14:paraId="32ECD627" w14:textId="77777777"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p>
    <w:p w14:paraId="42E064D8" w14:textId="77777777"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Module BMIH5007  </w:t>
      </w:r>
    </w:p>
    <w:p w14:paraId="358981AB" w14:textId="77777777"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p>
    <w:p w14:paraId="774056BB" w14:textId="77777777"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Lecturer Name Dale Clarke </w:t>
      </w:r>
    </w:p>
    <w:p w14:paraId="7A4C4D6C" w14:textId="77777777"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p>
    <w:p w14:paraId="5C43346C" w14:textId="77777777"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p>
    <w:p w14:paraId="193F0DBF" w14:textId="77777777"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bdr w:val="none" w:sz="0" w:space="0" w:color="auto" w:frame="1"/>
          <w:lang w:eastAsia="en-GB"/>
        </w:rPr>
        <w:t>                                   </w:t>
      </w:r>
    </w:p>
    <w:p w14:paraId="22FF0B31" w14:textId="77777777" w:rsidR="00E43A4C" w:rsidRPr="0048137E" w:rsidRDefault="00E43A4C" w:rsidP="0048137E">
      <w:pPr>
        <w:spacing w:before="240" w:after="0" w:line="360" w:lineRule="auto"/>
        <w:outlineLvl w:val="0"/>
        <w:rPr>
          <w:rFonts w:eastAsia="Times New Roman" w:cstheme="minorHAnsi"/>
          <w:color w:val="2E74B5"/>
          <w:kern w:val="36"/>
          <w:szCs w:val="24"/>
          <w:lang w:eastAsia="en-GB"/>
        </w:rPr>
      </w:pPr>
      <w:r w:rsidRPr="0048137E">
        <w:rPr>
          <w:rFonts w:eastAsia="Times New Roman" w:cstheme="minorHAnsi"/>
          <w:color w:val="2E74B5"/>
          <w:kern w:val="36"/>
          <w:szCs w:val="24"/>
          <w:lang w:eastAsia="en-GB"/>
        </w:rPr>
        <w:t> </w:t>
      </w:r>
    </w:p>
    <w:p w14:paraId="2D5D101F" w14:textId="77777777"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bdr w:val="none" w:sz="0" w:space="0" w:color="auto" w:frame="1"/>
          <w:lang w:eastAsia="en-GB"/>
        </w:rPr>
        <w:t>                                                             </w:t>
      </w:r>
    </w:p>
    <w:p w14:paraId="66404D60" w14:textId="77777777" w:rsidR="00E43A4C" w:rsidRPr="0048137E" w:rsidRDefault="00E43A4C" w:rsidP="0048137E">
      <w:pPr>
        <w:spacing w:before="240" w:after="0" w:line="360" w:lineRule="auto"/>
        <w:jc w:val="both"/>
        <w:outlineLvl w:val="0"/>
        <w:rPr>
          <w:rFonts w:eastAsia="Times New Roman" w:cstheme="minorHAnsi"/>
          <w:color w:val="2E74B5"/>
          <w:kern w:val="36"/>
          <w:szCs w:val="24"/>
          <w:lang w:eastAsia="en-GB"/>
        </w:rPr>
      </w:pPr>
      <w:r w:rsidRPr="0048137E">
        <w:rPr>
          <w:rFonts w:eastAsia="Times New Roman" w:cstheme="minorHAnsi"/>
          <w:color w:val="2E74B5"/>
          <w:kern w:val="36"/>
          <w:szCs w:val="24"/>
          <w:lang w:eastAsia="en-GB"/>
        </w:rPr>
        <w:t> </w:t>
      </w:r>
    </w:p>
    <w:p w14:paraId="4BE54D17" w14:textId="77777777" w:rsidR="00E43A4C" w:rsidRPr="0048137E" w:rsidRDefault="00E43A4C" w:rsidP="0048137E">
      <w:pPr>
        <w:spacing w:after="0" w:line="360" w:lineRule="auto"/>
        <w:jc w:val="both"/>
        <w:outlineLvl w:val="0"/>
        <w:rPr>
          <w:rFonts w:eastAsia="Times New Roman" w:cstheme="minorHAnsi"/>
          <w:color w:val="2E74B5"/>
          <w:kern w:val="36"/>
          <w:szCs w:val="24"/>
          <w:lang w:eastAsia="en-GB"/>
        </w:rPr>
      </w:pPr>
      <w:r w:rsidRPr="0048137E">
        <w:rPr>
          <w:rFonts w:eastAsia="Times New Roman" w:cstheme="minorHAnsi"/>
          <w:color w:val="2E74B5"/>
          <w:kern w:val="36"/>
          <w:szCs w:val="24"/>
          <w:bdr w:val="none" w:sz="0" w:space="0" w:color="auto" w:frame="1"/>
          <w:lang w:eastAsia="en-GB"/>
        </w:rPr>
        <w:t>                                             </w:t>
      </w:r>
    </w:p>
    <w:p w14:paraId="0AEF48E1" w14:textId="77777777" w:rsidR="00AB2DE4" w:rsidRDefault="00E43A4C" w:rsidP="0048137E">
      <w:pPr>
        <w:spacing w:after="0" w:line="360" w:lineRule="auto"/>
        <w:jc w:val="both"/>
        <w:outlineLvl w:val="0"/>
        <w:rPr>
          <w:rFonts w:eastAsia="Times New Roman" w:cstheme="minorHAnsi"/>
          <w:color w:val="2E74B5"/>
          <w:kern w:val="36"/>
          <w:szCs w:val="24"/>
          <w:lang w:eastAsia="en-GB"/>
        </w:rPr>
      </w:pPr>
      <w:r w:rsidRPr="0048137E">
        <w:rPr>
          <w:rFonts w:eastAsia="Times New Roman" w:cstheme="minorHAnsi"/>
          <w:color w:val="2E74B5"/>
          <w:kern w:val="36"/>
          <w:szCs w:val="24"/>
          <w:bdr w:val="none" w:sz="0" w:space="0" w:color="auto" w:frame="1"/>
          <w:lang w:eastAsia="en-GB"/>
        </w:rPr>
        <w:t>                                              </w:t>
      </w:r>
      <w:r w:rsidRPr="0048137E">
        <w:rPr>
          <w:rFonts w:eastAsia="Times New Roman" w:cstheme="minorHAnsi"/>
          <w:color w:val="2E74B5"/>
          <w:kern w:val="36"/>
          <w:szCs w:val="24"/>
          <w:lang w:eastAsia="en-GB"/>
        </w:rPr>
        <w:br/>
      </w:r>
    </w:p>
    <w:p w14:paraId="5545D1DE" w14:textId="77777777" w:rsidR="00AB2DE4" w:rsidRDefault="00AB2DE4">
      <w:pPr>
        <w:rPr>
          <w:rFonts w:eastAsia="Times New Roman" w:cstheme="minorHAnsi"/>
          <w:color w:val="2E74B5"/>
          <w:kern w:val="36"/>
          <w:szCs w:val="24"/>
          <w:lang w:eastAsia="en-GB"/>
        </w:rPr>
      </w:pPr>
      <w:r>
        <w:rPr>
          <w:rFonts w:eastAsia="Times New Roman" w:cstheme="minorHAnsi"/>
          <w:color w:val="2E74B5"/>
          <w:kern w:val="36"/>
          <w:szCs w:val="24"/>
          <w:lang w:eastAsia="en-GB"/>
        </w:rPr>
        <w:br w:type="page"/>
      </w:r>
    </w:p>
    <w:p w14:paraId="36CB56CE" w14:textId="18CB95FD" w:rsidR="00E43A4C" w:rsidRDefault="00E43A4C" w:rsidP="0048137E">
      <w:pPr>
        <w:spacing w:after="0" w:line="360" w:lineRule="auto"/>
        <w:jc w:val="both"/>
        <w:outlineLvl w:val="0"/>
        <w:rPr>
          <w:rFonts w:eastAsia="Times New Roman" w:cstheme="minorHAnsi"/>
          <w:color w:val="2E74B5"/>
          <w:kern w:val="36"/>
          <w:szCs w:val="24"/>
          <w:lang w:eastAsia="en-GB"/>
        </w:rPr>
      </w:pPr>
      <w:bookmarkStart w:id="0" w:name="_Toc114650436"/>
      <w:r w:rsidRPr="0048137E">
        <w:rPr>
          <w:rFonts w:eastAsia="Times New Roman" w:cstheme="minorHAnsi"/>
          <w:color w:val="2E74B5"/>
          <w:kern w:val="36"/>
          <w:szCs w:val="24"/>
          <w:lang w:eastAsia="en-GB"/>
        </w:rPr>
        <w:lastRenderedPageBreak/>
        <w:t>Executive Summary</w:t>
      </w:r>
      <w:bookmarkEnd w:id="0"/>
      <w:r w:rsidRPr="0048137E">
        <w:rPr>
          <w:rFonts w:eastAsia="Times New Roman" w:cstheme="minorHAnsi"/>
          <w:color w:val="2E74B5"/>
          <w:kern w:val="36"/>
          <w:szCs w:val="24"/>
          <w:lang w:eastAsia="en-GB"/>
        </w:rPr>
        <w:t> </w:t>
      </w:r>
    </w:p>
    <w:p w14:paraId="7172C8EB" w14:textId="14A25B41" w:rsidR="003B7D5D" w:rsidRPr="0048137E" w:rsidRDefault="003B7D5D" w:rsidP="0048137E">
      <w:pPr>
        <w:spacing w:after="0" w:line="360" w:lineRule="auto"/>
        <w:jc w:val="both"/>
        <w:outlineLvl w:val="0"/>
        <w:rPr>
          <w:rFonts w:eastAsia="Times New Roman" w:cstheme="minorHAnsi"/>
          <w:color w:val="2E74B5"/>
          <w:kern w:val="36"/>
          <w:szCs w:val="24"/>
          <w:lang w:eastAsia="en-GB"/>
        </w:rPr>
      </w:pPr>
    </w:p>
    <w:p w14:paraId="736FA43F" w14:textId="379FF9AA" w:rsidR="00AB2DE4" w:rsidRDefault="00AB2DE4" w:rsidP="00AB2DE4">
      <w:r>
        <w:t xml:space="preserve">This report calculates the financial trends for the Hilton Hotel in London for the fiscal years 2019-2020. The main findings were that the profits and sales were significantly lower in 2020 compared to 2019. </w:t>
      </w:r>
    </w:p>
    <w:p w14:paraId="23C4DD20" w14:textId="749F4A96" w:rsidR="00C753AC" w:rsidRDefault="00AB2DE4" w:rsidP="000E0571">
      <w:r>
        <w:t xml:space="preserve">The secondary research suggests that one of the main reasons for this was the Covid-19 pandemic and the impact this had on travel restrictions during </w:t>
      </w:r>
      <w:r w:rsidR="00D0294F">
        <w:t xml:space="preserve">the </w:t>
      </w:r>
      <w:r>
        <w:t>lockdown, people</w:t>
      </w:r>
      <w:r w:rsidR="0049371E">
        <w:t>'</w:t>
      </w:r>
      <w:r>
        <w:t xml:space="preserve">s fear of infection, and loss of disposable income to spend on hotel stays for some people. </w:t>
      </w:r>
    </w:p>
    <w:p w14:paraId="2C055489" w14:textId="77777777" w:rsidR="002E0D8E" w:rsidRDefault="00AB2DE4" w:rsidP="000E0571">
      <w:r>
        <w:t xml:space="preserve"> </w:t>
      </w:r>
      <w:r w:rsidR="008D3319">
        <w:t>R</w:t>
      </w:r>
      <w:r w:rsidR="00C40DDC">
        <w:t>esea</w:t>
      </w:r>
      <w:r w:rsidR="008D3319">
        <w:t xml:space="preserve">rch </w:t>
      </w:r>
      <w:r w:rsidR="00AE1B4F">
        <w:t xml:space="preserve">shows that </w:t>
      </w:r>
      <w:r w:rsidR="00EE2CDD">
        <w:t>one</w:t>
      </w:r>
      <w:r w:rsidR="009A4115">
        <w:t>-</w:t>
      </w:r>
      <w:r w:rsidR="00EE2CDD">
        <w:t>th</w:t>
      </w:r>
      <w:r w:rsidR="00AC1CB0">
        <w:t>i</w:t>
      </w:r>
      <w:r w:rsidR="00EE2CDD">
        <w:t xml:space="preserve">rd of </w:t>
      </w:r>
      <w:r w:rsidR="00883B41">
        <w:t>hospitality</w:t>
      </w:r>
      <w:r w:rsidR="00757DF5">
        <w:t xml:space="preserve"> workers are </w:t>
      </w:r>
      <w:r w:rsidR="00EE2CDD">
        <w:t xml:space="preserve">migrant </w:t>
      </w:r>
      <w:r w:rsidR="005C5115">
        <w:t>workers come</w:t>
      </w:r>
      <w:r w:rsidR="00883B41">
        <w:t>. Form</w:t>
      </w:r>
      <w:r w:rsidR="00AC1CB0">
        <w:t xml:space="preserve"> </w:t>
      </w:r>
      <w:r w:rsidR="00303AEB">
        <w:t>E</w:t>
      </w:r>
      <w:r w:rsidR="00837DED">
        <w:t xml:space="preserve">U </w:t>
      </w:r>
      <w:r>
        <w:t>another reason</w:t>
      </w:r>
      <w:r w:rsidR="00804BAF">
        <w:t xml:space="preserve"> </w:t>
      </w:r>
      <w:r w:rsidR="00195668">
        <w:t xml:space="preserve">concerning </w:t>
      </w:r>
      <w:r>
        <w:t xml:space="preserve">Brexit </w:t>
      </w:r>
      <w:r w:rsidR="00883B41">
        <w:t>is</w:t>
      </w:r>
      <w:r w:rsidR="00D0294F">
        <w:t xml:space="preserve"> </w:t>
      </w:r>
      <w:r>
        <w:t>migrant workers</w:t>
      </w:r>
      <w:r w:rsidR="006846D2">
        <w:t xml:space="preserve"> from </w:t>
      </w:r>
      <w:r w:rsidR="00883B41">
        <w:t xml:space="preserve">the </w:t>
      </w:r>
      <w:r w:rsidR="006846D2">
        <w:t>E</w:t>
      </w:r>
      <w:r w:rsidR="00953D92">
        <w:t>.U.</w:t>
      </w:r>
      <w:r w:rsidR="006846D2">
        <w:t xml:space="preserve"> that </w:t>
      </w:r>
      <w:r w:rsidR="002157C4">
        <w:t xml:space="preserve">did not </w:t>
      </w:r>
      <w:r w:rsidR="00DB4524">
        <w:t>return to the U</w:t>
      </w:r>
      <w:r w:rsidR="00953D92">
        <w:t>.K.</w:t>
      </w:r>
      <w:r w:rsidR="00DB4524">
        <w:t xml:space="preserve"> </w:t>
      </w:r>
      <w:r w:rsidR="006632F1">
        <w:t>H</w:t>
      </w:r>
      <w:r w:rsidR="00DB4524">
        <w:t>ospit</w:t>
      </w:r>
      <w:r w:rsidR="00383F1A">
        <w:t>al</w:t>
      </w:r>
      <w:r w:rsidR="007657C2">
        <w:t>ity</w:t>
      </w:r>
      <w:r w:rsidR="00BF0444">
        <w:t xml:space="preserve"> sector</w:t>
      </w:r>
      <w:r w:rsidR="00F767B6">
        <w:t>,</w:t>
      </w:r>
      <w:r>
        <w:t xml:space="preserve"> restrictions and</w:t>
      </w:r>
      <w:r w:rsidR="00DE75E0">
        <w:t xml:space="preserve"> </w:t>
      </w:r>
      <w:r w:rsidR="00D82D82">
        <w:t>inflation</w:t>
      </w:r>
      <w:r w:rsidR="009E7C5D">
        <w:t xml:space="preserve"> at </w:t>
      </w:r>
      <w:r w:rsidR="00883B41">
        <w:t>their</w:t>
      </w:r>
      <w:r w:rsidR="00D82D82">
        <w:t xml:space="preserve"> </w:t>
      </w:r>
      <w:r w:rsidR="00725A0D">
        <w:t>highest with</w:t>
      </w:r>
      <w:r w:rsidR="000D4948">
        <w:t xml:space="preserve"> border dis</w:t>
      </w:r>
      <w:r w:rsidR="00F47B89">
        <w:t>ruption</w:t>
      </w:r>
      <w:r w:rsidR="00F767B6">
        <w:t xml:space="preserve"> </w:t>
      </w:r>
      <w:r w:rsidR="006C20AD">
        <w:t>transport</w:t>
      </w:r>
      <w:r w:rsidR="00F47B89">
        <w:t xml:space="preserve"> and</w:t>
      </w:r>
      <w:r>
        <w:t xml:space="preserve"> cost surges of supplies from E</w:t>
      </w:r>
      <w:r w:rsidR="002E7E82">
        <w:t>.U.</w:t>
      </w:r>
      <w:r>
        <w:t xml:space="preserve"> countries, and </w:t>
      </w:r>
      <w:r w:rsidR="00B960F3">
        <w:t>fewer</w:t>
      </w:r>
      <w:r>
        <w:t xml:space="preserve"> travellers from E</w:t>
      </w:r>
      <w:r w:rsidR="002E7E82">
        <w:t>.U.</w:t>
      </w:r>
      <w:r>
        <w:t xml:space="preserve"> countries to the U</w:t>
      </w:r>
      <w:r w:rsidR="002E7E82">
        <w:t>.K.</w:t>
      </w:r>
      <w:r w:rsidR="0070090C">
        <w:t xml:space="preserve"> </w:t>
      </w:r>
      <w:r w:rsidR="006632F1">
        <w:t>O</w:t>
      </w:r>
      <w:r w:rsidR="0070090C">
        <w:t xml:space="preserve">n </w:t>
      </w:r>
      <w:r w:rsidR="007E712B">
        <w:t>account visa requir</w:t>
      </w:r>
      <w:r w:rsidR="006231CC">
        <w:t>ements</w:t>
      </w:r>
      <w:r w:rsidR="006632F1">
        <w:t>,</w:t>
      </w:r>
      <w:r w:rsidR="00EB1E1B">
        <w:t xml:space="preserve"> </w:t>
      </w:r>
      <w:r w:rsidR="006632F1">
        <w:t>t</w:t>
      </w:r>
      <w:r>
        <w:t xml:space="preserve">he calculations are presented within this report and show a downward trend </w:t>
      </w:r>
      <w:r w:rsidR="00BE0F62">
        <w:t xml:space="preserve">for the </w:t>
      </w:r>
      <w:r w:rsidR="00707417">
        <w:t>Fisc</w:t>
      </w:r>
      <w:r w:rsidR="00F340B2">
        <w:t>al</w:t>
      </w:r>
      <w:r w:rsidR="007F7C76">
        <w:t xml:space="preserve"> 2020 </w:t>
      </w:r>
      <w:r>
        <w:t xml:space="preserve">profit, sales, and income, whereas there was </w:t>
      </w:r>
      <w:r w:rsidR="000E0571">
        <w:t>a</w:t>
      </w:r>
      <w:r>
        <w:t xml:space="preserve"> </w:t>
      </w:r>
      <w:r w:rsidR="000E0571">
        <w:t>de</w:t>
      </w:r>
      <w:r>
        <w:t>crease in expense.</w:t>
      </w:r>
    </w:p>
    <w:p w14:paraId="2E6A4F8D" w14:textId="2DBEDB89" w:rsidR="00AB2DE4" w:rsidRDefault="00BC73FC" w:rsidP="000E0571">
      <w:proofErr w:type="spellStart"/>
      <w:r>
        <w:t>Recomandation</w:t>
      </w:r>
      <w:proofErr w:type="spellEnd"/>
      <w:r>
        <w:t xml:space="preserve"> we predict that </w:t>
      </w:r>
      <w:r w:rsidR="00F675FF">
        <w:t>Hilton will recover 2021 as</w:t>
      </w:r>
      <w:r w:rsidR="004F76B0">
        <w:t xml:space="preserve"> </w:t>
      </w:r>
      <w:r w:rsidR="009307CA">
        <w:t xml:space="preserve">foreign </w:t>
      </w:r>
      <w:r w:rsidR="004F76B0">
        <w:t>travel</w:t>
      </w:r>
      <w:r w:rsidR="00F675FF">
        <w:t xml:space="preserve"> </w:t>
      </w:r>
      <w:proofErr w:type="spellStart"/>
      <w:r w:rsidR="004F76B0">
        <w:t>restractions</w:t>
      </w:r>
      <w:proofErr w:type="spellEnd"/>
      <w:r w:rsidR="004F76B0">
        <w:t xml:space="preserve"> </w:t>
      </w:r>
      <w:r w:rsidR="00BB0D7A">
        <w:t xml:space="preserve">were order to holiday </w:t>
      </w:r>
      <w:r w:rsidR="00946908">
        <w:t xml:space="preserve">in their country example </w:t>
      </w:r>
      <w:r w:rsidR="007625CE">
        <w:t xml:space="preserve">staycations etc </w:t>
      </w:r>
      <w:r w:rsidR="007105DE">
        <w:t xml:space="preserve">vaccine rollout </w:t>
      </w:r>
      <w:r w:rsidR="00A87D78">
        <w:t xml:space="preserve">therefore hotels </w:t>
      </w:r>
      <w:r w:rsidR="00122BE8">
        <w:t xml:space="preserve">gained revenue </w:t>
      </w:r>
      <w:r w:rsidR="003A6A0B">
        <w:t xml:space="preserve">from room bookings </w:t>
      </w:r>
      <w:r w:rsidR="00AB2DE4">
        <w:t xml:space="preserve">  </w:t>
      </w:r>
    </w:p>
    <w:p w14:paraId="155B0571"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sdt>
      <w:sdtPr>
        <w:rPr>
          <w:rFonts w:asciiTheme="minorHAnsi" w:eastAsiaTheme="minorHAnsi" w:hAnsiTheme="minorHAnsi" w:cstheme="minorHAnsi"/>
          <w:color w:val="auto"/>
          <w:sz w:val="24"/>
          <w:szCs w:val="24"/>
          <w:lang w:val="en-GB"/>
        </w:rPr>
        <w:id w:val="1825005457"/>
        <w:docPartObj>
          <w:docPartGallery w:val="Table of Contents"/>
          <w:docPartUnique/>
        </w:docPartObj>
      </w:sdtPr>
      <w:sdtEndPr>
        <w:rPr>
          <w:rFonts w:ascii="Arial" w:hAnsi="Arial"/>
          <w:b/>
          <w:bCs/>
          <w:noProof/>
          <w:color w:val="000000" w:themeColor="text1"/>
        </w:rPr>
      </w:sdtEndPr>
      <w:sdtContent>
        <w:p w14:paraId="5F5ABA28" w14:textId="77777777" w:rsidR="00AB2DE4" w:rsidRDefault="00AB2DE4" w:rsidP="0048137E">
          <w:pPr>
            <w:pStyle w:val="TOCHeading"/>
            <w:spacing w:line="360" w:lineRule="auto"/>
            <w:rPr>
              <w:rFonts w:asciiTheme="minorHAnsi" w:eastAsiaTheme="minorHAnsi" w:hAnsiTheme="minorHAnsi" w:cstheme="minorHAnsi"/>
              <w:color w:val="auto"/>
              <w:sz w:val="24"/>
              <w:szCs w:val="24"/>
              <w:lang w:val="en-GB"/>
            </w:rPr>
          </w:pPr>
        </w:p>
        <w:p w14:paraId="5F886E0A" w14:textId="77777777" w:rsidR="00AB2DE4" w:rsidRDefault="00AB2DE4">
          <w:pPr>
            <w:rPr>
              <w:rFonts w:cstheme="minorHAnsi"/>
              <w:szCs w:val="24"/>
            </w:rPr>
          </w:pPr>
          <w:r>
            <w:rPr>
              <w:rFonts w:cstheme="minorHAnsi"/>
              <w:szCs w:val="24"/>
            </w:rPr>
            <w:br w:type="page"/>
          </w:r>
        </w:p>
        <w:p w14:paraId="384E532D" w14:textId="36A47E27" w:rsidR="00EC5AE1" w:rsidRPr="0048137E" w:rsidRDefault="00EC5AE1" w:rsidP="0048137E">
          <w:pPr>
            <w:pStyle w:val="TOCHeading"/>
            <w:spacing w:line="360" w:lineRule="auto"/>
            <w:rPr>
              <w:rFonts w:asciiTheme="minorHAnsi" w:hAnsiTheme="minorHAnsi" w:cstheme="minorHAnsi"/>
              <w:sz w:val="24"/>
              <w:szCs w:val="24"/>
            </w:rPr>
          </w:pPr>
          <w:r w:rsidRPr="0048137E">
            <w:rPr>
              <w:rFonts w:asciiTheme="minorHAnsi" w:hAnsiTheme="minorHAnsi" w:cstheme="minorHAnsi"/>
              <w:sz w:val="24"/>
              <w:szCs w:val="24"/>
            </w:rPr>
            <w:lastRenderedPageBreak/>
            <w:t>Contents</w:t>
          </w:r>
        </w:p>
        <w:p w14:paraId="10866EC7" w14:textId="43F11904" w:rsidR="00C34810" w:rsidRDefault="00EC5AE1">
          <w:pPr>
            <w:pStyle w:val="TOC1"/>
            <w:tabs>
              <w:tab w:val="right" w:leader="dot" w:pos="9016"/>
            </w:tabs>
            <w:rPr>
              <w:rFonts w:eastAsiaTheme="minorEastAsia"/>
              <w:noProof/>
              <w:lang w:eastAsia="en-GB"/>
            </w:rPr>
          </w:pPr>
          <w:r w:rsidRPr="0048137E">
            <w:rPr>
              <w:rFonts w:cstheme="minorHAnsi"/>
              <w:szCs w:val="24"/>
            </w:rPr>
            <w:fldChar w:fldCharType="begin"/>
          </w:r>
          <w:r w:rsidRPr="0048137E">
            <w:rPr>
              <w:rFonts w:cstheme="minorHAnsi"/>
              <w:szCs w:val="24"/>
            </w:rPr>
            <w:instrText xml:space="preserve"> TOC \o "1-3" \h \z \u </w:instrText>
          </w:r>
          <w:r w:rsidRPr="0048137E">
            <w:rPr>
              <w:rFonts w:cstheme="minorHAnsi"/>
              <w:szCs w:val="24"/>
            </w:rPr>
            <w:fldChar w:fldCharType="separate"/>
          </w:r>
          <w:hyperlink w:anchor="_Toc114650436" w:history="1">
            <w:r w:rsidR="00C34810" w:rsidRPr="00225127">
              <w:rPr>
                <w:rStyle w:val="Hyperlink"/>
                <w:rFonts w:eastAsia="Times New Roman" w:cstheme="minorHAnsi"/>
                <w:noProof/>
                <w:kern w:val="36"/>
                <w:lang w:eastAsia="en-GB"/>
              </w:rPr>
              <w:t>Executive Summary</w:t>
            </w:r>
            <w:r w:rsidR="00C34810">
              <w:rPr>
                <w:noProof/>
                <w:webHidden/>
              </w:rPr>
              <w:tab/>
            </w:r>
            <w:r w:rsidR="00C34810">
              <w:rPr>
                <w:noProof/>
                <w:webHidden/>
              </w:rPr>
              <w:fldChar w:fldCharType="begin"/>
            </w:r>
            <w:r w:rsidR="00C34810">
              <w:rPr>
                <w:noProof/>
                <w:webHidden/>
              </w:rPr>
              <w:instrText xml:space="preserve"> PAGEREF _Toc114650436 \h </w:instrText>
            </w:r>
            <w:r w:rsidR="00C34810">
              <w:rPr>
                <w:noProof/>
                <w:webHidden/>
              </w:rPr>
            </w:r>
            <w:r w:rsidR="00C34810">
              <w:rPr>
                <w:noProof/>
                <w:webHidden/>
              </w:rPr>
              <w:fldChar w:fldCharType="separate"/>
            </w:r>
            <w:r w:rsidR="00C34810">
              <w:rPr>
                <w:noProof/>
                <w:webHidden/>
              </w:rPr>
              <w:t>2</w:t>
            </w:r>
            <w:r w:rsidR="00C34810">
              <w:rPr>
                <w:noProof/>
                <w:webHidden/>
              </w:rPr>
              <w:fldChar w:fldCharType="end"/>
            </w:r>
          </w:hyperlink>
        </w:p>
        <w:p w14:paraId="1054807E" w14:textId="2BF066B4" w:rsidR="00C34810" w:rsidRDefault="00911947">
          <w:pPr>
            <w:pStyle w:val="TOC1"/>
            <w:tabs>
              <w:tab w:val="right" w:leader="dot" w:pos="9016"/>
            </w:tabs>
            <w:rPr>
              <w:rFonts w:eastAsiaTheme="minorEastAsia"/>
              <w:noProof/>
              <w:lang w:eastAsia="en-GB"/>
            </w:rPr>
          </w:pPr>
          <w:hyperlink w:anchor="_Toc114650437" w:history="1">
            <w:r w:rsidR="00C34810" w:rsidRPr="00225127">
              <w:rPr>
                <w:rStyle w:val="Hyperlink"/>
                <w:noProof/>
              </w:rPr>
              <w:t>Aims</w:t>
            </w:r>
            <w:r w:rsidR="00C34810">
              <w:rPr>
                <w:noProof/>
                <w:webHidden/>
              </w:rPr>
              <w:tab/>
            </w:r>
            <w:r w:rsidR="00C34810">
              <w:rPr>
                <w:noProof/>
                <w:webHidden/>
              </w:rPr>
              <w:fldChar w:fldCharType="begin"/>
            </w:r>
            <w:r w:rsidR="00C34810">
              <w:rPr>
                <w:noProof/>
                <w:webHidden/>
              </w:rPr>
              <w:instrText xml:space="preserve"> PAGEREF _Toc114650437 \h </w:instrText>
            </w:r>
            <w:r w:rsidR="00C34810">
              <w:rPr>
                <w:noProof/>
                <w:webHidden/>
              </w:rPr>
            </w:r>
            <w:r w:rsidR="00C34810">
              <w:rPr>
                <w:noProof/>
                <w:webHidden/>
              </w:rPr>
              <w:fldChar w:fldCharType="separate"/>
            </w:r>
            <w:r w:rsidR="00C34810">
              <w:rPr>
                <w:noProof/>
                <w:webHidden/>
              </w:rPr>
              <w:t>4</w:t>
            </w:r>
            <w:r w:rsidR="00C34810">
              <w:rPr>
                <w:noProof/>
                <w:webHidden/>
              </w:rPr>
              <w:fldChar w:fldCharType="end"/>
            </w:r>
          </w:hyperlink>
        </w:p>
        <w:p w14:paraId="14D21E18" w14:textId="5E361482" w:rsidR="00C34810" w:rsidRDefault="00911947">
          <w:pPr>
            <w:pStyle w:val="TOC1"/>
            <w:tabs>
              <w:tab w:val="right" w:leader="dot" w:pos="9016"/>
            </w:tabs>
            <w:rPr>
              <w:rFonts w:eastAsiaTheme="minorEastAsia"/>
              <w:noProof/>
              <w:lang w:eastAsia="en-GB"/>
            </w:rPr>
          </w:pPr>
          <w:hyperlink w:anchor="_Toc114650438" w:history="1">
            <w:r w:rsidR="00C34810" w:rsidRPr="00225127">
              <w:rPr>
                <w:rStyle w:val="Hyperlink"/>
                <w:noProof/>
              </w:rPr>
              <w:t>Introduction</w:t>
            </w:r>
            <w:r w:rsidR="00C34810">
              <w:rPr>
                <w:noProof/>
                <w:webHidden/>
              </w:rPr>
              <w:tab/>
            </w:r>
            <w:r w:rsidR="00C34810">
              <w:rPr>
                <w:noProof/>
                <w:webHidden/>
              </w:rPr>
              <w:fldChar w:fldCharType="begin"/>
            </w:r>
            <w:r w:rsidR="00C34810">
              <w:rPr>
                <w:noProof/>
                <w:webHidden/>
              </w:rPr>
              <w:instrText xml:space="preserve"> PAGEREF _Toc114650438 \h </w:instrText>
            </w:r>
            <w:r w:rsidR="00C34810">
              <w:rPr>
                <w:noProof/>
                <w:webHidden/>
              </w:rPr>
            </w:r>
            <w:r w:rsidR="00C34810">
              <w:rPr>
                <w:noProof/>
                <w:webHidden/>
              </w:rPr>
              <w:fldChar w:fldCharType="separate"/>
            </w:r>
            <w:r w:rsidR="00C34810">
              <w:rPr>
                <w:noProof/>
                <w:webHidden/>
              </w:rPr>
              <w:t>5</w:t>
            </w:r>
            <w:r w:rsidR="00C34810">
              <w:rPr>
                <w:noProof/>
                <w:webHidden/>
              </w:rPr>
              <w:fldChar w:fldCharType="end"/>
            </w:r>
          </w:hyperlink>
        </w:p>
        <w:p w14:paraId="5BD93AA9" w14:textId="1C38F0F2" w:rsidR="00C34810" w:rsidRDefault="00911947">
          <w:pPr>
            <w:pStyle w:val="TOC1"/>
            <w:tabs>
              <w:tab w:val="right" w:leader="dot" w:pos="9016"/>
            </w:tabs>
            <w:rPr>
              <w:rFonts w:eastAsiaTheme="minorEastAsia"/>
              <w:noProof/>
              <w:lang w:eastAsia="en-GB"/>
            </w:rPr>
          </w:pPr>
          <w:hyperlink w:anchor="_Toc114650439" w:history="1">
            <w:r w:rsidR="00C34810" w:rsidRPr="00225127">
              <w:rPr>
                <w:rStyle w:val="Hyperlink"/>
                <w:noProof/>
              </w:rPr>
              <w:t>Analysis</w:t>
            </w:r>
            <w:r w:rsidR="00C34810">
              <w:rPr>
                <w:noProof/>
                <w:webHidden/>
              </w:rPr>
              <w:tab/>
            </w:r>
            <w:r w:rsidR="00C34810">
              <w:rPr>
                <w:noProof/>
                <w:webHidden/>
              </w:rPr>
              <w:fldChar w:fldCharType="begin"/>
            </w:r>
            <w:r w:rsidR="00C34810">
              <w:rPr>
                <w:noProof/>
                <w:webHidden/>
              </w:rPr>
              <w:instrText xml:space="preserve"> PAGEREF _Toc114650439 \h </w:instrText>
            </w:r>
            <w:r w:rsidR="00C34810">
              <w:rPr>
                <w:noProof/>
                <w:webHidden/>
              </w:rPr>
            </w:r>
            <w:r w:rsidR="00C34810">
              <w:rPr>
                <w:noProof/>
                <w:webHidden/>
              </w:rPr>
              <w:fldChar w:fldCharType="separate"/>
            </w:r>
            <w:r w:rsidR="00C34810">
              <w:rPr>
                <w:noProof/>
                <w:webHidden/>
              </w:rPr>
              <w:t>6</w:t>
            </w:r>
            <w:r w:rsidR="00C34810">
              <w:rPr>
                <w:noProof/>
                <w:webHidden/>
              </w:rPr>
              <w:fldChar w:fldCharType="end"/>
            </w:r>
          </w:hyperlink>
        </w:p>
        <w:p w14:paraId="37AC4B39" w14:textId="4F986B4A" w:rsidR="00C34810" w:rsidRDefault="00911947">
          <w:pPr>
            <w:pStyle w:val="TOC1"/>
            <w:tabs>
              <w:tab w:val="right" w:leader="dot" w:pos="9016"/>
            </w:tabs>
            <w:rPr>
              <w:rFonts w:eastAsiaTheme="minorEastAsia"/>
              <w:noProof/>
              <w:lang w:eastAsia="en-GB"/>
            </w:rPr>
          </w:pPr>
          <w:hyperlink w:anchor="_Toc114650440" w:history="1">
            <w:r w:rsidR="00C34810" w:rsidRPr="00225127">
              <w:rPr>
                <w:rStyle w:val="Hyperlink"/>
                <w:noProof/>
              </w:rPr>
              <w:t>Conclusion</w:t>
            </w:r>
            <w:r w:rsidR="00C34810">
              <w:rPr>
                <w:noProof/>
                <w:webHidden/>
              </w:rPr>
              <w:tab/>
            </w:r>
            <w:r w:rsidR="00C34810">
              <w:rPr>
                <w:noProof/>
                <w:webHidden/>
              </w:rPr>
              <w:fldChar w:fldCharType="begin"/>
            </w:r>
            <w:r w:rsidR="00C34810">
              <w:rPr>
                <w:noProof/>
                <w:webHidden/>
              </w:rPr>
              <w:instrText xml:space="preserve"> PAGEREF _Toc114650440 \h </w:instrText>
            </w:r>
            <w:r w:rsidR="00C34810">
              <w:rPr>
                <w:noProof/>
                <w:webHidden/>
              </w:rPr>
            </w:r>
            <w:r w:rsidR="00C34810">
              <w:rPr>
                <w:noProof/>
                <w:webHidden/>
              </w:rPr>
              <w:fldChar w:fldCharType="separate"/>
            </w:r>
            <w:r w:rsidR="00C34810">
              <w:rPr>
                <w:noProof/>
                <w:webHidden/>
              </w:rPr>
              <w:t>14</w:t>
            </w:r>
            <w:r w:rsidR="00C34810">
              <w:rPr>
                <w:noProof/>
                <w:webHidden/>
              </w:rPr>
              <w:fldChar w:fldCharType="end"/>
            </w:r>
          </w:hyperlink>
        </w:p>
        <w:p w14:paraId="67CE9DC6" w14:textId="2BECC94B" w:rsidR="00C34810" w:rsidRDefault="00911947">
          <w:pPr>
            <w:pStyle w:val="TOC1"/>
            <w:tabs>
              <w:tab w:val="right" w:leader="dot" w:pos="9016"/>
            </w:tabs>
            <w:rPr>
              <w:rFonts w:eastAsiaTheme="minorEastAsia"/>
              <w:noProof/>
              <w:lang w:eastAsia="en-GB"/>
            </w:rPr>
          </w:pPr>
          <w:hyperlink w:anchor="_Toc114650441" w:history="1">
            <w:r w:rsidR="00C34810" w:rsidRPr="00225127">
              <w:rPr>
                <w:rStyle w:val="Hyperlink"/>
                <w:noProof/>
              </w:rPr>
              <w:t>References</w:t>
            </w:r>
            <w:r w:rsidR="00C34810">
              <w:rPr>
                <w:noProof/>
                <w:webHidden/>
              </w:rPr>
              <w:tab/>
            </w:r>
            <w:r w:rsidR="00C34810">
              <w:rPr>
                <w:noProof/>
                <w:webHidden/>
              </w:rPr>
              <w:fldChar w:fldCharType="begin"/>
            </w:r>
            <w:r w:rsidR="00C34810">
              <w:rPr>
                <w:noProof/>
                <w:webHidden/>
              </w:rPr>
              <w:instrText xml:space="preserve"> PAGEREF _Toc114650441 \h </w:instrText>
            </w:r>
            <w:r w:rsidR="00C34810">
              <w:rPr>
                <w:noProof/>
                <w:webHidden/>
              </w:rPr>
            </w:r>
            <w:r w:rsidR="00C34810">
              <w:rPr>
                <w:noProof/>
                <w:webHidden/>
              </w:rPr>
              <w:fldChar w:fldCharType="separate"/>
            </w:r>
            <w:r w:rsidR="00C34810">
              <w:rPr>
                <w:noProof/>
                <w:webHidden/>
              </w:rPr>
              <w:t>15</w:t>
            </w:r>
            <w:r w:rsidR="00C34810">
              <w:rPr>
                <w:noProof/>
                <w:webHidden/>
              </w:rPr>
              <w:fldChar w:fldCharType="end"/>
            </w:r>
          </w:hyperlink>
        </w:p>
        <w:p w14:paraId="7C87AD7C" w14:textId="36DF4387" w:rsidR="00C34810" w:rsidRDefault="00911947">
          <w:pPr>
            <w:pStyle w:val="TOC1"/>
            <w:tabs>
              <w:tab w:val="right" w:leader="dot" w:pos="9016"/>
            </w:tabs>
            <w:rPr>
              <w:rFonts w:eastAsiaTheme="minorEastAsia"/>
              <w:noProof/>
              <w:lang w:eastAsia="en-GB"/>
            </w:rPr>
          </w:pPr>
          <w:hyperlink w:anchor="_Toc114650442" w:history="1">
            <w:r w:rsidR="00C34810" w:rsidRPr="00225127">
              <w:rPr>
                <w:rStyle w:val="Hyperlink"/>
                <w:noProof/>
              </w:rPr>
              <w:t>Appendix</w:t>
            </w:r>
            <w:r w:rsidR="00C34810">
              <w:rPr>
                <w:noProof/>
                <w:webHidden/>
              </w:rPr>
              <w:tab/>
            </w:r>
            <w:r w:rsidR="00C34810">
              <w:rPr>
                <w:noProof/>
                <w:webHidden/>
              </w:rPr>
              <w:fldChar w:fldCharType="begin"/>
            </w:r>
            <w:r w:rsidR="00C34810">
              <w:rPr>
                <w:noProof/>
                <w:webHidden/>
              </w:rPr>
              <w:instrText xml:space="preserve"> PAGEREF _Toc114650442 \h </w:instrText>
            </w:r>
            <w:r w:rsidR="00C34810">
              <w:rPr>
                <w:noProof/>
                <w:webHidden/>
              </w:rPr>
            </w:r>
            <w:r w:rsidR="00C34810">
              <w:rPr>
                <w:noProof/>
                <w:webHidden/>
              </w:rPr>
              <w:fldChar w:fldCharType="separate"/>
            </w:r>
            <w:r w:rsidR="00C34810">
              <w:rPr>
                <w:noProof/>
                <w:webHidden/>
              </w:rPr>
              <w:t>16</w:t>
            </w:r>
            <w:r w:rsidR="00C34810">
              <w:rPr>
                <w:noProof/>
                <w:webHidden/>
              </w:rPr>
              <w:fldChar w:fldCharType="end"/>
            </w:r>
          </w:hyperlink>
        </w:p>
        <w:p w14:paraId="2FD9C87B" w14:textId="7C177836" w:rsidR="00EC5AE1" w:rsidRPr="0048137E" w:rsidRDefault="00EC5AE1" w:rsidP="0048137E">
          <w:pPr>
            <w:spacing w:line="360" w:lineRule="auto"/>
            <w:rPr>
              <w:rFonts w:cstheme="minorHAnsi"/>
              <w:szCs w:val="24"/>
            </w:rPr>
          </w:pPr>
          <w:r w:rsidRPr="0048137E">
            <w:rPr>
              <w:rFonts w:cstheme="minorHAnsi"/>
              <w:b/>
              <w:bCs/>
              <w:noProof/>
              <w:szCs w:val="24"/>
            </w:rPr>
            <w:fldChar w:fldCharType="end"/>
          </w:r>
        </w:p>
      </w:sdtContent>
    </w:sdt>
    <w:p w14:paraId="1D56F90A" w14:textId="77777777" w:rsidR="0024330E" w:rsidRPr="0048137E" w:rsidRDefault="0024330E" w:rsidP="0048137E">
      <w:pPr>
        <w:spacing w:line="360" w:lineRule="auto"/>
        <w:rPr>
          <w:rFonts w:cstheme="minorHAnsi"/>
          <w:szCs w:val="24"/>
          <w:lang w:eastAsia="en-GB"/>
        </w:rPr>
      </w:pPr>
      <w:r w:rsidRPr="0048137E">
        <w:rPr>
          <w:rFonts w:cstheme="minorHAnsi"/>
          <w:szCs w:val="24"/>
          <w:lang w:eastAsia="en-GB"/>
        </w:rPr>
        <w:t> </w:t>
      </w:r>
    </w:p>
    <w:p w14:paraId="10BEEDC9" w14:textId="6A00327A" w:rsidR="00AB2DE4" w:rsidRDefault="0024330E"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49D6BEE" w14:textId="77777777" w:rsidR="00AB2DE4" w:rsidRDefault="00AB2DE4">
      <w:pPr>
        <w:rPr>
          <w:rFonts w:eastAsia="Times New Roman" w:cstheme="minorHAnsi"/>
          <w:szCs w:val="24"/>
          <w:lang w:eastAsia="en-GB"/>
        </w:rPr>
      </w:pPr>
      <w:r>
        <w:rPr>
          <w:rFonts w:eastAsia="Times New Roman" w:cstheme="minorHAnsi"/>
          <w:szCs w:val="24"/>
          <w:lang w:eastAsia="en-GB"/>
        </w:rPr>
        <w:br w:type="page"/>
      </w:r>
    </w:p>
    <w:p w14:paraId="75D43B9F" w14:textId="3A68AFA0" w:rsidR="0024330E" w:rsidRPr="0048137E" w:rsidRDefault="00AB2DE4" w:rsidP="00AB2DE4">
      <w:pPr>
        <w:pStyle w:val="Heading1"/>
      </w:pPr>
      <w:bookmarkStart w:id="1" w:name="_Toc114650437"/>
      <w:r>
        <w:lastRenderedPageBreak/>
        <w:t>Aims</w:t>
      </w:r>
      <w:bookmarkEnd w:id="1"/>
    </w:p>
    <w:p w14:paraId="07B50281" w14:textId="48A93DAA" w:rsidR="0024330E" w:rsidRPr="0048137E" w:rsidRDefault="0024330E" w:rsidP="007C4B9C">
      <w:pPr>
        <w:spacing w:after="0" w:line="360" w:lineRule="auto"/>
        <w:ind w:left="720" w:hanging="360"/>
        <w:jc w:val="both"/>
        <w:rPr>
          <w:rFonts w:eastAsia="Times New Roman" w:cstheme="minorHAnsi"/>
          <w:b/>
          <w:bCs/>
          <w:szCs w:val="24"/>
          <w:lang w:eastAsia="en-GB"/>
        </w:rPr>
      </w:pPr>
      <w:r w:rsidRPr="0048137E">
        <w:rPr>
          <w:rFonts w:eastAsia="Times New Roman" w:cstheme="minorHAnsi"/>
          <w:b/>
          <w:bCs/>
          <w:szCs w:val="24"/>
          <w:bdr w:val="none" w:sz="0" w:space="0" w:color="auto" w:frame="1"/>
          <w:lang w:eastAsia="en-GB"/>
        </w:rPr>
        <w:t>a)  Calculate Horizontal ratios for 2019 and 2020 to aid the analysis of the financial information included within the attached financial statements.  You should discuss the trends seen in these ratios in detail, and draw appropriate conclusions. </w:t>
      </w:r>
    </w:p>
    <w:p w14:paraId="462DB11B" w14:textId="77777777" w:rsidR="0024330E" w:rsidRPr="0048137E" w:rsidRDefault="0024330E" w:rsidP="0048137E">
      <w:pPr>
        <w:spacing w:after="0" w:line="360" w:lineRule="auto"/>
        <w:ind w:left="720"/>
        <w:rPr>
          <w:rFonts w:eastAsia="Times New Roman" w:cstheme="minorHAnsi"/>
          <w:b/>
          <w:bCs/>
          <w:szCs w:val="24"/>
          <w:lang w:eastAsia="en-GB"/>
        </w:rPr>
      </w:pPr>
      <w:r w:rsidRPr="0048137E">
        <w:rPr>
          <w:rFonts w:eastAsia="Times New Roman" w:cstheme="minorHAnsi"/>
          <w:b/>
          <w:bCs/>
          <w:szCs w:val="24"/>
          <w:bdr w:val="none" w:sz="0" w:space="0" w:color="auto" w:frame="1"/>
          <w:lang w:eastAsia="en-GB"/>
        </w:rPr>
        <w:t> </w:t>
      </w:r>
    </w:p>
    <w:p w14:paraId="61F03305" w14:textId="77777777" w:rsidR="0024330E" w:rsidRPr="0048137E" w:rsidRDefault="0024330E" w:rsidP="0048137E">
      <w:pPr>
        <w:spacing w:after="0" w:line="360" w:lineRule="auto"/>
        <w:ind w:left="720" w:hanging="360"/>
        <w:rPr>
          <w:rFonts w:eastAsia="Times New Roman" w:cstheme="minorHAnsi"/>
          <w:b/>
          <w:bCs/>
          <w:szCs w:val="24"/>
          <w:lang w:eastAsia="en-GB"/>
        </w:rPr>
      </w:pPr>
      <w:r w:rsidRPr="0048137E">
        <w:rPr>
          <w:rFonts w:eastAsia="Times New Roman" w:cstheme="minorHAnsi"/>
          <w:b/>
          <w:bCs/>
          <w:szCs w:val="24"/>
          <w:bdr w:val="none" w:sz="0" w:space="0" w:color="auto" w:frame="1"/>
          <w:lang w:eastAsia="en-GB"/>
        </w:rPr>
        <w:t>b)     Outline the importance of using ratio analysis for decision making. </w:t>
      </w:r>
    </w:p>
    <w:p w14:paraId="56E23B54" w14:textId="77777777" w:rsidR="0024330E" w:rsidRPr="0048137E" w:rsidRDefault="0024330E" w:rsidP="0048137E">
      <w:pPr>
        <w:spacing w:after="0" w:line="360" w:lineRule="auto"/>
        <w:ind w:left="720"/>
        <w:rPr>
          <w:rFonts w:eastAsia="Times New Roman" w:cstheme="minorHAnsi"/>
          <w:b/>
          <w:bCs/>
          <w:szCs w:val="24"/>
          <w:lang w:eastAsia="en-GB"/>
        </w:rPr>
      </w:pPr>
      <w:r w:rsidRPr="0048137E">
        <w:rPr>
          <w:rFonts w:eastAsia="Times New Roman" w:cstheme="minorHAnsi"/>
          <w:b/>
          <w:bCs/>
          <w:szCs w:val="24"/>
          <w:bdr w:val="none" w:sz="0" w:space="0" w:color="auto" w:frame="1"/>
          <w:lang w:eastAsia="en-GB"/>
        </w:rPr>
        <w:t> </w:t>
      </w:r>
    </w:p>
    <w:p w14:paraId="400AF0AA" w14:textId="77777777" w:rsidR="0024330E" w:rsidRPr="0048137E" w:rsidRDefault="0024330E" w:rsidP="0048137E">
      <w:pPr>
        <w:spacing w:after="0" w:line="360" w:lineRule="auto"/>
        <w:rPr>
          <w:rFonts w:eastAsia="Times New Roman" w:cstheme="minorHAnsi"/>
          <w:b/>
          <w:bCs/>
          <w:szCs w:val="24"/>
          <w:lang w:eastAsia="en-GB"/>
        </w:rPr>
      </w:pPr>
      <w:r w:rsidRPr="0048137E">
        <w:rPr>
          <w:rFonts w:eastAsia="Times New Roman" w:cstheme="minorHAnsi"/>
          <w:b/>
          <w:bCs/>
          <w:szCs w:val="24"/>
          <w:bdr w:val="none" w:sz="0" w:space="0" w:color="auto" w:frame="1"/>
          <w:lang w:eastAsia="en-GB"/>
        </w:rPr>
        <w:t> </w:t>
      </w:r>
    </w:p>
    <w:p w14:paraId="7EBF79DA" w14:textId="77777777" w:rsidR="0024330E" w:rsidRPr="0048137E" w:rsidRDefault="0024330E" w:rsidP="0048137E">
      <w:pPr>
        <w:spacing w:after="0" w:line="360" w:lineRule="auto"/>
        <w:ind w:left="720" w:hanging="360"/>
        <w:rPr>
          <w:rFonts w:eastAsia="Times New Roman" w:cstheme="minorHAnsi"/>
          <w:b/>
          <w:bCs/>
          <w:szCs w:val="24"/>
          <w:lang w:eastAsia="en-GB"/>
        </w:rPr>
      </w:pPr>
      <w:r w:rsidRPr="0048137E">
        <w:rPr>
          <w:rFonts w:eastAsia="Times New Roman" w:cstheme="minorHAnsi"/>
          <w:b/>
          <w:bCs/>
          <w:szCs w:val="24"/>
          <w:bdr w:val="none" w:sz="0" w:space="0" w:color="auto" w:frame="1"/>
          <w:lang w:eastAsia="en-GB"/>
        </w:rPr>
        <w:t>c)     You are to investigate the limitation of ratio analysis, including why an understanding of ratios and their fluctuations is essential for Hotel management in analysing the information seen in their financial statements. </w:t>
      </w:r>
    </w:p>
    <w:p w14:paraId="35846629" w14:textId="77777777" w:rsidR="00EC5AE1" w:rsidRPr="0048137E" w:rsidRDefault="00EC5AE1" w:rsidP="0048137E">
      <w:pPr>
        <w:spacing w:line="360" w:lineRule="auto"/>
        <w:rPr>
          <w:rFonts w:eastAsia="Times New Roman" w:cstheme="minorHAnsi"/>
          <w:b/>
          <w:bCs/>
          <w:szCs w:val="24"/>
          <w:lang w:eastAsia="en-GB"/>
        </w:rPr>
      </w:pPr>
      <w:r w:rsidRPr="0048137E">
        <w:rPr>
          <w:rFonts w:eastAsia="Times New Roman" w:cstheme="minorHAnsi"/>
          <w:b/>
          <w:bCs/>
          <w:szCs w:val="24"/>
          <w:lang w:eastAsia="en-GB"/>
        </w:rPr>
        <w:br w:type="page"/>
      </w:r>
    </w:p>
    <w:p w14:paraId="1A2C8DFF" w14:textId="335004B8" w:rsidR="00E43A4C" w:rsidRPr="00AB2DE4" w:rsidRDefault="00E43A4C" w:rsidP="00AB2DE4">
      <w:pPr>
        <w:pStyle w:val="Heading1"/>
      </w:pPr>
      <w:bookmarkStart w:id="2" w:name="_Toc114650438"/>
      <w:r w:rsidRPr="00AB2DE4">
        <w:lastRenderedPageBreak/>
        <w:t>Introduction</w:t>
      </w:r>
      <w:bookmarkEnd w:id="2"/>
      <w:r w:rsidRPr="00AB2DE4">
        <w:t> </w:t>
      </w:r>
    </w:p>
    <w:p w14:paraId="3A502BCE"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0AD5235" w14:textId="05AC8516" w:rsidR="00E43A4C" w:rsidRPr="0048137E" w:rsidRDefault="00E43A4C" w:rsidP="0048137E">
      <w:pPr>
        <w:spacing w:line="360" w:lineRule="auto"/>
        <w:jc w:val="both"/>
        <w:rPr>
          <w:rFonts w:eastAsia="Times New Roman" w:cstheme="minorHAnsi"/>
          <w:szCs w:val="24"/>
          <w:lang w:eastAsia="en-GB"/>
        </w:rPr>
      </w:pPr>
      <w:r w:rsidRPr="0048137E">
        <w:rPr>
          <w:rFonts w:cstheme="minorHAnsi"/>
          <w:szCs w:val="24"/>
        </w:rPr>
        <w:t>Hilton Hotel</w:t>
      </w:r>
      <w:r w:rsidRPr="0048137E">
        <w:rPr>
          <w:rFonts w:eastAsia="Times New Roman" w:cstheme="minorHAnsi"/>
          <w:szCs w:val="24"/>
          <w:lang w:eastAsia="en-GB"/>
        </w:rPr>
        <w:t xml:space="preserve"> is a global</w:t>
      </w:r>
      <w:r w:rsidR="00171C7F" w:rsidRPr="0048137E">
        <w:rPr>
          <w:rFonts w:eastAsia="Times New Roman" w:cstheme="minorHAnsi"/>
          <w:szCs w:val="24"/>
          <w:lang w:eastAsia="en-GB"/>
        </w:rPr>
        <w:t xml:space="preserve"> luxury hotel brand with over 6,800 worldwide locations, including several in central London in the United Kingdom</w:t>
      </w:r>
      <w:r w:rsidR="00BA0A95">
        <w:rPr>
          <w:rFonts w:eastAsia="Times New Roman" w:cstheme="minorHAnsi"/>
          <w:szCs w:val="24"/>
          <w:lang w:eastAsia="en-GB"/>
        </w:rPr>
        <w:t xml:space="preserve">. </w:t>
      </w:r>
      <w:r w:rsidR="00EC5AE1" w:rsidRPr="0048137E">
        <w:rPr>
          <w:rFonts w:eastAsia="Times New Roman" w:cstheme="minorHAnsi"/>
          <w:szCs w:val="24"/>
          <w:lang w:eastAsia="en-GB"/>
        </w:rPr>
        <w:t xml:space="preserve">This report </w:t>
      </w:r>
      <w:r w:rsidR="00807B8F">
        <w:rPr>
          <w:rFonts w:eastAsia="Times New Roman" w:cstheme="minorHAnsi"/>
          <w:szCs w:val="24"/>
          <w:lang w:eastAsia="en-GB"/>
        </w:rPr>
        <w:t>is</w:t>
      </w:r>
      <w:r w:rsidR="00EC5AE1" w:rsidRPr="0048137E">
        <w:rPr>
          <w:rFonts w:eastAsia="Times New Roman" w:cstheme="minorHAnsi"/>
          <w:szCs w:val="24"/>
          <w:lang w:eastAsia="en-GB"/>
        </w:rPr>
        <w:t xml:space="preserve"> prepared to evaluate the performance of </w:t>
      </w:r>
      <w:r w:rsidR="00171C7F" w:rsidRPr="0048137E">
        <w:rPr>
          <w:rFonts w:eastAsia="Times New Roman" w:cstheme="minorHAnsi"/>
          <w:szCs w:val="24"/>
          <w:lang w:eastAsia="en-GB"/>
        </w:rPr>
        <w:t xml:space="preserve">one </w:t>
      </w:r>
      <w:r w:rsidR="00EC5AE1" w:rsidRPr="0048137E">
        <w:rPr>
          <w:rFonts w:eastAsia="Times New Roman" w:cstheme="minorHAnsi"/>
          <w:szCs w:val="24"/>
          <w:lang w:eastAsia="en-GB"/>
        </w:rPr>
        <w:t>central London Hilton Hotel</w:t>
      </w:r>
      <w:r w:rsidR="001512FF">
        <w:rPr>
          <w:rFonts w:eastAsia="Times New Roman" w:cstheme="minorHAnsi"/>
          <w:szCs w:val="24"/>
          <w:lang w:eastAsia="en-GB"/>
        </w:rPr>
        <w:t>'</w:t>
      </w:r>
      <w:r w:rsidR="0037691F">
        <w:rPr>
          <w:rFonts w:eastAsia="Times New Roman" w:cstheme="minorHAnsi"/>
          <w:szCs w:val="24"/>
          <w:lang w:eastAsia="en-GB"/>
        </w:rPr>
        <w:t>s</w:t>
      </w:r>
      <w:r w:rsidR="00EC5AE1" w:rsidRPr="0048137E">
        <w:rPr>
          <w:rFonts w:eastAsia="Times New Roman" w:cstheme="minorHAnsi"/>
          <w:szCs w:val="24"/>
          <w:lang w:eastAsia="en-GB"/>
        </w:rPr>
        <w:t xml:space="preserve"> branch</w:t>
      </w:r>
      <w:r w:rsidR="00171C7F" w:rsidRPr="0048137E">
        <w:rPr>
          <w:rFonts w:eastAsia="Times New Roman" w:cstheme="minorHAnsi"/>
          <w:szCs w:val="24"/>
          <w:lang w:eastAsia="en-GB"/>
        </w:rPr>
        <w:t>es</w:t>
      </w:r>
      <w:r w:rsidR="00EC5AE1" w:rsidRPr="0048137E">
        <w:rPr>
          <w:rFonts w:eastAsia="Times New Roman" w:cstheme="minorHAnsi"/>
          <w:szCs w:val="24"/>
          <w:lang w:eastAsia="en-GB"/>
        </w:rPr>
        <w:t xml:space="preserve"> by analysing the </w:t>
      </w:r>
      <w:r w:rsidRPr="0048137E">
        <w:rPr>
          <w:rFonts w:eastAsia="Times New Roman" w:cstheme="minorHAnsi"/>
          <w:szCs w:val="24"/>
          <w:lang w:eastAsia="en-GB"/>
        </w:rPr>
        <w:t>firm</w:t>
      </w:r>
      <w:r w:rsidR="0049371E">
        <w:rPr>
          <w:rFonts w:eastAsia="Times New Roman" w:cstheme="minorHAnsi"/>
          <w:szCs w:val="24"/>
          <w:lang w:eastAsia="en-GB"/>
        </w:rPr>
        <w:t>'</w:t>
      </w:r>
      <w:r w:rsidRPr="0048137E">
        <w:rPr>
          <w:rFonts w:eastAsia="Times New Roman" w:cstheme="minorHAnsi"/>
          <w:szCs w:val="24"/>
          <w:lang w:eastAsia="en-GB"/>
        </w:rPr>
        <w:t xml:space="preserve">s performance profitability, liquidity, and gearing ratios in </w:t>
      </w:r>
      <w:r w:rsidR="00807B8F">
        <w:rPr>
          <w:rFonts w:eastAsia="Times New Roman" w:cstheme="minorHAnsi"/>
          <w:szCs w:val="24"/>
          <w:lang w:eastAsia="en-GB"/>
        </w:rPr>
        <w:t xml:space="preserve">the </w:t>
      </w:r>
      <w:r w:rsidRPr="0048137E">
        <w:rPr>
          <w:rFonts w:eastAsia="Times New Roman" w:cstheme="minorHAnsi"/>
          <w:szCs w:val="24"/>
          <w:lang w:eastAsia="en-GB"/>
        </w:rPr>
        <w:t>2019 and 2020 fiscal year</w:t>
      </w:r>
      <w:r w:rsidR="00EC5AE1" w:rsidRPr="0048137E">
        <w:rPr>
          <w:rFonts w:eastAsia="Times New Roman" w:cstheme="minorHAnsi"/>
          <w:szCs w:val="24"/>
          <w:lang w:eastAsia="en-GB"/>
        </w:rPr>
        <w:t>s</w:t>
      </w:r>
      <w:r w:rsidR="00D60FC7" w:rsidRPr="00D60FC7">
        <w:rPr>
          <w:rFonts w:eastAsia="Times New Roman" w:cstheme="minorHAnsi"/>
          <w:szCs w:val="24"/>
          <w:lang w:eastAsia="en-GB"/>
        </w:rPr>
        <w:t xml:space="preserve"> </w:t>
      </w:r>
      <w:r w:rsidR="00D60FC7" w:rsidRPr="0048137E">
        <w:rPr>
          <w:rFonts w:eastAsia="Times New Roman" w:cstheme="minorHAnsi"/>
          <w:szCs w:val="24"/>
          <w:lang w:eastAsia="en-GB"/>
        </w:rPr>
        <w:t>(Hilton</w:t>
      </w:r>
      <w:r w:rsidR="00D60FC7">
        <w:rPr>
          <w:rFonts w:eastAsia="Times New Roman" w:cstheme="minorHAnsi"/>
          <w:szCs w:val="24"/>
          <w:lang w:eastAsia="en-GB"/>
        </w:rPr>
        <w:t>,</w:t>
      </w:r>
      <w:r w:rsidR="00D60FC7" w:rsidRPr="0048137E">
        <w:rPr>
          <w:rFonts w:eastAsia="Times New Roman" w:cstheme="minorHAnsi"/>
          <w:szCs w:val="24"/>
          <w:lang w:eastAsia="en-GB"/>
        </w:rPr>
        <w:t xml:space="preserve"> 2022). </w:t>
      </w:r>
      <w:r w:rsidR="00EC5AE1" w:rsidRPr="0048137E">
        <w:rPr>
          <w:rFonts w:eastAsia="Times New Roman" w:cstheme="minorHAnsi"/>
          <w:szCs w:val="24"/>
          <w:lang w:eastAsia="en-GB"/>
        </w:rPr>
        <w:t xml:space="preserve"> </w:t>
      </w:r>
    </w:p>
    <w:p w14:paraId="6216BF7B" w14:textId="3FECF7AB" w:rsidR="006D719F"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lang w:eastAsia="en-GB"/>
        </w:rPr>
        <w:t>A ratio is a useful tool</w:t>
      </w:r>
      <w:r w:rsidR="00275CD4" w:rsidRPr="0048137E">
        <w:rPr>
          <w:rFonts w:eastAsia="Times New Roman" w:cstheme="minorHAnsi"/>
          <w:szCs w:val="24"/>
          <w:lang w:eastAsia="en-GB"/>
        </w:rPr>
        <w:t xml:space="preserve"> for viewing </w:t>
      </w:r>
      <w:r w:rsidRPr="0048137E">
        <w:rPr>
          <w:rFonts w:eastAsia="Times New Roman" w:cstheme="minorHAnsi"/>
          <w:szCs w:val="24"/>
          <w:lang w:eastAsia="en-GB"/>
        </w:rPr>
        <w:t>the benchmark for future performance</w:t>
      </w:r>
      <w:r w:rsidR="00275CD4" w:rsidRPr="0048137E">
        <w:rPr>
          <w:rFonts w:eastAsia="Times New Roman" w:cstheme="minorHAnsi"/>
          <w:szCs w:val="24"/>
          <w:lang w:eastAsia="en-GB"/>
        </w:rPr>
        <w:t xml:space="preserve"> by</w:t>
      </w:r>
      <w:r w:rsidRPr="0048137E">
        <w:rPr>
          <w:rFonts w:eastAsia="Times New Roman" w:cstheme="minorHAnsi"/>
          <w:szCs w:val="24"/>
          <w:lang w:eastAsia="en-GB"/>
        </w:rPr>
        <w:t xml:space="preserve"> comparing the cost of goods sold</w:t>
      </w:r>
      <w:r w:rsidR="00275CD4" w:rsidRPr="0048137E">
        <w:rPr>
          <w:rFonts w:eastAsia="Times New Roman" w:cstheme="minorHAnsi"/>
          <w:szCs w:val="24"/>
          <w:lang w:eastAsia="en-GB"/>
        </w:rPr>
        <w:t>,</w:t>
      </w:r>
      <w:r w:rsidRPr="0048137E">
        <w:rPr>
          <w:rFonts w:eastAsia="Times New Roman" w:cstheme="minorHAnsi"/>
          <w:szCs w:val="24"/>
          <w:lang w:eastAsia="en-GB"/>
        </w:rPr>
        <w:t xml:space="preserve"> gauging methods to identify areas for improvement in the organisation and</w:t>
      </w:r>
      <w:r w:rsidR="00275CD4" w:rsidRPr="0048137E">
        <w:rPr>
          <w:rFonts w:eastAsia="Times New Roman" w:cstheme="minorHAnsi"/>
          <w:szCs w:val="24"/>
          <w:lang w:eastAsia="en-GB"/>
        </w:rPr>
        <w:t xml:space="preserve"> </w:t>
      </w:r>
      <w:r w:rsidR="00B960F3">
        <w:rPr>
          <w:rFonts w:eastAsia="Times New Roman" w:cstheme="minorHAnsi"/>
          <w:szCs w:val="24"/>
          <w:lang w:eastAsia="en-GB"/>
        </w:rPr>
        <w:t>highlighting</w:t>
      </w:r>
      <w:r w:rsidR="00275CD4" w:rsidRPr="0048137E">
        <w:rPr>
          <w:rFonts w:eastAsia="Times New Roman" w:cstheme="minorHAnsi"/>
          <w:szCs w:val="24"/>
          <w:lang w:eastAsia="en-GB"/>
        </w:rPr>
        <w:t xml:space="preserve"> </w:t>
      </w:r>
      <w:r w:rsidRPr="0048137E">
        <w:rPr>
          <w:rFonts w:eastAsia="Times New Roman" w:cstheme="minorHAnsi"/>
          <w:szCs w:val="24"/>
          <w:lang w:eastAsia="en-GB"/>
        </w:rPr>
        <w:t>the importance of financial health and performance</w:t>
      </w:r>
      <w:r w:rsidR="0032215D">
        <w:rPr>
          <w:rFonts w:eastAsia="Times New Roman" w:cstheme="minorHAnsi"/>
          <w:szCs w:val="24"/>
          <w:lang w:eastAsia="en-GB"/>
        </w:rPr>
        <w:t>.</w:t>
      </w:r>
      <w:r w:rsidRPr="0048137E">
        <w:rPr>
          <w:rFonts w:eastAsia="Times New Roman" w:cstheme="minorHAnsi"/>
          <w:szCs w:val="24"/>
          <w:lang w:eastAsia="en-GB"/>
        </w:rPr>
        <w:t xml:space="preserve"> </w:t>
      </w:r>
      <w:r w:rsidR="00275CD4" w:rsidRPr="0048137E">
        <w:rPr>
          <w:rFonts w:eastAsia="Times New Roman" w:cstheme="minorHAnsi"/>
          <w:szCs w:val="24"/>
          <w:lang w:eastAsia="en-GB"/>
        </w:rPr>
        <w:t xml:space="preserve">Ratio analysis also helps to </w:t>
      </w:r>
      <w:r w:rsidRPr="0048137E">
        <w:rPr>
          <w:rFonts w:eastAsia="Times New Roman" w:cstheme="minorHAnsi"/>
          <w:szCs w:val="24"/>
          <w:lang w:eastAsia="en-GB"/>
        </w:rPr>
        <w:t xml:space="preserve">segment the hotel departments, </w:t>
      </w:r>
      <w:r w:rsidR="00275CD4" w:rsidRPr="0048137E">
        <w:rPr>
          <w:rFonts w:eastAsia="Times New Roman" w:cstheme="minorHAnsi"/>
          <w:szCs w:val="24"/>
          <w:lang w:eastAsia="en-GB"/>
        </w:rPr>
        <w:t xml:space="preserve">interpret accounting, and </w:t>
      </w:r>
      <w:r w:rsidRPr="0048137E">
        <w:rPr>
          <w:rFonts w:eastAsia="Times New Roman" w:cstheme="minorHAnsi"/>
          <w:szCs w:val="24"/>
          <w:lang w:eastAsia="en-GB"/>
        </w:rPr>
        <w:t>evaluat</w:t>
      </w:r>
      <w:r w:rsidR="00275CD4" w:rsidRPr="0048137E">
        <w:rPr>
          <w:rFonts w:eastAsia="Times New Roman" w:cstheme="minorHAnsi"/>
          <w:szCs w:val="24"/>
          <w:lang w:eastAsia="en-GB"/>
        </w:rPr>
        <w:t>e</w:t>
      </w:r>
      <w:r w:rsidRPr="0048137E">
        <w:rPr>
          <w:rFonts w:eastAsia="Times New Roman" w:cstheme="minorHAnsi"/>
          <w:szCs w:val="24"/>
          <w:lang w:eastAsia="en-GB"/>
        </w:rPr>
        <w:t xml:space="preserve"> the company</w:t>
      </w:r>
      <w:r w:rsidR="0049371E">
        <w:rPr>
          <w:rFonts w:eastAsia="Times New Roman" w:cstheme="minorHAnsi"/>
          <w:szCs w:val="24"/>
          <w:lang w:eastAsia="en-GB"/>
        </w:rPr>
        <w:t>'</w:t>
      </w:r>
      <w:r w:rsidRPr="0048137E">
        <w:rPr>
          <w:rFonts w:eastAsia="Times New Roman" w:cstheme="minorHAnsi"/>
          <w:szCs w:val="24"/>
          <w:lang w:eastAsia="en-GB"/>
        </w:rPr>
        <w:t>s profit and loss</w:t>
      </w:r>
      <w:r w:rsidR="00275CD4" w:rsidRPr="0048137E">
        <w:rPr>
          <w:rFonts w:eastAsia="Times New Roman" w:cstheme="minorHAnsi"/>
          <w:szCs w:val="24"/>
          <w:lang w:eastAsia="en-GB"/>
        </w:rPr>
        <w:t xml:space="preserve">. </w:t>
      </w:r>
      <w:r w:rsidR="00904A0F">
        <w:rPr>
          <w:rFonts w:eastAsia="Times New Roman" w:cstheme="minorHAnsi"/>
          <w:szCs w:val="24"/>
          <w:lang w:eastAsia="en-GB"/>
        </w:rPr>
        <w:t>M</w:t>
      </w:r>
      <w:r w:rsidR="00004107">
        <w:rPr>
          <w:rFonts w:eastAsia="Times New Roman" w:cstheme="minorHAnsi"/>
          <w:szCs w:val="24"/>
          <w:lang w:eastAsia="en-GB"/>
        </w:rPr>
        <w:t>ore</w:t>
      </w:r>
      <w:r w:rsidR="00904A0F">
        <w:rPr>
          <w:rFonts w:eastAsia="Times New Roman" w:cstheme="minorHAnsi"/>
          <w:szCs w:val="24"/>
          <w:lang w:eastAsia="en-GB"/>
        </w:rPr>
        <w:t>over,</w:t>
      </w:r>
      <w:r w:rsidR="00A12643" w:rsidRPr="0048137E">
        <w:rPr>
          <w:rFonts w:eastAsia="Times New Roman" w:cstheme="minorHAnsi"/>
          <w:szCs w:val="24"/>
          <w:lang w:eastAsia="en-GB"/>
        </w:rPr>
        <w:t xml:space="preserve"> ratios </w:t>
      </w:r>
      <w:r w:rsidR="002259B0">
        <w:rPr>
          <w:rFonts w:eastAsia="Times New Roman" w:cstheme="minorHAnsi"/>
          <w:szCs w:val="24"/>
          <w:lang w:eastAsia="en-GB"/>
        </w:rPr>
        <w:t xml:space="preserve">are </w:t>
      </w:r>
      <w:r w:rsidR="00A12643" w:rsidRPr="0048137E">
        <w:rPr>
          <w:rFonts w:eastAsia="Times New Roman" w:cstheme="minorHAnsi"/>
          <w:szCs w:val="24"/>
          <w:lang w:eastAsia="en-GB"/>
        </w:rPr>
        <w:t xml:space="preserve">examined to evaluate the </w:t>
      </w:r>
      <w:r w:rsidR="00781349">
        <w:rPr>
          <w:rFonts w:eastAsia="Times New Roman" w:cstheme="minorHAnsi"/>
          <w:szCs w:val="24"/>
          <w:lang w:eastAsia="en-GB"/>
        </w:rPr>
        <w:t>company</w:t>
      </w:r>
      <w:r w:rsidR="0049371E">
        <w:rPr>
          <w:rFonts w:eastAsia="Times New Roman" w:cstheme="minorHAnsi"/>
          <w:szCs w:val="24"/>
          <w:lang w:eastAsia="en-GB"/>
        </w:rPr>
        <w:t>'</w:t>
      </w:r>
      <w:r w:rsidR="00781349">
        <w:rPr>
          <w:rFonts w:eastAsia="Times New Roman" w:cstheme="minorHAnsi"/>
          <w:szCs w:val="24"/>
          <w:lang w:eastAsia="en-GB"/>
        </w:rPr>
        <w:t>s health</w:t>
      </w:r>
      <w:r w:rsidR="00A12643" w:rsidRPr="0048137E">
        <w:rPr>
          <w:rFonts w:eastAsia="Times New Roman" w:cstheme="minorHAnsi"/>
          <w:szCs w:val="24"/>
          <w:lang w:eastAsia="en-GB"/>
        </w:rPr>
        <w:t>, determine individual financial ratios and calculate the change in value over time. Th</w:t>
      </w:r>
      <w:r w:rsidR="00B408D1">
        <w:rPr>
          <w:rFonts w:eastAsia="Times New Roman" w:cstheme="minorHAnsi"/>
          <w:szCs w:val="24"/>
          <w:lang w:eastAsia="en-GB"/>
        </w:rPr>
        <w:t>erefore</w:t>
      </w:r>
      <w:r w:rsidR="00A12643" w:rsidRPr="0048137E">
        <w:rPr>
          <w:rFonts w:eastAsia="Times New Roman" w:cstheme="minorHAnsi"/>
          <w:szCs w:val="24"/>
          <w:lang w:eastAsia="en-GB"/>
        </w:rPr>
        <w:t xml:space="preserve"> helps </w:t>
      </w:r>
      <w:r w:rsidR="00D974AC">
        <w:rPr>
          <w:rFonts w:eastAsia="Times New Roman" w:cstheme="minorHAnsi"/>
          <w:szCs w:val="24"/>
          <w:lang w:eastAsia="en-GB"/>
        </w:rPr>
        <w:t xml:space="preserve">to </w:t>
      </w:r>
      <w:r w:rsidR="003567FD">
        <w:rPr>
          <w:rFonts w:eastAsia="Times New Roman" w:cstheme="minorHAnsi"/>
          <w:szCs w:val="24"/>
          <w:lang w:eastAsia="en-GB"/>
        </w:rPr>
        <w:t>show trends within</w:t>
      </w:r>
      <w:r w:rsidR="00A12643" w:rsidRPr="0048137E">
        <w:rPr>
          <w:rFonts w:eastAsia="Times New Roman" w:cstheme="minorHAnsi"/>
          <w:szCs w:val="24"/>
          <w:lang w:eastAsia="en-GB"/>
        </w:rPr>
        <w:t xml:space="preserve"> the business</w:t>
      </w:r>
      <w:r w:rsidR="0049371E">
        <w:rPr>
          <w:rFonts w:eastAsia="Times New Roman" w:cstheme="minorHAnsi"/>
          <w:szCs w:val="24"/>
          <w:lang w:eastAsia="en-GB"/>
        </w:rPr>
        <w:t>'</w:t>
      </w:r>
      <w:r w:rsidR="00A12643" w:rsidRPr="0048137E">
        <w:rPr>
          <w:rFonts w:eastAsia="Times New Roman" w:cstheme="minorHAnsi"/>
          <w:szCs w:val="24"/>
          <w:lang w:eastAsia="en-GB"/>
        </w:rPr>
        <w:t xml:space="preserve"> finances, illustrating </w:t>
      </w:r>
      <w:r w:rsidR="003567FD">
        <w:rPr>
          <w:rFonts w:eastAsia="Times New Roman" w:cstheme="minorHAnsi"/>
          <w:szCs w:val="24"/>
          <w:lang w:eastAsia="en-GB"/>
        </w:rPr>
        <w:t>weaknesses</w:t>
      </w:r>
      <w:r w:rsidR="00A12643" w:rsidRPr="0048137E">
        <w:rPr>
          <w:rFonts w:eastAsia="Times New Roman" w:cstheme="minorHAnsi"/>
          <w:szCs w:val="24"/>
          <w:lang w:eastAsia="en-GB"/>
        </w:rPr>
        <w:t xml:space="preserve"> or </w:t>
      </w:r>
      <w:r w:rsidR="00B960F3">
        <w:rPr>
          <w:rFonts w:eastAsia="Times New Roman" w:cstheme="minorHAnsi"/>
          <w:szCs w:val="24"/>
          <w:lang w:eastAsia="en-GB"/>
        </w:rPr>
        <w:t>strengths</w:t>
      </w:r>
      <w:r w:rsidR="009010C3" w:rsidRPr="009010C3">
        <w:rPr>
          <w:rFonts w:eastAsia="Times New Roman" w:cstheme="minorHAnsi"/>
          <w:szCs w:val="24"/>
          <w:lang w:eastAsia="en-GB"/>
        </w:rPr>
        <w:t xml:space="preserve"> </w:t>
      </w:r>
      <w:r w:rsidR="009010C3" w:rsidRPr="0048137E">
        <w:rPr>
          <w:rFonts w:eastAsia="Times New Roman" w:cstheme="minorHAnsi"/>
          <w:szCs w:val="24"/>
          <w:lang w:eastAsia="en-GB"/>
        </w:rPr>
        <w:t>(Jackson</w:t>
      </w:r>
      <w:r w:rsidR="00DF5B36">
        <w:rPr>
          <w:rFonts w:eastAsia="Times New Roman" w:cstheme="minorHAnsi"/>
          <w:szCs w:val="24"/>
          <w:lang w:eastAsia="en-GB"/>
        </w:rPr>
        <w:t>,</w:t>
      </w:r>
      <w:r w:rsidR="009010C3">
        <w:rPr>
          <w:rFonts w:eastAsia="Times New Roman" w:cstheme="minorHAnsi"/>
          <w:szCs w:val="24"/>
          <w:lang w:eastAsia="en-GB"/>
        </w:rPr>
        <w:t xml:space="preserve"> </w:t>
      </w:r>
      <w:r w:rsidR="009010C3" w:rsidRPr="0048137E">
        <w:rPr>
          <w:rFonts w:eastAsia="Times New Roman" w:cstheme="minorHAnsi"/>
          <w:szCs w:val="24"/>
          <w:lang w:eastAsia="en-GB"/>
        </w:rPr>
        <w:t xml:space="preserve"> 2009).</w:t>
      </w:r>
    </w:p>
    <w:p w14:paraId="25CA7E16" w14:textId="77777777" w:rsidR="007226FD" w:rsidRDefault="007226FD" w:rsidP="0048137E">
      <w:pPr>
        <w:spacing w:after="0" w:line="360" w:lineRule="auto"/>
        <w:jc w:val="both"/>
        <w:rPr>
          <w:rFonts w:eastAsia="Times New Roman" w:cstheme="minorHAnsi"/>
          <w:szCs w:val="24"/>
          <w:lang w:eastAsia="en-GB"/>
        </w:rPr>
      </w:pPr>
    </w:p>
    <w:p w14:paraId="07964951" w14:textId="474AA3BB" w:rsidR="00CC5B98" w:rsidRDefault="00C32C60" w:rsidP="0048137E">
      <w:pPr>
        <w:spacing w:after="0" w:line="360" w:lineRule="auto"/>
        <w:jc w:val="both"/>
        <w:rPr>
          <w:rFonts w:eastAsia="Times New Roman" w:cstheme="minorHAnsi"/>
          <w:szCs w:val="24"/>
          <w:lang w:eastAsia="en-GB"/>
        </w:rPr>
      </w:pPr>
      <w:r>
        <w:rPr>
          <w:rFonts w:eastAsia="Times New Roman" w:cstheme="minorHAnsi"/>
          <w:szCs w:val="24"/>
          <w:lang w:eastAsia="en-GB"/>
        </w:rPr>
        <w:t>However</w:t>
      </w:r>
      <w:r w:rsidR="009C05F3">
        <w:rPr>
          <w:rFonts w:eastAsia="Times New Roman" w:cstheme="minorHAnsi"/>
          <w:szCs w:val="24"/>
          <w:lang w:eastAsia="en-GB"/>
        </w:rPr>
        <w:t>,</w:t>
      </w:r>
      <w:r>
        <w:rPr>
          <w:rFonts w:eastAsia="Times New Roman" w:cstheme="minorHAnsi"/>
          <w:szCs w:val="24"/>
          <w:lang w:eastAsia="en-GB"/>
        </w:rPr>
        <w:t xml:space="preserve"> </w:t>
      </w:r>
      <w:r w:rsidR="004A1F7D">
        <w:rPr>
          <w:rFonts w:eastAsia="Times New Roman" w:cstheme="minorHAnsi"/>
          <w:szCs w:val="24"/>
          <w:lang w:eastAsia="en-GB"/>
        </w:rPr>
        <w:t xml:space="preserve">Brexit </w:t>
      </w:r>
      <w:r w:rsidR="002351F8">
        <w:rPr>
          <w:rFonts w:eastAsia="Times New Roman" w:cstheme="minorHAnsi"/>
          <w:szCs w:val="24"/>
          <w:lang w:eastAsia="en-GB"/>
        </w:rPr>
        <w:t xml:space="preserve">has had a </w:t>
      </w:r>
      <w:r w:rsidR="00AF7BAB">
        <w:rPr>
          <w:rFonts w:eastAsia="Times New Roman" w:cstheme="minorHAnsi"/>
          <w:szCs w:val="24"/>
          <w:lang w:eastAsia="en-GB"/>
        </w:rPr>
        <w:t>devastating</w:t>
      </w:r>
      <w:r w:rsidR="00D30345">
        <w:rPr>
          <w:rFonts w:eastAsia="Times New Roman" w:cstheme="minorHAnsi"/>
          <w:szCs w:val="24"/>
          <w:lang w:eastAsia="en-GB"/>
        </w:rPr>
        <w:t xml:space="preserve"> impact on most business</w:t>
      </w:r>
      <w:r w:rsidR="0056413F">
        <w:rPr>
          <w:rFonts w:eastAsia="Times New Roman" w:cstheme="minorHAnsi"/>
          <w:szCs w:val="24"/>
          <w:lang w:eastAsia="en-GB"/>
        </w:rPr>
        <w:t>es</w:t>
      </w:r>
      <w:r w:rsidR="00B34B0C">
        <w:rPr>
          <w:rFonts w:eastAsia="Times New Roman" w:cstheme="minorHAnsi"/>
          <w:szCs w:val="24"/>
          <w:lang w:eastAsia="en-GB"/>
        </w:rPr>
        <w:t xml:space="preserve"> </w:t>
      </w:r>
      <w:r w:rsidR="001B4808">
        <w:rPr>
          <w:rFonts w:eastAsia="Times New Roman" w:cstheme="minorHAnsi"/>
          <w:szCs w:val="24"/>
          <w:lang w:eastAsia="en-GB"/>
        </w:rPr>
        <w:t>(</w:t>
      </w:r>
      <w:r w:rsidR="005767D5">
        <w:rPr>
          <w:rFonts w:eastAsia="Times New Roman" w:cstheme="minorHAnsi"/>
          <w:szCs w:val="24"/>
          <w:lang w:eastAsia="en-GB"/>
        </w:rPr>
        <w:t>Hade</w:t>
      </w:r>
      <w:r w:rsidR="006C3DF3">
        <w:rPr>
          <w:rFonts w:eastAsia="Times New Roman" w:cstheme="minorHAnsi"/>
          <w:szCs w:val="24"/>
          <w:lang w:eastAsia="en-GB"/>
        </w:rPr>
        <w:t>.</w:t>
      </w:r>
      <w:r w:rsidR="00B42E72">
        <w:rPr>
          <w:rFonts w:eastAsia="Times New Roman" w:cstheme="minorHAnsi"/>
          <w:szCs w:val="24"/>
          <w:lang w:eastAsia="en-GB"/>
        </w:rPr>
        <w:t xml:space="preserve"> 2019)</w:t>
      </w:r>
      <w:r w:rsidR="00CD1E0D">
        <w:rPr>
          <w:rFonts w:eastAsia="Times New Roman" w:cstheme="minorHAnsi"/>
          <w:szCs w:val="24"/>
          <w:lang w:eastAsia="en-GB"/>
        </w:rPr>
        <w:t>. States</w:t>
      </w:r>
      <w:r w:rsidR="001925E5">
        <w:rPr>
          <w:rFonts w:eastAsia="Times New Roman" w:cstheme="minorHAnsi"/>
          <w:szCs w:val="24"/>
          <w:lang w:eastAsia="en-GB"/>
        </w:rPr>
        <w:t xml:space="preserve"> </w:t>
      </w:r>
      <w:r w:rsidR="00F748A4">
        <w:rPr>
          <w:rFonts w:eastAsia="Times New Roman" w:cstheme="minorHAnsi"/>
          <w:szCs w:val="24"/>
          <w:lang w:eastAsia="en-GB"/>
        </w:rPr>
        <w:t xml:space="preserve">that being </w:t>
      </w:r>
      <w:r w:rsidR="00C31F5C">
        <w:rPr>
          <w:rFonts w:eastAsia="Times New Roman" w:cstheme="minorHAnsi"/>
          <w:szCs w:val="24"/>
          <w:lang w:eastAsia="en-GB"/>
        </w:rPr>
        <w:t xml:space="preserve">unable to restore faith in </w:t>
      </w:r>
      <w:r w:rsidR="009E784F">
        <w:rPr>
          <w:rFonts w:eastAsia="Times New Roman" w:cstheme="minorHAnsi"/>
          <w:szCs w:val="24"/>
          <w:lang w:eastAsia="en-GB"/>
        </w:rPr>
        <w:t xml:space="preserve">customer </w:t>
      </w:r>
      <w:r w:rsidR="004C2D5E">
        <w:rPr>
          <w:rFonts w:eastAsia="Times New Roman" w:cstheme="minorHAnsi"/>
          <w:szCs w:val="24"/>
          <w:lang w:eastAsia="en-GB"/>
        </w:rPr>
        <w:t>expenditure</w:t>
      </w:r>
      <w:r w:rsidR="00A27D85">
        <w:rPr>
          <w:rFonts w:eastAsia="Times New Roman" w:cstheme="minorHAnsi"/>
          <w:szCs w:val="24"/>
          <w:lang w:eastAsia="en-GB"/>
        </w:rPr>
        <w:t xml:space="preserve"> </w:t>
      </w:r>
      <w:r w:rsidR="00E57E1A">
        <w:rPr>
          <w:rFonts w:eastAsia="Times New Roman" w:cstheme="minorHAnsi"/>
          <w:szCs w:val="24"/>
          <w:lang w:eastAsia="en-GB"/>
        </w:rPr>
        <w:t xml:space="preserve">in </w:t>
      </w:r>
      <w:r w:rsidR="00A27D85">
        <w:rPr>
          <w:rFonts w:eastAsia="Times New Roman" w:cstheme="minorHAnsi"/>
          <w:szCs w:val="24"/>
          <w:lang w:eastAsia="en-GB"/>
        </w:rPr>
        <w:t>2019</w:t>
      </w:r>
      <w:r w:rsidR="009E784F">
        <w:rPr>
          <w:rFonts w:eastAsia="Times New Roman" w:cstheme="minorHAnsi"/>
          <w:szCs w:val="24"/>
          <w:lang w:eastAsia="en-GB"/>
        </w:rPr>
        <w:t xml:space="preserve"> </w:t>
      </w:r>
      <w:r w:rsidR="0087309E">
        <w:rPr>
          <w:rFonts w:eastAsia="Times New Roman" w:cstheme="minorHAnsi"/>
          <w:szCs w:val="24"/>
          <w:lang w:eastAsia="en-GB"/>
        </w:rPr>
        <w:t xml:space="preserve">was better </w:t>
      </w:r>
      <w:r w:rsidR="00E33AC9">
        <w:rPr>
          <w:rFonts w:eastAsia="Times New Roman" w:cstheme="minorHAnsi"/>
          <w:szCs w:val="24"/>
          <w:lang w:eastAsia="en-GB"/>
        </w:rPr>
        <w:t xml:space="preserve">than </w:t>
      </w:r>
      <w:r w:rsidR="00B42E72">
        <w:rPr>
          <w:rFonts w:eastAsia="Times New Roman" w:cstheme="minorHAnsi"/>
          <w:szCs w:val="24"/>
          <w:lang w:eastAsia="en-GB"/>
        </w:rPr>
        <w:t xml:space="preserve">the </w:t>
      </w:r>
      <w:r w:rsidR="00E57E1A">
        <w:rPr>
          <w:rFonts w:eastAsia="Times New Roman" w:cstheme="minorHAnsi"/>
          <w:szCs w:val="24"/>
          <w:lang w:eastAsia="en-GB"/>
        </w:rPr>
        <w:t>2020</w:t>
      </w:r>
      <w:r w:rsidR="000A6201">
        <w:rPr>
          <w:rFonts w:eastAsia="Times New Roman" w:cstheme="minorHAnsi"/>
          <w:szCs w:val="24"/>
          <w:lang w:eastAsia="en-GB"/>
        </w:rPr>
        <w:t xml:space="preserve"> fiscal </w:t>
      </w:r>
      <w:r w:rsidR="00E33AC9">
        <w:rPr>
          <w:rFonts w:eastAsia="Times New Roman" w:cstheme="minorHAnsi"/>
          <w:szCs w:val="24"/>
          <w:lang w:eastAsia="en-GB"/>
        </w:rPr>
        <w:t>year</w:t>
      </w:r>
      <w:r w:rsidR="00F80135">
        <w:rPr>
          <w:rFonts w:eastAsia="Times New Roman" w:cstheme="minorHAnsi"/>
          <w:szCs w:val="24"/>
          <w:lang w:eastAsia="en-GB"/>
        </w:rPr>
        <w:t>,</w:t>
      </w:r>
      <w:r w:rsidR="00C50E4D">
        <w:rPr>
          <w:rFonts w:eastAsia="Times New Roman" w:cstheme="minorHAnsi"/>
          <w:szCs w:val="24"/>
          <w:lang w:eastAsia="en-GB"/>
        </w:rPr>
        <w:t xml:space="preserve"> </w:t>
      </w:r>
      <w:r w:rsidR="003A5629">
        <w:rPr>
          <w:rFonts w:eastAsia="Times New Roman" w:cstheme="minorHAnsi"/>
          <w:szCs w:val="24"/>
          <w:lang w:eastAsia="en-GB"/>
        </w:rPr>
        <w:t>which</w:t>
      </w:r>
      <w:r w:rsidR="00E77C9D">
        <w:rPr>
          <w:rFonts w:eastAsia="Times New Roman" w:cstheme="minorHAnsi"/>
          <w:szCs w:val="24"/>
          <w:lang w:eastAsia="en-GB"/>
        </w:rPr>
        <w:t xml:space="preserve"> </w:t>
      </w:r>
      <w:r w:rsidR="00E33AC9">
        <w:rPr>
          <w:rFonts w:eastAsia="Times New Roman" w:cstheme="minorHAnsi"/>
          <w:szCs w:val="24"/>
          <w:lang w:eastAsia="en-GB"/>
        </w:rPr>
        <w:t>saw</w:t>
      </w:r>
      <w:r w:rsidR="003A5629">
        <w:rPr>
          <w:rFonts w:eastAsia="Times New Roman" w:cstheme="minorHAnsi"/>
          <w:szCs w:val="24"/>
          <w:lang w:eastAsia="en-GB"/>
        </w:rPr>
        <w:t xml:space="preserve"> </w:t>
      </w:r>
      <w:r w:rsidR="00C50E4D">
        <w:rPr>
          <w:rFonts w:eastAsia="Times New Roman" w:cstheme="minorHAnsi"/>
          <w:szCs w:val="24"/>
          <w:lang w:eastAsia="en-GB"/>
        </w:rPr>
        <w:t xml:space="preserve">the rise in </w:t>
      </w:r>
      <w:r w:rsidR="003916C7">
        <w:rPr>
          <w:rFonts w:eastAsia="Times New Roman" w:cstheme="minorHAnsi"/>
          <w:szCs w:val="24"/>
          <w:lang w:eastAsia="en-GB"/>
        </w:rPr>
        <w:t>taxation</w:t>
      </w:r>
      <w:r w:rsidR="003D7283">
        <w:rPr>
          <w:rFonts w:eastAsia="Times New Roman" w:cstheme="minorHAnsi"/>
          <w:szCs w:val="24"/>
          <w:lang w:eastAsia="en-GB"/>
        </w:rPr>
        <w:t xml:space="preserve"> </w:t>
      </w:r>
      <w:r w:rsidR="00355B8E">
        <w:rPr>
          <w:rFonts w:eastAsia="Times New Roman" w:cstheme="minorHAnsi"/>
          <w:szCs w:val="24"/>
          <w:lang w:eastAsia="en-GB"/>
        </w:rPr>
        <w:t>and</w:t>
      </w:r>
      <w:r w:rsidR="003D7283">
        <w:rPr>
          <w:rFonts w:eastAsia="Times New Roman" w:cstheme="minorHAnsi"/>
          <w:szCs w:val="24"/>
          <w:lang w:eastAsia="en-GB"/>
        </w:rPr>
        <w:t xml:space="preserve"> </w:t>
      </w:r>
      <w:r w:rsidR="008B6BF8">
        <w:rPr>
          <w:rFonts w:eastAsia="Times New Roman" w:cstheme="minorHAnsi"/>
          <w:szCs w:val="24"/>
          <w:lang w:eastAsia="en-GB"/>
        </w:rPr>
        <w:t>cost of goods</w:t>
      </w:r>
      <w:r w:rsidR="00B42994">
        <w:rPr>
          <w:rFonts w:eastAsia="Times New Roman" w:cstheme="minorHAnsi"/>
          <w:szCs w:val="24"/>
          <w:lang w:eastAsia="en-GB"/>
        </w:rPr>
        <w:t xml:space="preserve">, </w:t>
      </w:r>
      <w:r w:rsidR="002A0594">
        <w:rPr>
          <w:rFonts w:eastAsia="Times New Roman" w:cstheme="minorHAnsi"/>
          <w:szCs w:val="24"/>
          <w:lang w:eastAsia="en-GB"/>
        </w:rPr>
        <w:t>services</w:t>
      </w:r>
      <w:r w:rsidR="00B42994">
        <w:rPr>
          <w:rFonts w:eastAsia="Times New Roman" w:cstheme="minorHAnsi"/>
          <w:szCs w:val="24"/>
          <w:lang w:eastAsia="en-GB"/>
        </w:rPr>
        <w:t xml:space="preserve"> and</w:t>
      </w:r>
      <w:r w:rsidR="002A0594">
        <w:rPr>
          <w:rFonts w:eastAsia="Times New Roman" w:cstheme="minorHAnsi"/>
          <w:szCs w:val="24"/>
          <w:lang w:eastAsia="en-GB"/>
        </w:rPr>
        <w:t xml:space="preserve"> </w:t>
      </w:r>
      <w:r w:rsidR="003D7283">
        <w:rPr>
          <w:rFonts w:eastAsia="Times New Roman" w:cstheme="minorHAnsi"/>
          <w:szCs w:val="24"/>
          <w:lang w:eastAsia="en-GB"/>
        </w:rPr>
        <w:t>inflation</w:t>
      </w:r>
      <w:r w:rsidR="000264A5">
        <w:rPr>
          <w:rFonts w:eastAsia="Times New Roman" w:cstheme="minorHAnsi"/>
          <w:szCs w:val="24"/>
          <w:lang w:eastAsia="en-GB"/>
        </w:rPr>
        <w:t xml:space="preserve"> </w:t>
      </w:r>
      <w:r w:rsidR="00D12038">
        <w:rPr>
          <w:rFonts w:eastAsia="Times New Roman" w:cstheme="minorHAnsi"/>
          <w:szCs w:val="24"/>
          <w:lang w:eastAsia="en-GB"/>
        </w:rPr>
        <w:t xml:space="preserve">at </w:t>
      </w:r>
      <w:r w:rsidR="008874C6">
        <w:rPr>
          <w:rFonts w:eastAsia="Times New Roman" w:cstheme="minorHAnsi"/>
          <w:szCs w:val="24"/>
          <w:lang w:eastAsia="en-GB"/>
        </w:rPr>
        <w:t xml:space="preserve">the </w:t>
      </w:r>
      <w:r w:rsidR="00D12038">
        <w:rPr>
          <w:rFonts w:eastAsia="Times New Roman" w:cstheme="minorHAnsi"/>
          <w:szCs w:val="24"/>
          <w:lang w:eastAsia="en-GB"/>
        </w:rPr>
        <w:t xml:space="preserve">highest in </w:t>
      </w:r>
      <w:r w:rsidR="00907C8B">
        <w:rPr>
          <w:rFonts w:eastAsia="Times New Roman" w:cstheme="minorHAnsi"/>
          <w:szCs w:val="24"/>
          <w:lang w:eastAsia="en-GB"/>
        </w:rPr>
        <w:t>five decades</w:t>
      </w:r>
      <w:r w:rsidR="00B42E72">
        <w:rPr>
          <w:rFonts w:eastAsia="Times New Roman" w:cstheme="minorHAnsi"/>
          <w:szCs w:val="24"/>
          <w:lang w:eastAsia="en-GB"/>
        </w:rPr>
        <w:t>. S</w:t>
      </w:r>
      <w:r w:rsidR="00EF1AEF">
        <w:rPr>
          <w:rFonts w:eastAsia="Times New Roman" w:cstheme="minorHAnsi"/>
          <w:szCs w:val="24"/>
          <w:lang w:eastAsia="en-GB"/>
        </w:rPr>
        <w:t xml:space="preserve">ome small </w:t>
      </w:r>
      <w:r w:rsidR="00E2617C">
        <w:rPr>
          <w:rFonts w:eastAsia="Times New Roman" w:cstheme="minorHAnsi"/>
          <w:szCs w:val="24"/>
          <w:lang w:eastAsia="en-GB"/>
        </w:rPr>
        <w:t xml:space="preserve">firms </w:t>
      </w:r>
      <w:r w:rsidR="00DD752C">
        <w:rPr>
          <w:rFonts w:eastAsia="Times New Roman" w:cstheme="minorHAnsi"/>
          <w:szCs w:val="24"/>
          <w:lang w:eastAsia="en-GB"/>
        </w:rPr>
        <w:t>found it difficult to stay</w:t>
      </w:r>
      <w:r w:rsidR="00795DFB">
        <w:rPr>
          <w:rFonts w:eastAsia="Times New Roman" w:cstheme="minorHAnsi"/>
          <w:szCs w:val="24"/>
          <w:lang w:eastAsia="en-GB"/>
        </w:rPr>
        <w:t xml:space="preserve"> in business</w:t>
      </w:r>
      <w:r w:rsidR="00942D55">
        <w:rPr>
          <w:rFonts w:eastAsia="Times New Roman" w:cstheme="minorHAnsi"/>
          <w:szCs w:val="24"/>
          <w:lang w:eastAsia="en-GB"/>
        </w:rPr>
        <w:t xml:space="preserve"> </w:t>
      </w:r>
      <w:r w:rsidR="00B16505">
        <w:rPr>
          <w:rFonts w:eastAsia="Times New Roman" w:cstheme="minorHAnsi"/>
          <w:szCs w:val="24"/>
          <w:lang w:eastAsia="en-GB"/>
        </w:rPr>
        <w:t>(Hade</w:t>
      </w:r>
      <w:r w:rsidR="009134AB">
        <w:rPr>
          <w:rFonts w:eastAsia="Times New Roman" w:cstheme="minorHAnsi"/>
          <w:szCs w:val="24"/>
          <w:lang w:eastAsia="en-GB"/>
        </w:rPr>
        <w:t>,</w:t>
      </w:r>
      <w:r w:rsidR="00B16505">
        <w:rPr>
          <w:rFonts w:eastAsia="Times New Roman" w:cstheme="minorHAnsi"/>
          <w:szCs w:val="24"/>
          <w:lang w:eastAsia="en-GB"/>
        </w:rPr>
        <w:t xml:space="preserve"> 2019). </w:t>
      </w:r>
      <w:r w:rsidR="001F24AA">
        <w:rPr>
          <w:rFonts w:eastAsia="Times New Roman" w:cstheme="minorHAnsi"/>
          <w:szCs w:val="24"/>
          <w:lang w:eastAsia="en-GB"/>
        </w:rPr>
        <w:t xml:space="preserve"> </w:t>
      </w:r>
      <w:r w:rsidR="00EC6373">
        <w:rPr>
          <w:rFonts w:eastAsia="Times New Roman" w:cstheme="minorHAnsi"/>
          <w:szCs w:val="24"/>
          <w:lang w:eastAsia="en-GB"/>
        </w:rPr>
        <w:t xml:space="preserve"> </w:t>
      </w:r>
    </w:p>
    <w:p w14:paraId="47649EAE" w14:textId="77777777" w:rsidR="00CC5B98" w:rsidRDefault="00CC5B98" w:rsidP="0048137E">
      <w:pPr>
        <w:spacing w:after="0" w:line="360" w:lineRule="auto"/>
        <w:jc w:val="both"/>
        <w:rPr>
          <w:rFonts w:eastAsia="Times New Roman" w:cstheme="minorHAnsi"/>
          <w:szCs w:val="24"/>
          <w:lang w:eastAsia="en-GB"/>
        </w:rPr>
      </w:pPr>
    </w:p>
    <w:p w14:paraId="60A7EAB0" w14:textId="3911B27E" w:rsidR="00E43A4C" w:rsidRPr="0048137E" w:rsidRDefault="005C0F3C" w:rsidP="0048137E">
      <w:pPr>
        <w:spacing w:after="0" w:line="360" w:lineRule="auto"/>
        <w:jc w:val="both"/>
        <w:rPr>
          <w:rFonts w:eastAsia="Times New Roman" w:cstheme="minorHAnsi"/>
          <w:szCs w:val="24"/>
          <w:lang w:eastAsia="en-GB"/>
        </w:rPr>
      </w:pPr>
      <w:r w:rsidRPr="0048137E">
        <w:rPr>
          <w:rFonts w:eastAsia="Times New Roman" w:cstheme="minorHAnsi"/>
          <w:szCs w:val="24"/>
          <w:lang w:eastAsia="en-GB"/>
        </w:rPr>
        <w:t>Wheelan</w:t>
      </w:r>
      <w:r w:rsidR="009134AB">
        <w:rPr>
          <w:rFonts w:eastAsia="Times New Roman" w:cstheme="minorHAnsi"/>
          <w:szCs w:val="24"/>
          <w:lang w:eastAsia="en-GB"/>
        </w:rPr>
        <w:t>,</w:t>
      </w:r>
      <w:r w:rsidR="00275CD4" w:rsidRPr="0048137E">
        <w:rPr>
          <w:rFonts w:eastAsia="Times New Roman" w:cstheme="minorHAnsi"/>
          <w:szCs w:val="24"/>
          <w:lang w:eastAsia="en-GB"/>
        </w:rPr>
        <w:t xml:space="preserve"> </w:t>
      </w:r>
      <w:r w:rsidR="00E43A4C" w:rsidRPr="0048137E">
        <w:rPr>
          <w:rFonts w:eastAsia="Times New Roman" w:cstheme="minorHAnsi"/>
          <w:szCs w:val="24"/>
          <w:lang w:eastAsia="en-GB"/>
        </w:rPr>
        <w:t>(2017)</w:t>
      </w:r>
      <w:r w:rsidR="00275CD4" w:rsidRPr="0048137E">
        <w:rPr>
          <w:rFonts w:eastAsia="Times New Roman" w:cstheme="minorHAnsi"/>
          <w:szCs w:val="24"/>
          <w:lang w:eastAsia="en-GB"/>
        </w:rPr>
        <w:t xml:space="preserve"> </w:t>
      </w:r>
      <w:r w:rsidR="002259B0">
        <w:rPr>
          <w:rFonts w:eastAsia="Times New Roman" w:cstheme="minorHAnsi"/>
          <w:szCs w:val="24"/>
          <w:lang w:eastAsia="en-GB"/>
        </w:rPr>
        <w:t>states</w:t>
      </w:r>
      <w:r w:rsidR="00FF61EC" w:rsidRPr="0048137E">
        <w:rPr>
          <w:rFonts w:eastAsia="Times New Roman" w:cstheme="minorHAnsi"/>
          <w:szCs w:val="24"/>
          <w:lang w:eastAsia="en-GB"/>
        </w:rPr>
        <w:t xml:space="preserve"> that </w:t>
      </w:r>
      <w:r w:rsidR="00E43A4C" w:rsidRPr="0048137E">
        <w:rPr>
          <w:rFonts w:eastAsia="Times New Roman" w:cstheme="minorHAnsi"/>
          <w:szCs w:val="24"/>
          <w:lang w:eastAsia="en-GB"/>
        </w:rPr>
        <w:t xml:space="preserve">comprehending the financial ratios </w:t>
      </w:r>
      <w:r w:rsidR="00FF61EC" w:rsidRPr="0048137E">
        <w:rPr>
          <w:rFonts w:eastAsia="Times New Roman" w:cstheme="minorHAnsi"/>
          <w:szCs w:val="24"/>
          <w:lang w:eastAsia="en-GB"/>
        </w:rPr>
        <w:t xml:space="preserve">works by </w:t>
      </w:r>
      <w:r w:rsidR="00E43A4C" w:rsidRPr="0048137E">
        <w:rPr>
          <w:rFonts w:eastAsia="Times New Roman" w:cstheme="minorHAnsi"/>
          <w:szCs w:val="24"/>
          <w:lang w:eastAsia="en-GB"/>
        </w:rPr>
        <w:t>identif</w:t>
      </w:r>
      <w:r w:rsidR="00FF61EC" w:rsidRPr="0048137E">
        <w:rPr>
          <w:rFonts w:eastAsia="Times New Roman" w:cstheme="minorHAnsi"/>
          <w:szCs w:val="24"/>
          <w:lang w:eastAsia="en-GB"/>
        </w:rPr>
        <w:t>ying</w:t>
      </w:r>
      <w:r w:rsidR="00E43A4C" w:rsidRPr="0048137E">
        <w:rPr>
          <w:rFonts w:eastAsia="Times New Roman" w:cstheme="minorHAnsi"/>
          <w:szCs w:val="24"/>
          <w:lang w:eastAsia="en-GB"/>
        </w:rPr>
        <w:t xml:space="preserve"> and collat</w:t>
      </w:r>
      <w:r w:rsidR="00FF61EC" w:rsidRPr="0048137E">
        <w:rPr>
          <w:rFonts w:eastAsia="Times New Roman" w:cstheme="minorHAnsi"/>
          <w:szCs w:val="24"/>
          <w:lang w:eastAsia="en-GB"/>
        </w:rPr>
        <w:t>ing</w:t>
      </w:r>
      <w:r w:rsidR="00E43A4C" w:rsidRPr="0048137E">
        <w:rPr>
          <w:rFonts w:eastAsia="Times New Roman" w:cstheme="minorHAnsi"/>
          <w:szCs w:val="24"/>
          <w:lang w:eastAsia="en-GB"/>
        </w:rPr>
        <w:t xml:space="preserve"> the financial data calculated</w:t>
      </w:r>
      <w:r w:rsidR="00FF61EC" w:rsidRPr="0048137E">
        <w:rPr>
          <w:rFonts w:eastAsia="Times New Roman" w:cstheme="minorHAnsi"/>
          <w:szCs w:val="24"/>
          <w:lang w:eastAsia="en-GB"/>
        </w:rPr>
        <w:t xml:space="preserve"> </w:t>
      </w:r>
      <w:r w:rsidR="00E43A4C" w:rsidRPr="0048137E">
        <w:rPr>
          <w:rFonts w:eastAsia="Times New Roman" w:cstheme="minorHAnsi"/>
          <w:szCs w:val="24"/>
          <w:lang w:eastAsia="en-GB"/>
        </w:rPr>
        <w:t>over</w:t>
      </w:r>
      <w:r w:rsidR="00FF61EC" w:rsidRPr="0048137E">
        <w:rPr>
          <w:rFonts w:eastAsia="Times New Roman" w:cstheme="minorHAnsi"/>
          <w:szCs w:val="24"/>
          <w:lang w:eastAsia="en-GB"/>
        </w:rPr>
        <w:t xml:space="preserve"> </w:t>
      </w:r>
      <w:r w:rsidR="00E43A4C" w:rsidRPr="0048137E">
        <w:rPr>
          <w:rFonts w:eastAsia="Times New Roman" w:cstheme="minorHAnsi"/>
          <w:szCs w:val="24"/>
          <w:lang w:eastAsia="en-GB"/>
        </w:rPr>
        <w:t>time</w:t>
      </w:r>
      <w:r w:rsidR="00FF61EC" w:rsidRPr="0048137E">
        <w:rPr>
          <w:rFonts w:eastAsia="Times New Roman" w:cstheme="minorHAnsi"/>
          <w:szCs w:val="24"/>
          <w:lang w:eastAsia="en-GB"/>
        </w:rPr>
        <w:t xml:space="preserve">. The </w:t>
      </w:r>
      <w:r w:rsidR="00BF0DC1">
        <w:rPr>
          <w:rFonts w:eastAsia="Times New Roman" w:cstheme="minorHAnsi"/>
          <w:szCs w:val="24"/>
          <w:lang w:eastAsia="en-GB"/>
        </w:rPr>
        <w:t>accounting balance sheet consists of income</w:t>
      </w:r>
      <w:r w:rsidR="00E43A4C" w:rsidRPr="0048137E">
        <w:rPr>
          <w:rFonts w:eastAsia="Times New Roman" w:cstheme="minorHAnsi"/>
          <w:szCs w:val="24"/>
          <w:lang w:eastAsia="en-GB"/>
        </w:rPr>
        <w:t xml:space="preserve"> and cash flow statement</w:t>
      </w:r>
      <w:r w:rsidR="00FF61EC" w:rsidRPr="0048137E">
        <w:rPr>
          <w:rFonts w:eastAsia="Times New Roman" w:cstheme="minorHAnsi"/>
          <w:szCs w:val="24"/>
          <w:lang w:eastAsia="en-GB"/>
        </w:rPr>
        <w:t xml:space="preserve">s to assess the </w:t>
      </w:r>
      <w:r w:rsidR="00E43A4C" w:rsidRPr="0048137E">
        <w:rPr>
          <w:rFonts w:eastAsia="Times New Roman" w:cstheme="minorHAnsi"/>
          <w:szCs w:val="24"/>
          <w:lang w:eastAsia="en-GB"/>
        </w:rPr>
        <w:t xml:space="preserve">significance of the company portfolio, financial </w:t>
      </w:r>
      <w:r w:rsidR="00FF61EC" w:rsidRPr="0048137E">
        <w:rPr>
          <w:rFonts w:eastAsia="Times New Roman" w:cstheme="minorHAnsi"/>
          <w:szCs w:val="24"/>
          <w:lang w:eastAsia="en-GB"/>
        </w:rPr>
        <w:t>performance,</w:t>
      </w:r>
      <w:r w:rsidR="00E43A4C" w:rsidRPr="0048137E">
        <w:rPr>
          <w:rFonts w:eastAsia="Times New Roman" w:cstheme="minorHAnsi"/>
          <w:szCs w:val="24"/>
          <w:lang w:eastAsia="en-GB"/>
        </w:rPr>
        <w:t xml:space="preserve"> and </w:t>
      </w:r>
      <w:r w:rsidR="00FF61EC" w:rsidRPr="0048137E">
        <w:rPr>
          <w:rFonts w:eastAsia="Times New Roman" w:cstheme="minorHAnsi"/>
          <w:szCs w:val="24"/>
          <w:lang w:eastAsia="en-GB"/>
        </w:rPr>
        <w:t>the potential</w:t>
      </w:r>
      <w:r w:rsidR="00E43A4C" w:rsidRPr="0048137E">
        <w:rPr>
          <w:rFonts w:eastAsia="Times New Roman" w:cstheme="minorHAnsi"/>
          <w:szCs w:val="24"/>
          <w:lang w:eastAsia="en-GB"/>
        </w:rPr>
        <w:t xml:space="preserve"> impact </w:t>
      </w:r>
      <w:r w:rsidR="00274C28">
        <w:rPr>
          <w:rFonts w:eastAsia="Times New Roman" w:cstheme="minorHAnsi"/>
          <w:szCs w:val="24"/>
          <w:lang w:eastAsia="en-GB"/>
        </w:rPr>
        <w:t xml:space="preserve">of </w:t>
      </w:r>
      <w:r w:rsidR="00E43A4C" w:rsidRPr="0048137E">
        <w:rPr>
          <w:rFonts w:eastAsia="Times New Roman" w:cstheme="minorHAnsi"/>
          <w:szCs w:val="24"/>
          <w:lang w:eastAsia="en-GB"/>
        </w:rPr>
        <w:t>the company</w:t>
      </w:r>
      <w:r w:rsidR="0049371E">
        <w:rPr>
          <w:rFonts w:eastAsia="Times New Roman" w:cstheme="minorHAnsi"/>
          <w:szCs w:val="24"/>
          <w:lang w:eastAsia="en-GB"/>
        </w:rPr>
        <w:t>'</w:t>
      </w:r>
      <w:r w:rsidR="00FF61EC" w:rsidRPr="0048137E">
        <w:rPr>
          <w:rFonts w:eastAsia="Times New Roman" w:cstheme="minorHAnsi"/>
          <w:szCs w:val="24"/>
          <w:lang w:eastAsia="en-GB"/>
        </w:rPr>
        <w:t>s</w:t>
      </w:r>
      <w:r w:rsidR="00E43A4C" w:rsidRPr="0048137E">
        <w:rPr>
          <w:rFonts w:eastAsia="Times New Roman" w:cstheme="minorHAnsi"/>
          <w:szCs w:val="24"/>
          <w:lang w:eastAsia="en-GB"/>
        </w:rPr>
        <w:t xml:space="preserve"> prudent assets</w:t>
      </w:r>
      <w:r w:rsidR="00FF61EC" w:rsidRPr="0048137E">
        <w:rPr>
          <w:rFonts w:eastAsia="Times New Roman" w:cstheme="minorHAnsi"/>
          <w:szCs w:val="24"/>
          <w:lang w:eastAsia="en-GB"/>
        </w:rPr>
        <w:t>.</w:t>
      </w:r>
      <w:r w:rsidR="00E43A4C" w:rsidRPr="0048137E">
        <w:rPr>
          <w:rFonts w:eastAsia="Times New Roman" w:cstheme="minorHAnsi"/>
          <w:szCs w:val="24"/>
          <w:lang w:eastAsia="en-GB"/>
        </w:rPr>
        <w:t xml:space="preserve"> </w:t>
      </w:r>
      <w:r w:rsidR="00FF61EC" w:rsidRPr="0048137E">
        <w:rPr>
          <w:rFonts w:eastAsia="Times New Roman" w:cstheme="minorHAnsi"/>
          <w:szCs w:val="24"/>
          <w:lang w:eastAsia="en-GB"/>
        </w:rPr>
        <w:t>M</w:t>
      </w:r>
      <w:r w:rsidR="00E43A4C" w:rsidRPr="0048137E">
        <w:rPr>
          <w:rFonts w:eastAsia="Times New Roman" w:cstheme="minorHAnsi"/>
          <w:szCs w:val="24"/>
          <w:lang w:eastAsia="en-GB"/>
        </w:rPr>
        <w:t xml:space="preserve">anaging assets efficiently </w:t>
      </w:r>
      <w:r w:rsidR="00BF0DC1">
        <w:rPr>
          <w:rFonts w:eastAsia="Times New Roman" w:cstheme="minorHAnsi"/>
          <w:szCs w:val="24"/>
          <w:lang w:eastAsia="en-GB"/>
        </w:rPr>
        <w:t>adds value and helps</w:t>
      </w:r>
      <w:r w:rsidR="00FF61EC" w:rsidRPr="0048137E">
        <w:rPr>
          <w:rFonts w:eastAsia="Times New Roman" w:cstheme="minorHAnsi"/>
          <w:szCs w:val="24"/>
          <w:lang w:eastAsia="en-GB"/>
        </w:rPr>
        <w:t xml:space="preserve"> </w:t>
      </w:r>
      <w:r w:rsidR="00E43A4C" w:rsidRPr="0048137E">
        <w:rPr>
          <w:rFonts w:eastAsia="Times New Roman" w:cstheme="minorHAnsi"/>
          <w:szCs w:val="24"/>
          <w:lang w:eastAsia="en-GB"/>
        </w:rPr>
        <w:t xml:space="preserve">maintain </w:t>
      </w:r>
      <w:r w:rsidR="00274C28">
        <w:rPr>
          <w:rFonts w:eastAsia="Times New Roman" w:cstheme="minorHAnsi"/>
          <w:szCs w:val="24"/>
          <w:lang w:eastAsia="en-GB"/>
        </w:rPr>
        <w:t xml:space="preserve">a </w:t>
      </w:r>
      <w:r w:rsidR="00E43A4C" w:rsidRPr="0048137E">
        <w:rPr>
          <w:rFonts w:eastAsia="Times New Roman" w:cstheme="minorHAnsi"/>
          <w:szCs w:val="24"/>
          <w:lang w:eastAsia="en-GB"/>
        </w:rPr>
        <w:t>competitive advantage</w:t>
      </w:r>
      <w:r w:rsidR="00FF61EC" w:rsidRPr="0048137E">
        <w:rPr>
          <w:rFonts w:eastAsia="Times New Roman" w:cstheme="minorHAnsi"/>
          <w:szCs w:val="24"/>
          <w:lang w:eastAsia="en-GB"/>
        </w:rPr>
        <w:t>.</w:t>
      </w:r>
      <w:r w:rsidR="00E43A4C" w:rsidRPr="0048137E">
        <w:rPr>
          <w:rFonts w:eastAsia="Times New Roman" w:cstheme="minorHAnsi"/>
          <w:szCs w:val="24"/>
          <w:lang w:eastAsia="en-GB"/>
        </w:rPr>
        <w:t xml:space="preserve"> </w:t>
      </w:r>
      <w:r w:rsidR="0024330E" w:rsidRPr="0048137E">
        <w:rPr>
          <w:rFonts w:eastAsia="Times New Roman" w:cstheme="minorHAnsi"/>
          <w:szCs w:val="24"/>
          <w:lang w:eastAsia="en-GB"/>
        </w:rPr>
        <w:t>With</w:t>
      </w:r>
      <w:r w:rsidR="00E43A4C" w:rsidRPr="0048137E">
        <w:rPr>
          <w:rFonts w:eastAsia="Times New Roman" w:cstheme="minorHAnsi"/>
          <w:szCs w:val="24"/>
          <w:lang w:eastAsia="en-GB"/>
        </w:rPr>
        <w:t xml:space="preserve"> </w:t>
      </w:r>
      <w:r w:rsidR="00274C28">
        <w:rPr>
          <w:rFonts w:eastAsia="Times New Roman" w:cstheme="minorHAnsi"/>
          <w:szCs w:val="24"/>
          <w:lang w:eastAsia="en-GB"/>
        </w:rPr>
        <w:t>performance</w:t>
      </w:r>
      <w:r w:rsidR="00E43A4C" w:rsidRPr="0048137E">
        <w:rPr>
          <w:rFonts w:eastAsia="Times New Roman" w:cstheme="minorHAnsi"/>
          <w:szCs w:val="24"/>
          <w:lang w:eastAsia="en-GB"/>
        </w:rPr>
        <w:t xml:space="preserve"> evaluation, </w:t>
      </w:r>
      <w:r w:rsidR="0024330E" w:rsidRPr="0048137E">
        <w:rPr>
          <w:rFonts w:eastAsia="Times New Roman" w:cstheme="minorHAnsi"/>
          <w:szCs w:val="24"/>
          <w:lang w:eastAsia="en-GB"/>
        </w:rPr>
        <w:t xml:space="preserve">ratio analysis </w:t>
      </w:r>
      <w:r w:rsidR="00E43A4C" w:rsidRPr="0048137E">
        <w:rPr>
          <w:rFonts w:eastAsia="Times New Roman" w:cstheme="minorHAnsi"/>
          <w:szCs w:val="24"/>
          <w:lang w:eastAsia="en-GB"/>
        </w:rPr>
        <w:t>measure</w:t>
      </w:r>
      <w:r w:rsidR="0024330E" w:rsidRPr="0048137E">
        <w:rPr>
          <w:rFonts w:eastAsia="Times New Roman" w:cstheme="minorHAnsi"/>
          <w:szCs w:val="24"/>
          <w:lang w:eastAsia="en-GB"/>
        </w:rPr>
        <w:t>s</w:t>
      </w:r>
      <w:r w:rsidR="00E43A4C" w:rsidRPr="0048137E">
        <w:rPr>
          <w:rFonts w:eastAsia="Times New Roman" w:cstheme="minorHAnsi"/>
          <w:szCs w:val="24"/>
          <w:lang w:eastAsia="en-GB"/>
        </w:rPr>
        <w:t xml:space="preserve"> different segments of the economy that </w:t>
      </w:r>
      <w:r w:rsidR="0024330E" w:rsidRPr="0048137E">
        <w:rPr>
          <w:rFonts w:eastAsia="Times New Roman" w:cstheme="minorHAnsi"/>
          <w:szCs w:val="24"/>
          <w:lang w:eastAsia="en-GB"/>
        </w:rPr>
        <w:t xml:space="preserve">are </w:t>
      </w:r>
      <w:r w:rsidR="00E43A4C" w:rsidRPr="0048137E">
        <w:rPr>
          <w:rFonts w:eastAsia="Times New Roman" w:cstheme="minorHAnsi"/>
          <w:szCs w:val="24"/>
          <w:lang w:eastAsia="en-GB"/>
        </w:rPr>
        <w:t>equable</w:t>
      </w:r>
      <w:r w:rsidR="0024330E" w:rsidRPr="0048137E">
        <w:rPr>
          <w:rFonts w:eastAsia="Times New Roman" w:cstheme="minorHAnsi"/>
          <w:szCs w:val="24"/>
          <w:lang w:eastAsia="en-GB"/>
        </w:rPr>
        <w:t xml:space="preserve"> within the</w:t>
      </w:r>
      <w:r w:rsidR="00E43A4C" w:rsidRPr="0048137E">
        <w:rPr>
          <w:rFonts w:eastAsia="Times New Roman" w:cstheme="minorHAnsi"/>
          <w:szCs w:val="24"/>
          <w:lang w:eastAsia="en-GB"/>
        </w:rPr>
        <w:t xml:space="preserve"> hospitality sector</w:t>
      </w:r>
      <w:r w:rsidR="00BF0DC1">
        <w:rPr>
          <w:rFonts w:eastAsia="Times New Roman" w:cstheme="minorHAnsi"/>
          <w:szCs w:val="24"/>
          <w:lang w:eastAsia="en-GB"/>
        </w:rPr>
        <w:t xml:space="preserve"> and interprets</w:t>
      </w:r>
      <w:r w:rsidR="0024330E" w:rsidRPr="0048137E">
        <w:rPr>
          <w:rFonts w:eastAsia="Times New Roman" w:cstheme="minorHAnsi"/>
          <w:szCs w:val="24"/>
          <w:lang w:eastAsia="en-GB"/>
        </w:rPr>
        <w:t xml:space="preserve"> the </w:t>
      </w:r>
      <w:r w:rsidR="00E43A4C" w:rsidRPr="0048137E">
        <w:rPr>
          <w:rFonts w:eastAsia="Times New Roman" w:cstheme="minorHAnsi"/>
          <w:szCs w:val="24"/>
          <w:lang w:eastAsia="en-GB"/>
        </w:rPr>
        <w:t>financial outcome</w:t>
      </w:r>
      <w:r w:rsidR="0024330E" w:rsidRPr="0048137E">
        <w:rPr>
          <w:rFonts w:eastAsia="Times New Roman" w:cstheme="minorHAnsi"/>
          <w:szCs w:val="24"/>
          <w:lang w:eastAsia="en-GB"/>
        </w:rPr>
        <w:t>s</w:t>
      </w:r>
      <w:r w:rsidR="00E43A4C" w:rsidRPr="0048137E">
        <w:rPr>
          <w:rFonts w:eastAsia="Times New Roman" w:cstheme="minorHAnsi"/>
          <w:szCs w:val="24"/>
          <w:lang w:eastAsia="en-GB"/>
        </w:rPr>
        <w:t xml:space="preserve"> to apprehend the firm</w:t>
      </w:r>
      <w:r w:rsidR="0049371E">
        <w:rPr>
          <w:rFonts w:eastAsia="Times New Roman" w:cstheme="minorHAnsi"/>
          <w:szCs w:val="24"/>
          <w:lang w:eastAsia="en-GB"/>
        </w:rPr>
        <w:t>'</w:t>
      </w:r>
      <w:r w:rsidR="0024330E" w:rsidRPr="0048137E">
        <w:rPr>
          <w:rFonts w:eastAsia="Times New Roman" w:cstheme="minorHAnsi"/>
          <w:szCs w:val="24"/>
          <w:lang w:eastAsia="en-GB"/>
        </w:rPr>
        <w:t>s</w:t>
      </w:r>
      <w:r w:rsidR="00E43A4C" w:rsidRPr="0048137E">
        <w:rPr>
          <w:rFonts w:eastAsia="Times New Roman" w:cstheme="minorHAnsi"/>
          <w:szCs w:val="24"/>
          <w:lang w:eastAsia="en-GB"/>
        </w:rPr>
        <w:t xml:space="preserve"> growth</w:t>
      </w:r>
      <w:r w:rsidR="0024330E" w:rsidRPr="0048137E">
        <w:rPr>
          <w:rFonts w:eastAsia="Times New Roman" w:cstheme="minorHAnsi"/>
          <w:szCs w:val="24"/>
          <w:lang w:eastAsia="en-GB"/>
        </w:rPr>
        <w:t xml:space="preserve"> and development, </w:t>
      </w:r>
      <w:r w:rsidR="00E43A4C" w:rsidRPr="0048137E">
        <w:rPr>
          <w:rFonts w:eastAsia="Times New Roman" w:cstheme="minorHAnsi"/>
          <w:szCs w:val="24"/>
          <w:lang w:eastAsia="en-GB"/>
        </w:rPr>
        <w:t>positive influence</w:t>
      </w:r>
      <w:r w:rsidR="0024330E" w:rsidRPr="0048137E">
        <w:rPr>
          <w:rFonts w:eastAsia="Times New Roman" w:cstheme="minorHAnsi"/>
          <w:szCs w:val="24"/>
          <w:lang w:eastAsia="en-GB"/>
        </w:rPr>
        <w:t xml:space="preserve"> within the sector</w:t>
      </w:r>
      <w:r w:rsidR="00E43A4C" w:rsidRPr="0048137E">
        <w:rPr>
          <w:rFonts w:eastAsia="Times New Roman" w:cstheme="minorHAnsi"/>
          <w:szCs w:val="24"/>
          <w:lang w:eastAsia="en-GB"/>
        </w:rPr>
        <w:t xml:space="preserve">, </w:t>
      </w:r>
      <w:r w:rsidR="00162004" w:rsidRPr="0048137E">
        <w:rPr>
          <w:rFonts w:eastAsia="Times New Roman" w:cstheme="minorHAnsi"/>
          <w:szCs w:val="24"/>
          <w:lang w:eastAsia="en-GB"/>
        </w:rPr>
        <w:t>innovation,</w:t>
      </w:r>
      <w:r w:rsidR="0024330E" w:rsidRPr="0048137E">
        <w:rPr>
          <w:rFonts w:eastAsia="Times New Roman" w:cstheme="minorHAnsi"/>
          <w:szCs w:val="24"/>
          <w:lang w:eastAsia="en-GB"/>
        </w:rPr>
        <w:t xml:space="preserve"> and ability to </w:t>
      </w:r>
      <w:r w:rsidR="00E43A4C" w:rsidRPr="0048137E">
        <w:rPr>
          <w:rFonts w:eastAsia="Times New Roman" w:cstheme="minorHAnsi"/>
          <w:szCs w:val="24"/>
          <w:lang w:eastAsia="en-GB"/>
        </w:rPr>
        <w:t>adapt to different</w:t>
      </w:r>
      <w:r w:rsidR="0024330E" w:rsidRPr="0048137E">
        <w:rPr>
          <w:rFonts w:eastAsia="Times New Roman" w:cstheme="minorHAnsi"/>
          <w:szCs w:val="24"/>
          <w:lang w:eastAsia="en-GB"/>
        </w:rPr>
        <w:t xml:space="preserve"> </w:t>
      </w:r>
      <w:r w:rsidR="00E43A4C" w:rsidRPr="0048137E">
        <w:rPr>
          <w:rFonts w:eastAsia="Times New Roman" w:cstheme="minorHAnsi"/>
          <w:szCs w:val="24"/>
          <w:lang w:eastAsia="en-GB"/>
        </w:rPr>
        <w:t>markets</w:t>
      </w:r>
      <w:r w:rsidR="00162004" w:rsidRPr="0048137E">
        <w:rPr>
          <w:rFonts w:eastAsia="Times New Roman" w:cstheme="minorHAnsi"/>
          <w:szCs w:val="24"/>
          <w:lang w:eastAsia="en-GB"/>
        </w:rPr>
        <w:t xml:space="preserve">. Ratio analysis has a significant relationship between the various items on the balance </w:t>
      </w:r>
      <w:r w:rsidR="00162004" w:rsidRPr="0048137E">
        <w:rPr>
          <w:rFonts w:eastAsia="Times New Roman" w:cstheme="minorHAnsi"/>
          <w:szCs w:val="24"/>
          <w:lang w:eastAsia="en-GB"/>
        </w:rPr>
        <w:lastRenderedPageBreak/>
        <w:t>sheet</w:t>
      </w:r>
      <w:r w:rsidR="00E936A8">
        <w:rPr>
          <w:rFonts w:eastAsia="Times New Roman" w:cstheme="minorHAnsi"/>
          <w:szCs w:val="24"/>
          <w:lang w:eastAsia="en-GB"/>
        </w:rPr>
        <w:t>,</w:t>
      </w:r>
      <w:r w:rsidR="00A12643" w:rsidRPr="0048137E">
        <w:rPr>
          <w:rFonts w:eastAsia="Times New Roman" w:cstheme="minorHAnsi"/>
          <w:szCs w:val="24"/>
          <w:lang w:eastAsia="en-GB"/>
        </w:rPr>
        <w:t xml:space="preserve"> such as </w:t>
      </w:r>
      <w:r w:rsidR="00162004" w:rsidRPr="0048137E">
        <w:rPr>
          <w:rFonts w:eastAsia="Times New Roman" w:cstheme="minorHAnsi"/>
          <w:szCs w:val="24"/>
          <w:lang w:eastAsia="en-GB"/>
        </w:rPr>
        <w:t>profit and loss</w:t>
      </w:r>
      <w:r w:rsidR="00A12643" w:rsidRPr="0048137E">
        <w:rPr>
          <w:rFonts w:eastAsia="Times New Roman" w:cstheme="minorHAnsi"/>
          <w:szCs w:val="24"/>
          <w:lang w:eastAsia="en-GB"/>
        </w:rPr>
        <w:t xml:space="preserve">, which </w:t>
      </w:r>
      <w:r w:rsidR="00162004" w:rsidRPr="0048137E">
        <w:rPr>
          <w:rFonts w:eastAsia="Times New Roman" w:cstheme="minorHAnsi"/>
          <w:szCs w:val="24"/>
          <w:lang w:eastAsia="en-GB"/>
        </w:rPr>
        <w:t>compar</w:t>
      </w:r>
      <w:r w:rsidR="00A12643" w:rsidRPr="0048137E">
        <w:rPr>
          <w:rFonts w:eastAsia="Times New Roman" w:cstheme="minorHAnsi"/>
          <w:szCs w:val="24"/>
          <w:lang w:eastAsia="en-GB"/>
        </w:rPr>
        <w:t>es</w:t>
      </w:r>
      <w:r w:rsidR="00162004" w:rsidRPr="0048137E">
        <w:rPr>
          <w:rFonts w:eastAsia="Times New Roman" w:cstheme="minorHAnsi"/>
          <w:szCs w:val="24"/>
          <w:lang w:eastAsia="en-GB"/>
        </w:rPr>
        <w:t xml:space="preserve"> base </w:t>
      </w:r>
      <w:r w:rsidR="00E936A8">
        <w:rPr>
          <w:rFonts w:eastAsia="Times New Roman" w:cstheme="minorHAnsi"/>
          <w:szCs w:val="24"/>
          <w:lang w:eastAsia="en-GB"/>
        </w:rPr>
        <w:t>years</w:t>
      </w:r>
      <w:r w:rsidR="0049371E">
        <w:rPr>
          <w:rFonts w:eastAsia="Times New Roman" w:cstheme="minorHAnsi"/>
          <w:szCs w:val="24"/>
          <w:lang w:eastAsia="en-GB"/>
        </w:rPr>
        <w:t>'</w:t>
      </w:r>
      <w:r w:rsidR="00162004" w:rsidRPr="0048137E">
        <w:rPr>
          <w:rFonts w:eastAsia="Times New Roman" w:cstheme="minorHAnsi"/>
          <w:szCs w:val="24"/>
          <w:lang w:eastAsia="en-GB"/>
        </w:rPr>
        <w:t xml:space="preserve"> figures from the current year</w:t>
      </w:r>
      <w:r w:rsidR="00A12643" w:rsidRPr="0048137E">
        <w:rPr>
          <w:rFonts w:eastAsia="Times New Roman" w:cstheme="minorHAnsi"/>
          <w:szCs w:val="24"/>
          <w:lang w:eastAsia="en-GB"/>
        </w:rPr>
        <w:t xml:space="preserve">. </w:t>
      </w:r>
    </w:p>
    <w:p w14:paraId="2977AC65" w14:textId="77777777" w:rsidR="00554C8F" w:rsidRPr="0048137E" w:rsidRDefault="00554C8F" w:rsidP="0048137E">
      <w:pPr>
        <w:spacing w:after="0" w:line="360" w:lineRule="auto"/>
        <w:jc w:val="both"/>
        <w:rPr>
          <w:rFonts w:eastAsia="Times New Roman" w:cstheme="minorHAnsi"/>
          <w:szCs w:val="24"/>
          <w:lang w:eastAsia="en-GB"/>
        </w:rPr>
      </w:pPr>
    </w:p>
    <w:p w14:paraId="1DF1B151" w14:textId="2F71B37E" w:rsidR="00554C8F" w:rsidRPr="0048137E" w:rsidRDefault="00554C8F" w:rsidP="0048137E">
      <w:pPr>
        <w:spacing w:after="0" w:line="360" w:lineRule="auto"/>
        <w:jc w:val="both"/>
        <w:rPr>
          <w:rFonts w:eastAsia="Times New Roman" w:cstheme="minorHAnsi"/>
          <w:szCs w:val="24"/>
          <w:lang w:eastAsia="en-GB"/>
        </w:rPr>
      </w:pPr>
      <w:r w:rsidRPr="0048137E">
        <w:rPr>
          <w:rFonts w:eastAsia="Times New Roman" w:cstheme="minorHAnsi"/>
          <w:szCs w:val="24"/>
          <w:lang w:eastAsia="en-GB"/>
        </w:rPr>
        <w:t>However, ratios alone only show weaknesses or strengths rather than define the causes. A deeper analysis of the business enterprise requires the relevant examination of the internal and external factors. Th</w:t>
      </w:r>
      <w:r w:rsidR="00D56A39">
        <w:rPr>
          <w:rFonts w:eastAsia="Times New Roman" w:cstheme="minorHAnsi"/>
          <w:szCs w:val="24"/>
          <w:lang w:eastAsia="en-GB"/>
        </w:rPr>
        <w:t>erefore</w:t>
      </w:r>
      <w:r w:rsidRPr="0048137E">
        <w:rPr>
          <w:rFonts w:eastAsia="Times New Roman" w:cstheme="minorHAnsi"/>
          <w:szCs w:val="24"/>
          <w:lang w:eastAsia="en-GB"/>
        </w:rPr>
        <w:t xml:space="preserve"> important information for the firm</w:t>
      </w:r>
      <w:r w:rsidR="0049371E">
        <w:rPr>
          <w:rFonts w:eastAsia="Times New Roman" w:cstheme="minorHAnsi"/>
          <w:szCs w:val="24"/>
          <w:lang w:eastAsia="en-GB"/>
        </w:rPr>
        <w:t>'</w:t>
      </w:r>
      <w:r w:rsidRPr="0048137E">
        <w:rPr>
          <w:rFonts w:eastAsia="Times New Roman" w:cstheme="minorHAnsi"/>
          <w:szCs w:val="24"/>
          <w:lang w:eastAsia="en-GB"/>
        </w:rPr>
        <w:t>s investors, shareholders, auditors, banks, and creditors, their interest in the company</w:t>
      </w:r>
      <w:r w:rsidR="0049371E">
        <w:rPr>
          <w:rFonts w:eastAsia="Times New Roman" w:cstheme="minorHAnsi"/>
          <w:szCs w:val="24"/>
          <w:lang w:eastAsia="en-GB"/>
        </w:rPr>
        <w:t>'</w:t>
      </w:r>
      <w:r w:rsidRPr="0048137E">
        <w:rPr>
          <w:rFonts w:eastAsia="Times New Roman" w:cstheme="minorHAnsi"/>
          <w:szCs w:val="24"/>
          <w:lang w:eastAsia="en-GB"/>
        </w:rPr>
        <w:t>s revenue and returns of their old investmen</w:t>
      </w:r>
      <w:r w:rsidR="005854AB">
        <w:rPr>
          <w:rFonts w:eastAsia="Times New Roman" w:cstheme="minorHAnsi"/>
          <w:szCs w:val="24"/>
          <w:lang w:eastAsia="en-GB"/>
        </w:rPr>
        <w:t xml:space="preserve">t. </w:t>
      </w:r>
      <w:r w:rsidRPr="0048137E">
        <w:rPr>
          <w:rFonts w:eastAsia="Times New Roman" w:cstheme="minorHAnsi"/>
          <w:szCs w:val="24"/>
          <w:lang w:eastAsia="en-GB"/>
        </w:rPr>
        <w:t> </w:t>
      </w:r>
    </w:p>
    <w:p w14:paraId="37F3C5A2" w14:textId="77777777" w:rsidR="00554C8F" w:rsidRPr="0048137E" w:rsidRDefault="00554C8F" w:rsidP="0048137E">
      <w:pPr>
        <w:spacing w:after="0" w:line="360" w:lineRule="auto"/>
        <w:jc w:val="both"/>
        <w:rPr>
          <w:rFonts w:eastAsia="Times New Roman" w:cstheme="minorHAnsi"/>
          <w:szCs w:val="24"/>
          <w:lang w:eastAsia="en-GB"/>
        </w:rPr>
      </w:pPr>
    </w:p>
    <w:p w14:paraId="30528D98" w14:textId="539AB7D5" w:rsidR="00E43A4C" w:rsidRPr="0048137E" w:rsidRDefault="00E43A4C" w:rsidP="0048137E">
      <w:pPr>
        <w:spacing w:after="0" w:line="360" w:lineRule="auto"/>
        <w:jc w:val="both"/>
        <w:rPr>
          <w:rFonts w:eastAsia="Times New Roman" w:cstheme="minorHAnsi"/>
          <w:szCs w:val="24"/>
          <w:lang w:eastAsia="en-GB"/>
        </w:rPr>
      </w:pPr>
      <w:r w:rsidRPr="0048137E">
        <w:rPr>
          <w:rFonts w:eastAsia="Times New Roman" w:cstheme="minorHAnsi"/>
          <w:szCs w:val="24"/>
          <w:lang w:eastAsia="en-GB"/>
        </w:rPr>
        <w:t>Atkinson</w:t>
      </w:r>
      <w:r w:rsidR="00E96E5F" w:rsidRPr="0048137E">
        <w:rPr>
          <w:rFonts w:eastAsia="Times New Roman" w:cstheme="minorHAnsi"/>
          <w:szCs w:val="24"/>
          <w:lang w:eastAsia="en-GB"/>
        </w:rPr>
        <w:t xml:space="preserve"> </w:t>
      </w:r>
      <w:r w:rsidR="00114FA1">
        <w:rPr>
          <w:rFonts w:eastAsia="Times New Roman" w:cstheme="minorHAnsi"/>
          <w:szCs w:val="24"/>
          <w:lang w:eastAsia="en-GB"/>
        </w:rPr>
        <w:t>and</w:t>
      </w:r>
      <w:r w:rsidR="00E96E5F" w:rsidRPr="0048137E">
        <w:rPr>
          <w:rFonts w:eastAsia="Times New Roman" w:cstheme="minorHAnsi"/>
          <w:szCs w:val="24"/>
          <w:lang w:eastAsia="en-GB"/>
        </w:rPr>
        <w:t xml:space="preserve"> B</w:t>
      </w:r>
      <w:r w:rsidRPr="0048137E">
        <w:rPr>
          <w:rFonts w:eastAsia="Times New Roman" w:cstheme="minorHAnsi"/>
          <w:szCs w:val="24"/>
          <w:lang w:eastAsia="en-GB"/>
        </w:rPr>
        <w:t>rown</w:t>
      </w:r>
      <w:r w:rsidR="00A651A4">
        <w:rPr>
          <w:rFonts w:eastAsia="Times New Roman" w:cstheme="minorHAnsi"/>
          <w:szCs w:val="24"/>
          <w:lang w:eastAsia="en-GB"/>
        </w:rPr>
        <w:t>,</w:t>
      </w:r>
      <w:r w:rsidRPr="0048137E">
        <w:rPr>
          <w:rFonts w:eastAsia="Times New Roman" w:cstheme="minorHAnsi"/>
          <w:szCs w:val="24"/>
          <w:lang w:eastAsia="en-GB"/>
        </w:rPr>
        <w:t xml:space="preserve"> (2001) argue that the figures for 2020 </w:t>
      </w:r>
      <w:r w:rsidR="00E96E5F" w:rsidRPr="0048137E">
        <w:rPr>
          <w:rFonts w:eastAsia="Times New Roman" w:cstheme="minorHAnsi"/>
          <w:szCs w:val="24"/>
          <w:lang w:eastAsia="en-GB"/>
        </w:rPr>
        <w:t xml:space="preserve">for Hilton Hotel were </w:t>
      </w:r>
      <w:r w:rsidRPr="0048137E">
        <w:rPr>
          <w:rFonts w:eastAsia="Times New Roman" w:cstheme="minorHAnsi"/>
          <w:szCs w:val="24"/>
          <w:lang w:eastAsia="en-GB"/>
        </w:rPr>
        <w:t>concerning</w:t>
      </w:r>
      <w:r w:rsidR="00E96E5F" w:rsidRPr="0048137E">
        <w:rPr>
          <w:rFonts w:eastAsia="Times New Roman" w:cstheme="minorHAnsi"/>
          <w:szCs w:val="24"/>
          <w:lang w:eastAsia="en-GB"/>
        </w:rPr>
        <w:t>.</w:t>
      </w:r>
      <w:r w:rsidRPr="0048137E">
        <w:rPr>
          <w:rFonts w:eastAsia="Times New Roman" w:cstheme="minorHAnsi"/>
          <w:szCs w:val="24"/>
          <w:lang w:eastAsia="en-GB"/>
        </w:rPr>
        <w:t xml:space="preserve"> </w:t>
      </w:r>
      <w:r w:rsidR="00E96E5F" w:rsidRPr="0048137E">
        <w:rPr>
          <w:rFonts w:eastAsia="Times New Roman" w:cstheme="minorHAnsi"/>
          <w:szCs w:val="24"/>
          <w:lang w:eastAsia="en-GB"/>
        </w:rPr>
        <w:t>M</w:t>
      </w:r>
      <w:r w:rsidRPr="0048137E">
        <w:rPr>
          <w:rFonts w:eastAsia="Times New Roman" w:cstheme="minorHAnsi"/>
          <w:szCs w:val="24"/>
          <w:lang w:eastAsia="en-GB"/>
        </w:rPr>
        <w:t>oreover </w:t>
      </w:r>
      <w:r w:rsidR="00E96E5F" w:rsidRPr="0048137E">
        <w:rPr>
          <w:rFonts w:eastAsia="Times New Roman" w:cstheme="minorHAnsi"/>
          <w:szCs w:val="24"/>
          <w:lang w:eastAsia="en-GB"/>
        </w:rPr>
        <w:t>2020</w:t>
      </w:r>
      <w:r w:rsidRPr="0048137E">
        <w:rPr>
          <w:rFonts w:eastAsia="Times New Roman" w:cstheme="minorHAnsi"/>
          <w:szCs w:val="24"/>
          <w:lang w:eastAsia="en-GB"/>
        </w:rPr>
        <w:t xml:space="preserve"> saw the figures dip, with the profitability ratio on account of the pandemic</w:t>
      </w:r>
      <w:r w:rsidR="0049371E">
        <w:rPr>
          <w:rFonts w:eastAsia="Times New Roman" w:cstheme="minorHAnsi"/>
          <w:szCs w:val="24"/>
          <w:lang w:eastAsia="en-GB"/>
        </w:rPr>
        <w:t>'</w:t>
      </w:r>
      <w:r w:rsidRPr="0048137E">
        <w:rPr>
          <w:rFonts w:eastAsia="Times New Roman" w:cstheme="minorHAnsi"/>
          <w:szCs w:val="24"/>
          <w:lang w:eastAsia="en-GB"/>
        </w:rPr>
        <w:t xml:space="preserve"> (ROI) are the returns of the capital invested, adopted as a financial inductor and mainly used by hotel managers, making key dissection, about capital investment there is considerable clarity in its forms of calculation, moreover the fiscal year 2020 the gross profit was 583000 this figure was divesting compare to the fiscal year 2019, the figures is 2435000 was healthier and therefore argued that covid 19, crippled the economy, with its lockdown rules travel restations, and isolation 2020, saw an exchange of -1852000 and percentage -76% this is taking into account fiscal year 2020, compare to 2019, moreover the trend continues with net income </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of -715000 the fiscal year </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2020, and 2019, figures 881000 the figures are better for 2019 change the base year against the current year 166000 the percentage reads 19% this again is not the best figures we hoped for, this income before the tax fiscal year 2020,- </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-924000 this is poor compare to 2019,- 1244000 and there the change would read as -2168000 percentage for both years </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-174 % this again is not good. </w:t>
      </w:r>
    </w:p>
    <w:p w14:paraId="131BDD7B" w14:textId="2F0C6D7C" w:rsidR="00E96E5F" w:rsidRPr="0048137E" w:rsidRDefault="00E96E5F" w:rsidP="0048137E">
      <w:pPr>
        <w:spacing w:after="0" w:line="360" w:lineRule="auto"/>
        <w:jc w:val="both"/>
        <w:rPr>
          <w:rFonts w:eastAsia="Times New Roman" w:cstheme="minorHAnsi"/>
          <w:szCs w:val="24"/>
          <w:lang w:eastAsia="en-GB"/>
        </w:rPr>
      </w:pPr>
    </w:p>
    <w:p w14:paraId="0CCFC7AE" w14:textId="0E714DC7" w:rsidR="00E96E5F" w:rsidRPr="0048137E" w:rsidRDefault="00E96E5F" w:rsidP="0048137E">
      <w:pPr>
        <w:spacing w:after="0" w:line="360" w:lineRule="auto"/>
        <w:jc w:val="both"/>
        <w:rPr>
          <w:rFonts w:eastAsia="Times New Roman" w:cstheme="minorHAnsi"/>
          <w:szCs w:val="24"/>
          <w:lang w:eastAsia="en-GB"/>
        </w:rPr>
      </w:pPr>
      <w:r w:rsidRPr="0048137E">
        <w:rPr>
          <w:rFonts w:eastAsia="Times New Roman" w:cstheme="minorHAnsi"/>
          <w:szCs w:val="24"/>
          <w:lang w:eastAsia="en-GB"/>
        </w:rPr>
        <w:t>One focus of this report is environmental sustainability within the hospitality sector. state that sustainability is at the forefront of government legislation and increased public awareness.</w:t>
      </w:r>
      <w:r w:rsidR="006531DA">
        <w:rPr>
          <w:rFonts w:eastAsia="Times New Roman" w:cstheme="minorHAnsi"/>
          <w:szCs w:val="24"/>
          <w:lang w:eastAsia="en-GB"/>
        </w:rPr>
        <w:t xml:space="preserve"> </w:t>
      </w:r>
      <w:r w:rsidR="0061601C">
        <w:rPr>
          <w:rFonts w:eastAsia="Times New Roman" w:cstheme="minorHAnsi"/>
          <w:szCs w:val="24"/>
          <w:lang w:eastAsia="en-GB"/>
        </w:rPr>
        <w:t>N</w:t>
      </w:r>
      <w:r w:rsidR="006531DA">
        <w:rPr>
          <w:rFonts w:eastAsia="Times New Roman" w:cstheme="minorHAnsi"/>
          <w:szCs w:val="24"/>
          <w:lang w:eastAsia="en-GB"/>
        </w:rPr>
        <w:t>onetheless</w:t>
      </w:r>
      <w:r w:rsidR="0061601C">
        <w:rPr>
          <w:rFonts w:eastAsia="Times New Roman" w:cstheme="minorHAnsi"/>
          <w:szCs w:val="24"/>
          <w:lang w:eastAsia="en-GB"/>
        </w:rPr>
        <w:t>,</w:t>
      </w:r>
      <w:r w:rsidR="00872E0F">
        <w:rPr>
          <w:rFonts w:eastAsia="Times New Roman" w:cstheme="minorHAnsi"/>
          <w:szCs w:val="24"/>
          <w:lang w:eastAsia="en-GB"/>
        </w:rPr>
        <w:t xml:space="preserve"> </w:t>
      </w:r>
      <w:r w:rsidRPr="0048137E">
        <w:rPr>
          <w:rFonts w:eastAsia="Times New Roman" w:cstheme="minorHAnsi"/>
          <w:szCs w:val="24"/>
          <w:lang w:eastAsia="en-GB"/>
        </w:rPr>
        <w:t xml:space="preserve">businesses cannot overlook sustainability or focus on acquiring economic growth without considering social </w:t>
      </w:r>
      <w:r w:rsidR="004258D6">
        <w:rPr>
          <w:rFonts w:eastAsia="Times New Roman" w:cstheme="minorHAnsi"/>
          <w:szCs w:val="24"/>
          <w:lang w:eastAsia="en-GB"/>
        </w:rPr>
        <w:t xml:space="preserve">and </w:t>
      </w:r>
      <w:r w:rsidR="00EB08E9">
        <w:rPr>
          <w:rFonts w:eastAsia="Times New Roman" w:cstheme="minorHAnsi"/>
          <w:szCs w:val="24"/>
          <w:lang w:eastAsia="en-GB"/>
        </w:rPr>
        <w:t>co</w:t>
      </w:r>
      <w:r w:rsidR="00604546">
        <w:rPr>
          <w:rFonts w:eastAsia="Times New Roman" w:cstheme="minorHAnsi"/>
          <w:szCs w:val="24"/>
          <w:lang w:eastAsia="en-GB"/>
        </w:rPr>
        <w:t>rporate</w:t>
      </w:r>
      <w:r w:rsidRPr="0048137E">
        <w:rPr>
          <w:rFonts w:eastAsia="Times New Roman" w:cstheme="minorHAnsi"/>
          <w:szCs w:val="24"/>
          <w:lang w:eastAsia="en-GB"/>
        </w:rPr>
        <w:t xml:space="preserve"> responsibility</w:t>
      </w:r>
      <w:r w:rsidR="00D131F5">
        <w:rPr>
          <w:rFonts w:eastAsia="Times New Roman" w:cstheme="minorHAnsi"/>
          <w:szCs w:val="24"/>
          <w:lang w:eastAsia="en-GB"/>
        </w:rPr>
        <w:t xml:space="preserve"> (</w:t>
      </w:r>
      <w:proofErr w:type="spellStart"/>
      <w:r w:rsidR="00D131F5">
        <w:rPr>
          <w:rFonts w:eastAsia="Times New Roman" w:cstheme="minorHAnsi"/>
          <w:szCs w:val="24"/>
          <w:lang w:eastAsia="en-GB"/>
        </w:rPr>
        <w:t>Sainaghi</w:t>
      </w:r>
      <w:proofErr w:type="spellEnd"/>
      <w:r w:rsidR="00D131F5">
        <w:rPr>
          <w:rFonts w:eastAsia="Times New Roman" w:cstheme="minorHAnsi"/>
          <w:szCs w:val="24"/>
          <w:lang w:eastAsia="en-GB"/>
        </w:rPr>
        <w:t>, 2020)</w:t>
      </w:r>
      <w:r w:rsidR="00C956B0">
        <w:rPr>
          <w:rFonts w:eastAsia="Times New Roman" w:cstheme="minorHAnsi"/>
          <w:szCs w:val="24"/>
          <w:lang w:eastAsia="en-GB"/>
        </w:rPr>
        <w:t>.</w:t>
      </w:r>
      <w:r w:rsidRPr="0048137E">
        <w:rPr>
          <w:rFonts w:eastAsia="Times New Roman" w:cstheme="minorHAnsi"/>
          <w:szCs w:val="24"/>
          <w:lang w:eastAsia="en-GB"/>
        </w:rPr>
        <w:t xml:space="preserve"> </w:t>
      </w:r>
    </w:p>
    <w:p w14:paraId="0AD0F190" w14:textId="77777777" w:rsidR="00E96E5F" w:rsidRPr="0048137E" w:rsidRDefault="00E96E5F" w:rsidP="0048137E">
      <w:pPr>
        <w:spacing w:after="0" w:line="360" w:lineRule="auto"/>
        <w:jc w:val="both"/>
        <w:rPr>
          <w:rFonts w:eastAsia="Times New Roman" w:cstheme="minorHAnsi"/>
          <w:szCs w:val="24"/>
          <w:lang w:eastAsia="en-GB"/>
        </w:rPr>
      </w:pPr>
    </w:p>
    <w:p w14:paraId="5ECA8439" w14:textId="77777777" w:rsidR="00BD5F50" w:rsidRDefault="00E43A4C" w:rsidP="00AB2DE4">
      <w:pPr>
        <w:pStyle w:val="Heading1"/>
        <w:rPr>
          <w:bdr w:val="none" w:sz="0" w:space="0" w:color="auto" w:frame="1"/>
        </w:rPr>
      </w:pPr>
      <w:r w:rsidRPr="0048137E">
        <w:rPr>
          <w:bdr w:val="none" w:sz="0" w:space="0" w:color="auto" w:frame="1"/>
        </w:rPr>
        <w:t> </w:t>
      </w:r>
      <w:bookmarkStart w:id="3" w:name="_Toc114650439"/>
    </w:p>
    <w:p w14:paraId="6A0ED616" w14:textId="3F3B3E1C" w:rsidR="00E43A4C" w:rsidRPr="0048137E" w:rsidRDefault="00AB2DE4" w:rsidP="00AB2DE4">
      <w:pPr>
        <w:pStyle w:val="Heading1"/>
      </w:pPr>
      <w:r>
        <w:lastRenderedPageBreak/>
        <w:t>Analysis</w:t>
      </w:r>
      <w:bookmarkEnd w:id="3"/>
    </w:p>
    <w:p w14:paraId="3A17E972" w14:textId="327A9164"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Cha</w:t>
      </w:r>
      <w:r w:rsidR="006B1C67" w:rsidRPr="0048137E">
        <w:rPr>
          <w:rFonts w:eastAsia="Times New Roman" w:cstheme="minorHAnsi"/>
          <w:szCs w:val="24"/>
          <w:lang w:eastAsia="en-GB"/>
        </w:rPr>
        <w:t>r</w:t>
      </w:r>
      <w:r w:rsidRPr="0048137E">
        <w:rPr>
          <w:rFonts w:eastAsia="Times New Roman" w:cstheme="minorHAnsi"/>
          <w:szCs w:val="24"/>
          <w:lang w:eastAsia="en-GB"/>
        </w:rPr>
        <w:t>t 1</w:t>
      </w:r>
      <w:r w:rsidR="0048137E" w:rsidRPr="0048137E">
        <w:rPr>
          <w:rFonts w:eastAsia="Times New Roman" w:cstheme="minorHAnsi"/>
          <w:szCs w:val="24"/>
          <w:lang w:eastAsia="en-GB"/>
        </w:rPr>
        <w:t>: Profit</w:t>
      </w:r>
      <w:r w:rsidRPr="0048137E">
        <w:rPr>
          <w:rFonts w:eastAsia="Times New Roman" w:cstheme="minorHAnsi"/>
          <w:szCs w:val="24"/>
          <w:lang w:eastAsia="en-GB"/>
        </w:rPr>
        <w:t> </w:t>
      </w:r>
    </w:p>
    <w:p w14:paraId="59F791FB" w14:textId="53A6A6D9" w:rsidR="00C32B2B"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According to the P&amp;L accounting, Hilton Hotels</w:t>
      </w:r>
      <w:r w:rsidR="0049371E">
        <w:rPr>
          <w:rFonts w:eastAsia="Times New Roman" w:cstheme="minorHAnsi"/>
          <w:szCs w:val="24"/>
          <w:lang w:eastAsia="en-GB"/>
        </w:rPr>
        <w:t>'</w:t>
      </w:r>
      <w:r w:rsidRPr="0048137E">
        <w:rPr>
          <w:rFonts w:eastAsia="Times New Roman" w:cstheme="minorHAnsi"/>
          <w:szCs w:val="24"/>
          <w:lang w:eastAsia="en-GB"/>
        </w:rPr>
        <w:t xml:space="preserve"> 2019 and 2020 gross profit </w:t>
      </w:r>
      <w:r w:rsidR="00C32B2B" w:rsidRPr="0048137E">
        <w:rPr>
          <w:rFonts w:eastAsia="Times New Roman" w:cstheme="minorHAnsi"/>
          <w:szCs w:val="24"/>
          <w:lang w:eastAsia="en-GB"/>
        </w:rPr>
        <w:t xml:space="preserve">2020 was </w:t>
      </w:r>
      <w:r w:rsidRPr="0048137E">
        <w:rPr>
          <w:rFonts w:eastAsia="Times New Roman" w:cstheme="minorHAnsi"/>
          <w:szCs w:val="24"/>
          <w:lang w:eastAsia="en-GB"/>
        </w:rPr>
        <w:t>significantly lower than the base year</w:t>
      </w:r>
      <w:r w:rsidR="00C32B2B" w:rsidRPr="0048137E">
        <w:rPr>
          <w:rFonts w:eastAsia="Times New Roman" w:cstheme="minorHAnsi"/>
          <w:szCs w:val="24"/>
          <w:lang w:eastAsia="en-GB"/>
        </w:rPr>
        <w:t>. The difference was</w:t>
      </w:r>
      <w:r w:rsidRPr="0048137E">
        <w:rPr>
          <w:rFonts w:eastAsia="Times New Roman" w:cstheme="minorHAnsi"/>
          <w:szCs w:val="24"/>
          <w:lang w:eastAsia="en-GB"/>
        </w:rPr>
        <w:t xml:space="preserve"> -1852,000 gross profit</w:t>
      </w:r>
      <w:r w:rsidR="00C32B2B" w:rsidRPr="0048137E">
        <w:rPr>
          <w:rFonts w:eastAsia="Times New Roman" w:cstheme="minorHAnsi"/>
          <w:szCs w:val="24"/>
          <w:lang w:eastAsia="en-GB"/>
        </w:rPr>
        <w:t xml:space="preserve"> from 2019 to 2020. Their net profit surprisingly has a value of 19% due to</w:t>
      </w:r>
      <w:r w:rsidR="00C32B2B" w:rsidRPr="0048137E">
        <w:rPr>
          <w:rFonts w:eastAsia="Times New Roman" w:cstheme="minorHAnsi"/>
          <w:szCs w:val="24"/>
          <w:bdr w:val="none" w:sz="0" w:space="0" w:color="auto" w:frame="1"/>
          <w:lang w:eastAsia="en-GB"/>
        </w:rPr>
        <w:t> </w:t>
      </w:r>
      <w:r w:rsidR="00C32B2B" w:rsidRPr="0048137E">
        <w:rPr>
          <w:rFonts w:eastAsia="Times New Roman" w:cstheme="minorHAnsi"/>
          <w:szCs w:val="24"/>
          <w:lang w:eastAsia="en-GB"/>
        </w:rPr>
        <w:t>current assets and stakeholder equity. </w:t>
      </w:r>
      <w:r w:rsidR="000B1EF3" w:rsidRPr="0048137E">
        <w:rPr>
          <w:rFonts w:eastAsia="Times New Roman" w:cstheme="minorHAnsi"/>
          <w:szCs w:val="24"/>
          <w:lang w:eastAsia="en-GB"/>
        </w:rPr>
        <w:t xml:space="preserve"> </w:t>
      </w:r>
    </w:p>
    <w:p w14:paraId="6737F3DF" w14:textId="7AA91AE4" w:rsidR="00290DA8" w:rsidRPr="0048137E" w:rsidRDefault="00CD2C01" w:rsidP="0048137E">
      <w:pPr>
        <w:spacing w:line="360" w:lineRule="auto"/>
        <w:jc w:val="both"/>
        <w:rPr>
          <w:rFonts w:eastAsia="Times New Roman" w:cstheme="minorHAnsi"/>
          <w:szCs w:val="24"/>
          <w:lang w:eastAsia="en-GB"/>
        </w:rPr>
      </w:pPr>
      <w:r>
        <w:rPr>
          <w:noProof/>
        </w:rPr>
        <w:drawing>
          <wp:inline distT="0" distB="0" distL="0" distR="0" wp14:anchorId="4479A174" wp14:editId="1815CAE4">
            <wp:extent cx="4572000" cy="2743200"/>
            <wp:effectExtent l="0" t="0" r="0" b="0"/>
            <wp:docPr id="9" name="Chart 9">
              <a:extLst xmlns:a="http://schemas.openxmlformats.org/drawingml/2006/main">
                <a:ext uri="{FF2B5EF4-FFF2-40B4-BE49-F238E27FC236}">
                  <a16:creationId xmlns:a16="http://schemas.microsoft.com/office/drawing/2014/main" id="{6BC3A0FE-0576-3936-391D-D05F997632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ED120D2" w14:textId="09A830EA" w:rsidR="00C32B2B" w:rsidRPr="0048137E" w:rsidRDefault="00C32B2B" w:rsidP="0048137E">
      <w:pPr>
        <w:spacing w:after="0" w:line="360" w:lineRule="auto"/>
        <w:jc w:val="both"/>
        <w:rPr>
          <w:rFonts w:eastAsia="Times New Roman" w:cstheme="minorHAnsi"/>
          <w:szCs w:val="24"/>
          <w:lang w:eastAsia="en-GB"/>
        </w:rPr>
      </w:pPr>
    </w:p>
    <w:p w14:paraId="7D44FED9" w14:textId="59042B85"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Cha</w:t>
      </w:r>
      <w:r w:rsidR="00C32B2B" w:rsidRPr="0048137E">
        <w:rPr>
          <w:rFonts w:eastAsia="Times New Roman" w:cstheme="minorHAnsi"/>
          <w:szCs w:val="24"/>
          <w:lang w:eastAsia="en-GB"/>
        </w:rPr>
        <w:t>r</w:t>
      </w:r>
      <w:r w:rsidRPr="0048137E">
        <w:rPr>
          <w:rFonts w:eastAsia="Times New Roman" w:cstheme="minorHAnsi"/>
          <w:szCs w:val="24"/>
          <w:lang w:eastAsia="en-GB"/>
        </w:rPr>
        <w:t>t</w:t>
      </w:r>
      <w:r w:rsidR="00C32B2B" w:rsidRPr="0048137E">
        <w:rPr>
          <w:rFonts w:eastAsia="Times New Roman" w:cstheme="minorHAnsi"/>
          <w:szCs w:val="24"/>
          <w:lang w:eastAsia="en-GB"/>
        </w:rPr>
        <w:t xml:space="preserve"> </w:t>
      </w:r>
      <w:r w:rsidRPr="0048137E">
        <w:rPr>
          <w:rFonts w:eastAsia="Times New Roman" w:cstheme="minorHAnsi"/>
          <w:szCs w:val="24"/>
          <w:lang w:eastAsia="en-GB"/>
        </w:rPr>
        <w:t>2</w:t>
      </w:r>
      <w:r w:rsidR="0048137E" w:rsidRPr="0048137E">
        <w:rPr>
          <w:rFonts w:eastAsia="Times New Roman" w:cstheme="minorHAnsi"/>
          <w:szCs w:val="24"/>
          <w:lang w:eastAsia="en-GB"/>
        </w:rPr>
        <w:t>: Income before tax</w:t>
      </w:r>
    </w:p>
    <w:p w14:paraId="5342185D" w14:textId="1448C09D" w:rsidR="00191855" w:rsidRPr="0048137E" w:rsidRDefault="004258D6" w:rsidP="00191855">
      <w:pPr>
        <w:spacing w:line="360" w:lineRule="auto"/>
        <w:jc w:val="both"/>
        <w:rPr>
          <w:rFonts w:eastAsia="Times New Roman" w:cstheme="minorHAnsi"/>
          <w:szCs w:val="24"/>
          <w:lang w:eastAsia="en-GB"/>
        </w:rPr>
      </w:pPr>
      <w:r>
        <w:rPr>
          <w:rFonts w:eastAsia="Times New Roman" w:cstheme="minorHAnsi"/>
          <w:szCs w:val="24"/>
          <w:lang w:eastAsia="en-GB"/>
        </w:rPr>
        <w:t>Examining these figures for 2020</w:t>
      </w:r>
      <w:r w:rsidR="00E66F31" w:rsidRPr="0048137E">
        <w:rPr>
          <w:rFonts w:eastAsia="Times New Roman" w:cstheme="minorHAnsi"/>
          <w:szCs w:val="24"/>
          <w:lang w:eastAsia="en-GB"/>
        </w:rPr>
        <w:t xml:space="preserve"> </w:t>
      </w:r>
      <w:r w:rsidR="00E43A4C" w:rsidRPr="0048137E">
        <w:rPr>
          <w:rFonts w:eastAsia="Times New Roman" w:cstheme="minorHAnsi"/>
          <w:szCs w:val="24"/>
          <w:lang w:eastAsia="en-GB"/>
        </w:rPr>
        <w:t xml:space="preserve">shows that the Hilton hotel went through </w:t>
      </w:r>
      <w:r w:rsidR="00E66F31" w:rsidRPr="0048137E">
        <w:rPr>
          <w:rFonts w:eastAsia="Times New Roman" w:cstheme="minorHAnsi"/>
          <w:szCs w:val="24"/>
          <w:lang w:eastAsia="en-GB"/>
        </w:rPr>
        <w:t>a downward trend that year. O</w:t>
      </w:r>
      <w:r w:rsidR="00E43A4C" w:rsidRPr="0048137E">
        <w:rPr>
          <w:rFonts w:eastAsia="Times New Roman" w:cstheme="minorHAnsi"/>
          <w:szCs w:val="24"/>
          <w:lang w:eastAsia="en-GB"/>
        </w:rPr>
        <w:t xml:space="preserve">ne thing that dictated the decline in revenue shown during this period was </w:t>
      </w:r>
      <w:r w:rsidR="00600567">
        <w:rPr>
          <w:rFonts w:eastAsia="Times New Roman" w:cstheme="minorHAnsi"/>
          <w:szCs w:val="24"/>
          <w:lang w:eastAsia="en-GB"/>
        </w:rPr>
        <w:t xml:space="preserve">that </w:t>
      </w:r>
      <w:r w:rsidR="00E43A4C" w:rsidRPr="0048137E">
        <w:rPr>
          <w:rFonts w:eastAsia="Times New Roman" w:cstheme="minorHAnsi"/>
          <w:szCs w:val="24"/>
          <w:lang w:eastAsia="en-GB"/>
        </w:rPr>
        <w:t xml:space="preserve">the performance of the Hilton was extremely poor results due to </w:t>
      </w:r>
      <w:r w:rsidR="00B60B03">
        <w:rPr>
          <w:rFonts w:eastAsia="Times New Roman" w:cstheme="minorHAnsi"/>
          <w:szCs w:val="24"/>
          <w:lang w:eastAsia="en-GB"/>
        </w:rPr>
        <w:t>Brexit and the</w:t>
      </w:r>
      <w:r w:rsidR="00E43A4C" w:rsidRPr="0048137E">
        <w:rPr>
          <w:rFonts w:eastAsia="Times New Roman" w:cstheme="minorHAnsi"/>
          <w:szCs w:val="24"/>
          <w:lang w:eastAsia="en-GB"/>
        </w:rPr>
        <w:t xml:space="preserve"> pandemic</w:t>
      </w:r>
      <w:r w:rsidR="00600567">
        <w:rPr>
          <w:rFonts w:eastAsia="Times New Roman" w:cstheme="minorHAnsi"/>
          <w:szCs w:val="24"/>
          <w:lang w:eastAsia="en-GB"/>
        </w:rPr>
        <w:t>. T</w:t>
      </w:r>
      <w:r w:rsidR="00E43A4C" w:rsidRPr="0048137E">
        <w:rPr>
          <w:rFonts w:eastAsia="Times New Roman" w:cstheme="minorHAnsi"/>
          <w:szCs w:val="24"/>
          <w:lang w:eastAsia="en-GB"/>
        </w:rPr>
        <w:t xml:space="preserve">ravel industries and hospitality </w:t>
      </w:r>
      <w:r w:rsidR="00600567">
        <w:rPr>
          <w:rFonts w:eastAsia="Times New Roman" w:cstheme="minorHAnsi"/>
          <w:szCs w:val="24"/>
          <w:lang w:eastAsia="en-GB"/>
        </w:rPr>
        <w:t xml:space="preserve">were </w:t>
      </w:r>
      <w:r w:rsidR="00E43A4C" w:rsidRPr="0048137E">
        <w:rPr>
          <w:rFonts w:eastAsia="Times New Roman" w:cstheme="minorHAnsi"/>
          <w:szCs w:val="24"/>
          <w:lang w:eastAsia="en-GB"/>
        </w:rPr>
        <w:t>affected by government rules and restrictions</w:t>
      </w:r>
      <w:r w:rsidR="00E66F31" w:rsidRPr="0048137E">
        <w:rPr>
          <w:rFonts w:eastAsia="Times New Roman" w:cstheme="minorHAnsi"/>
          <w:szCs w:val="24"/>
          <w:lang w:eastAsia="en-GB"/>
        </w:rPr>
        <w:t>. T</w:t>
      </w:r>
      <w:r w:rsidR="00E43A4C" w:rsidRPr="0048137E">
        <w:rPr>
          <w:rFonts w:eastAsia="Times New Roman" w:cstheme="minorHAnsi"/>
          <w:szCs w:val="24"/>
          <w:lang w:eastAsia="en-GB"/>
        </w:rPr>
        <w:t>herefore</w:t>
      </w:r>
      <w:r w:rsidR="00E66F31" w:rsidRPr="0048137E">
        <w:rPr>
          <w:rFonts w:eastAsia="Times New Roman" w:cstheme="minorHAnsi"/>
          <w:szCs w:val="24"/>
          <w:lang w:eastAsia="en-GB"/>
        </w:rPr>
        <w:t>,</w:t>
      </w:r>
      <w:r w:rsidR="00E43A4C" w:rsidRPr="0048137E">
        <w:rPr>
          <w:rFonts w:eastAsia="Times New Roman" w:cstheme="minorHAnsi"/>
          <w:szCs w:val="24"/>
          <w:lang w:eastAsia="en-GB"/>
        </w:rPr>
        <w:t xml:space="preserve"> understanding Hilton</w:t>
      </w:r>
      <w:r w:rsidR="0049371E">
        <w:rPr>
          <w:rFonts w:eastAsia="Times New Roman" w:cstheme="minorHAnsi"/>
          <w:szCs w:val="24"/>
          <w:lang w:eastAsia="en-GB"/>
        </w:rPr>
        <w:t>'</w:t>
      </w:r>
      <w:r w:rsidR="00E43A4C" w:rsidRPr="0048137E">
        <w:rPr>
          <w:rFonts w:eastAsia="Times New Roman" w:cstheme="minorHAnsi"/>
          <w:szCs w:val="24"/>
          <w:lang w:eastAsia="en-GB"/>
        </w:rPr>
        <w:t xml:space="preserve">s analysing </w:t>
      </w:r>
      <w:r w:rsidR="006C172B">
        <w:rPr>
          <w:rFonts w:eastAsia="Times New Roman" w:cstheme="minorHAnsi"/>
          <w:szCs w:val="24"/>
          <w:lang w:eastAsia="en-GB"/>
        </w:rPr>
        <w:t xml:space="preserve">of </w:t>
      </w:r>
      <w:r w:rsidR="00E43A4C" w:rsidRPr="0048137E">
        <w:rPr>
          <w:rFonts w:eastAsia="Times New Roman" w:cstheme="minorHAnsi"/>
          <w:szCs w:val="24"/>
          <w:lang w:eastAsia="en-GB"/>
        </w:rPr>
        <w:t>the fiscal year of 2020 is negative -50% compared to 2019</w:t>
      </w:r>
      <w:r w:rsidR="00124A19">
        <w:rPr>
          <w:rFonts w:eastAsia="Times New Roman" w:cstheme="minorHAnsi"/>
          <w:szCs w:val="24"/>
          <w:lang w:eastAsia="en-GB"/>
        </w:rPr>
        <w:t>,</w:t>
      </w:r>
      <w:r w:rsidR="00E43A4C" w:rsidRPr="0048137E">
        <w:rPr>
          <w:rFonts w:eastAsia="Times New Roman" w:cstheme="minorHAnsi"/>
          <w:szCs w:val="24"/>
          <w:lang w:eastAsia="en-GB"/>
        </w:rPr>
        <w:t xml:space="preserve"> </w:t>
      </w:r>
      <w:r w:rsidR="00A51194">
        <w:rPr>
          <w:rFonts w:eastAsia="Times New Roman" w:cstheme="minorHAnsi"/>
          <w:szCs w:val="24"/>
          <w:lang w:eastAsia="en-GB"/>
        </w:rPr>
        <w:t xml:space="preserve">which </w:t>
      </w:r>
      <w:r w:rsidR="00E43A4C" w:rsidRPr="0048137E">
        <w:rPr>
          <w:rFonts w:eastAsia="Times New Roman" w:cstheme="minorHAnsi"/>
          <w:szCs w:val="24"/>
          <w:lang w:eastAsia="en-GB"/>
        </w:rPr>
        <w:t>saw a net income of 19%</w:t>
      </w:r>
      <w:r w:rsidR="009E43C0">
        <w:rPr>
          <w:rFonts w:eastAsia="Times New Roman" w:cstheme="minorHAnsi"/>
          <w:szCs w:val="24"/>
          <w:lang w:eastAsia="en-GB"/>
        </w:rPr>
        <w:t xml:space="preserve"> </w:t>
      </w:r>
      <w:r w:rsidR="00436A84">
        <w:rPr>
          <w:rFonts w:eastAsia="Times New Roman" w:cstheme="minorHAnsi"/>
          <w:szCs w:val="24"/>
          <w:lang w:eastAsia="en-GB"/>
        </w:rPr>
        <w:t>(</w:t>
      </w:r>
      <w:r w:rsidR="00F54752">
        <w:rPr>
          <w:rFonts w:eastAsia="Times New Roman" w:cstheme="minorHAnsi"/>
          <w:szCs w:val="24"/>
          <w:lang w:eastAsia="en-GB"/>
        </w:rPr>
        <w:t>Porter</w:t>
      </w:r>
      <w:r w:rsidR="005E3D26">
        <w:rPr>
          <w:rFonts w:eastAsia="Times New Roman" w:cstheme="minorHAnsi"/>
          <w:szCs w:val="24"/>
          <w:lang w:eastAsia="en-GB"/>
        </w:rPr>
        <w:t>.</w:t>
      </w:r>
      <w:r w:rsidR="00F54752">
        <w:rPr>
          <w:rFonts w:eastAsia="Times New Roman" w:cstheme="minorHAnsi"/>
          <w:szCs w:val="24"/>
          <w:lang w:eastAsia="en-GB"/>
        </w:rPr>
        <w:t xml:space="preserve"> 1996)</w:t>
      </w:r>
      <w:r w:rsidR="00C474C8">
        <w:rPr>
          <w:rFonts w:eastAsia="Times New Roman" w:cstheme="minorHAnsi"/>
          <w:szCs w:val="24"/>
          <w:lang w:eastAsia="en-GB"/>
        </w:rPr>
        <w:t>.</w:t>
      </w:r>
      <w:r w:rsidR="004E2D5C">
        <w:rPr>
          <w:rFonts w:eastAsia="Times New Roman" w:cstheme="minorHAnsi"/>
          <w:szCs w:val="24"/>
          <w:lang w:eastAsia="en-GB"/>
        </w:rPr>
        <w:t xml:space="preserve"> </w:t>
      </w:r>
      <w:r w:rsidR="002468CF">
        <w:rPr>
          <w:rFonts w:eastAsia="Times New Roman" w:cstheme="minorHAnsi"/>
          <w:szCs w:val="24"/>
          <w:lang w:eastAsia="en-GB"/>
        </w:rPr>
        <w:t>Argues that</w:t>
      </w:r>
      <w:r w:rsidR="00395877">
        <w:rPr>
          <w:rFonts w:eastAsia="Times New Roman" w:cstheme="minorHAnsi"/>
          <w:szCs w:val="24"/>
          <w:lang w:eastAsia="en-GB"/>
        </w:rPr>
        <w:t xml:space="preserve"> </w:t>
      </w:r>
      <w:r w:rsidR="00E002C2">
        <w:rPr>
          <w:rFonts w:eastAsia="Times New Roman" w:cstheme="minorHAnsi"/>
          <w:szCs w:val="24"/>
          <w:lang w:eastAsia="en-GB"/>
        </w:rPr>
        <w:t xml:space="preserve">there are additional </w:t>
      </w:r>
      <w:r w:rsidR="00093F97">
        <w:rPr>
          <w:rFonts w:eastAsia="Times New Roman" w:cstheme="minorHAnsi"/>
          <w:szCs w:val="24"/>
          <w:lang w:eastAsia="en-GB"/>
        </w:rPr>
        <w:t>challenges</w:t>
      </w:r>
      <w:r w:rsidR="00801F94">
        <w:rPr>
          <w:rFonts w:eastAsia="Times New Roman" w:cstheme="minorHAnsi"/>
          <w:szCs w:val="24"/>
          <w:lang w:eastAsia="en-GB"/>
        </w:rPr>
        <w:t xml:space="preserve"> and </w:t>
      </w:r>
      <w:r w:rsidR="000117C3">
        <w:rPr>
          <w:rFonts w:eastAsia="Times New Roman" w:cstheme="minorHAnsi"/>
          <w:szCs w:val="24"/>
          <w:lang w:eastAsia="en-GB"/>
        </w:rPr>
        <w:t>opportunities</w:t>
      </w:r>
      <w:r w:rsidR="00093F97">
        <w:rPr>
          <w:rFonts w:eastAsia="Times New Roman" w:cstheme="minorHAnsi"/>
          <w:szCs w:val="24"/>
          <w:lang w:eastAsia="en-GB"/>
        </w:rPr>
        <w:t xml:space="preserve"> facing </w:t>
      </w:r>
      <w:r w:rsidR="00D258E5">
        <w:rPr>
          <w:rFonts w:eastAsia="Times New Roman" w:cstheme="minorHAnsi"/>
          <w:szCs w:val="24"/>
          <w:lang w:eastAsia="en-GB"/>
        </w:rPr>
        <w:t>businesses</w:t>
      </w:r>
      <w:r w:rsidR="0078461C">
        <w:rPr>
          <w:rFonts w:eastAsia="Times New Roman" w:cstheme="minorHAnsi"/>
          <w:szCs w:val="24"/>
          <w:lang w:eastAsia="en-GB"/>
        </w:rPr>
        <w:t xml:space="preserve"> when </w:t>
      </w:r>
      <w:r w:rsidR="00682FE6">
        <w:rPr>
          <w:rFonts w:eastAsia="Times New Roman" w:cstheme="minorHAnsi"/>
          <w:szCs w:val="24"/>
          <w:lang w:eastAsia="en-GB"/>
        </w:rPr>
        <w:t>adopting</w:t>
      </w:r>
      <w:r w:rsidR="000117C3">
        <w:rPr>
          <w:rFonts w:eastAsia="Times New Roman" w:cstheme="minorHAnsi"/>
          <w:szCs w:val="24"/>
          <w:lang w:eastAsia="en-GB"/>
        </w:rPr>
        <w:t xml:space="preserve"> sustainability</w:t>
      </w:r>
      <w:r w:rsidR="00682FE6">
        <w:rPr>
          <w:rFonts w:eastAsia="Times New Roman" w:cstheme="minorHAnsi"/>
          <w:szCs w:val="24"/>
          <w:lang w:eastAsia="en-GB"/>
        </w:rPr>
        <w:t>.</w:t>
      </w:r>
      <w:r w:rsidR="00C474C8">
        <w:rPr>
          <w:rFonts w:eastAsia="Times New Roman" w:cstheme="minorHAnsi"/>
          <w:szCs w:val="24"/>
          <w:lang w:eastAsia="en-GB"/>
        </w:rPr>
        <w:t xml:space="preserve"> </w:t>
      </w:r>
      <w:r w:rsidR="00191855" w:rsidRPr="0048137E">
        <w:rPr>
          <w:rFonts w:eastAsia="Times New Roman" w:cstheme="minorHAnsi"/>
          <w:szCs w:val="24"/>
          <w:lang w:eastAsia="en-GB"/>
        </w:rPr>
        <w:t>The table below shows</w:t>
      </w:r>
      <w:r w:rsidR="009F3763">
        <w:rPr>
          <w:rFonts w:eastAsia="Times New Roman" w:cstheme="minorHAnsi"/>
          <w:szCs w:val="24"/>
          <w:lang w:eastAsia="en-GB"/>
        </w:rPr>
        <w:t xml:space="preserve"> t</w:t>
      </w:r>
      <w:r w:rsidR="004E2D5C">
        <w:rPr>
          <w:rFonts w:eastAsia="Times New Roman" w:cstheme="minorHAnsi"/>
          <w:szCs w:val="24"/>
          <w:lang w:eastAsia="en-GB"/>
        </w:rPr>
        <w:t xml:space="preserve">axes </w:t>
      </w:r>
      <w:r w:rsidR="009F3763">
        <w:rPr>
          <w:rFonts w:eastAsia="Times New Roman" w:cstheme="minorHAnsi"/>
          <w:szCs w:val="24"/>
          <w:lang w:eastAsia="en-GB"/>
        </w:rPr>
        <w:t>Hilton</w:t>
      </w:r>
      <w:r w:rsidR="00191855" w:rsidRPr="0048137E">
        <w:rPr>
          <w:rFonts w:eastAsia="Times New Roman" w:cstheme="minorHAnsi"/>
          <w:szCs w:val="24"/>
          <w:lang w:eastAsia="en-GB"/>
        </w:rPr>
        <w:t xml:space="preserve"> for the years 2019 and 2020:</w:t>
      </w:r>
      <w:r w:rsidR="00191855" w:rsidRPr="0048137E">
        <w:rPr>
          <w:rFonts w:eastAsia="Times New Roman" w:cstheme="minorHAnsi"/>
          <w:szCs w:val="24"/>
          <w:bdr w:val="none" w:sz="0" w:space="0" w:color="auto" w:frame="1"/>
          <w:lang w:eastAsia="en-GB"/>
        </w:rPr>
        <w:t>                                       </w:t>
      </w:r>
      <w:r w:rsidR="00191855" w:rsidRPr="0048137E">
        <w:rPr>
          <w:rFonts w:eastAsia="Times New Roman" w:cstheme="minorHAnsi"/>
          <w:szCs w:val="24"/>
          <w:lang w:eastAsia="en-GB"/>
        </w:rPr>
        <w:t> </w:t>
      </w:r>
    </w:p>
    <w:p w14:paraId="29A5C1EF" w14:textId="29AD95DB" w:rsidR="0013793A" w:rsidRDefault="0013793A" w:rsidP="0048137E">
      <w:pPr>
        <w:spacing w:after="0" w:line="360" w:lineRule="auto"/>
        <w:jc w:val="both"/>
        <w:rPr>
          <w:rFonts w:eastAsia="Times New Roman" w:cstheme="minorHAnsi"/>
          <w:szCs w:val="24"/>
          <w:lang w:eastAsia="en-GB"/>
        </w:rPr>
      </w:pPr>
    </w:p>
    <w:p w14:paraId="41CF54BE" w14:textId="1BC69DD4" w:rsidR="00E43A4C" w:rsidRPr="0048137E" w:rsidRDefault="00A763FC" w:rsidP="0048137E">
      <w:pPr>
        <w:spacing w:after="0" w:line="360" w:lineRule="auto"/>
        <w:jc w:val="both"/>
        <w:rPr>
          <w:rFonts w:eastAsia="Times New Roman" w:cstheme="minorHAnsi"/>
          <w:szCs w:val="24"/>
          <w:lang w:eastAsia="en-GB"/>
        </w:rPr>
      </w:pPr>
      <w:r>
        <w:rPr>
          <w:rFonts w:eastAsia="Times New Roman" w:cstheme="minorHAnsi"/>
          <w:szCs w:val="24"/>
          <w:lang w:eastAsia="en-GB"/>
        </w:rPr>
        <w:lastRenderedPageBreak/>
        <w:t xml:space="preserve"> </w:t>
      </w:r>
      <w:r w:rsidR="00E830A7">
        <w:rPr>
          <w:rFonts w:eastAsia="Times New Roman" w:cstheme="minorHAnsi"/>
          <w:szCs w:val="24"/>
          <w:lang w:eastAsia="en-GB"/>
        </w:rPr>
        <w:t xml:space="preserve"> </w:t>
      </w:r>
      <w:r w:rsidR="00177945" w:rsidRPr="0048137E">
        <w:rPr>
          <w:rFonts w:cstheme="minorHAnsi"/>
          <w:noProof/>
          <w:szCs w:val="24"/>
        </w:rPr>
        <w:drawing>
          <wp:inline distT="0" distB="0" distL="0" distR="0" wp14:anchorId="172C3222" wp14:editId="158BED5D">
            <wp:extent cx="4572000" cy="2743200"/>
            <wp:effectExtent l="0" t="0" r="0" b="0"/>
            <wp:docPr id="1" name="Chart 1">
              <a:extLst xmlns:a="http://schemas.openxmlformats.org/drawingml/2006/main">
                <a:ext uri="{FF2B5EF4-FFF2-40B4-BE49-F238E27FC236}">
                  <a16:creationId xmlns:a16="http://schemas.microsoft.com/office/drawing/2014/main" id="{6B05C65D-5274-5264-E8EF-02904897BC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E66F31" w:rsidRPr="0048137E">
        <w:rPr>
          <w:rFonts w:eastAsia="Times New Roman" w:cstheme="minorHAnsi"/>
          <w:szCs w:val="24"/>
          <w:lang w:eastAsia="en-GB"/>
        </w:rPr>
        <w:t xml:space="preserve">  </w:t>
      </w:r>
    </w:p>
    <w:p w14:paraId="045F09E6" w14:textId="4D0B5F52" w:rsidR="00E66F31" w:rsidRPr="0048137E" w:rsidRDefault="00E66F31" w:rsidP="0048137E">
      <w:pPr>
        <w:spacing w:after="0" w:line="360" w:lineRule="auto"/>
        <w:jc w:val="both"/>
        <w:rPr>
          <w:rFonts w:eastAsia="Times New Roman" w:cstheme="minorHAnsi"/>
          <w:szCs w:val="24"/>
          <w:lang w:eastAsia="en-GB"/>
        </w:rPr>
      </w:pPr>
    </w:p>
    <w:p w14:paraId="4854B16B" w14:textId="2B2E4FC4" w:rsidR="00E66F31" w:rsidRPr="0048137E" w:rsidRDefault="00E66F31" w:rsidP="0048137E">
      <w:pPr>
        <w:spacing w:after="0" w:line="360" w:lineRule="auto"/>
        <w:jc w:val="both"/>
        <w:rPr>
          <w:rFonts w:eastAsia="Times New Roman" w:cstheme="minorHAnsi"/>
          <w:szCs w:val="24"/>
          <w:lang w:eastAsia="en-GB"/>
        </w:rPr>
      </w:pPr>
    </w:p>
    <w:p w14:paraId="5DE1128C" w14:textId="25ABA479" w:rsidR="0017413F" w:rsidRPr="0048137E" w:rsidRDefault="0017413F" w:rsidP="0048137E">
      <w:pPr>
        <w:spacing w:after="0" w:line="360" w:lineRule="auto"/>
        <w:jc w:val="both"/>
        <w:rPr>
          <w:rFonts w:eastAsia="Times New Roman" w:cstheme="minorHAnsi"/>
          <w:szCs w:val="24"/>
          <w:lang w:eastAsia="en-GB"/>
        </w:rPr>
      </w:pPr>
    </w:p>
    <w:p w14:paraId="0CDB5697" w14:textId="066DE874"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r w:rsidR="0048137E" w:rsidRPr="0048137E">
        <w:rPr>
          <w:rFonts w:eastAsia="Times New Roman" w:cstheme="minorHAnsi"/>
          <w:szCs w:val="24"/>
          <w:lang w:eastAsia="en-GB"/>
        </w:rPr>
        <w:t>The table below shows the information for the Hilton for the fiscal years 2019 and 2020:</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 </w:t>
      </w:r>
    </w:p>
    <w:p w14:paraId="5595A390"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Liquidity Ratio  </w:t>
      </w:r>
    </w:p>
    <w:p w14:paraId="68B0BACE" w14:textId="77777777" w:rsidR="00E43A4C" w:rsidRPr="0048137E" w:rsidRDefault="00E43A4C" w:rsidP="0048137E">
      <w:pPr>
        <w:spacing w:line="360" w:lineRule="auto"/>
        <w:jc w:val="both"/>
        <w:rPr>
          <w:rFonts w:eastAsia="Times New Roman" w:cstheme="minorHAnsi"/>
          <w:szCs w:val="24"/>
          <w:lang w:eastAsia="en-GB"/>
        </w:rPr>
      </w:pPr>
      <w:r w:rsidRPr="0048137E">
        <w:rPr>
          <w:rFonts w:eastAsia="Times New Roman" w:cstheme="minorHAnsi"/>
          <w:szCs w:val="24"/>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3043"/>
        <w:gridCol w:w="1484"/>
        <w:gridCol w:w="1484"/>
      </w:tblGrid>
      <w:tr w:rsidR="00E43A4C" w:rsidRPr="0048137E" w14:paraId="06F0F642" w14:textId="77777777" w:rsidTr="00E43A4C">
        <w:trPr>
          <w:trHeight w:val="297"/>
        </w:trPr>
        <w:tc>
          <w:tcPr>
            <w:tcW w:w="3043" w:type="dxa"/>
            <w:tcBorders>
              <w:top w:val="nil"/>
              <w:left w:val="nil"/>
              <w:bottom w:val="single" w:sz="8" w:space="0" w:color="7F7F7F"/>
              <w:right w:val="nil"/>
            </w:tcBorders>
            <w:tcMar>
              <w:top w:w="0" w:type="dxa"/>
              <w:left w:w="108" w:type="dxa"/>
              <w:bottom w:w="0" w:type="dxa"/>
              <w:right w:w="108" w:type="dxa"/>
            </w:tcMar>
            <w:hideMark/>
          </w:tcPr>
          <w:p w14:paraId="5EFB5577" w14:textId="77777777" w:rsidR="00E43A4C" w:rsidRPr="0048137E" w:rsidRDefault="00E43A4C" w:rsidP="0048137E">
            <w:pPr>
              <w:spacing w:after="0" w:line="360" w:lineRule="auto"/>
              <w:jc w:val="right"/>
              <w:rPr>
                <w:rFonts w:eastAsia="Times New Roman" w:cstheme="minorHAnsi"/>
                <w:szCs w:val="24"/>
                <w:lang w:eastAsia="en-GB"/>
              </w:rPr>
            </w:pPr>
            <w:r w:rsidRPr="0048137E">
              <w:rPr>
                <w:rFonts w:eastAsia="Times New Roman" w:cstheme="minorHAnsi"/>
                <w:b/>
                <w:bCs/>
                <w:i/>
                <w:iCs/>
                <w:szCs w:val="24"/>
                <w:bdr w:val="none" w:sz="0" w:space="0" w:color="auto" w:frame="1"/>
                <w:lang w:eastAsia="en-GB"/>
              </w:rPr>
              <w:t>Row Labels </w:t>
            </w:r>
          </w:p>
        </w:tc>
        <w:tc>
          <w:tcPr>
            <w:tcW w:w="1468" w:type="dxa"/>
            <w:tcBorders>
              <w:top w:val="nil"/>
              <w:left w:val="nil"/>
              <w:bottom w:val="single" w:sz="8" w:space="0" w:color="7F7F7F"/>
              <w:right w:val="nil"/>
            </w:tcBorders>
            <w:tcMar>
              <w:top w:w="0" w:type="dxa"/>
              <w:left w:w="108" w:type="dxa"/>
              <w:bottom w:w="0" w:type="dxa"/>
              <w:right w:w="108" w:type="dxa"/>
            </w:tcMar>
            <w:hideMark/>
          </w:tcPr>
          <w:p w14:paraId="6B0A8DE5"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i/>
                <w:iCs/>
                <w:szCs w:val="24"/>
                <w:bdr w:val="none" w:sz="0" w:space="0" w:color="auto" w:frame="1"/>
                <w:lang w:eastAsia="en-GB"/>
              </w:rPr>
              <w:t>Sum of 2019 </w:t>
            </w:r>
          </w:p>
        </w:tc>
        <w:tc>
          <w:tcPr>
            <w:tcW w:w="1468" w:type="dxa"/>
            <w:tcBorders>
              <w:top w:val="nil"/>
              <w:left w:val="nil"/>
              <w:bottom w:val="single" w:sz="8" w:space="0" w:color="7F7F7F"/>
              <w:right w:val="nil"/>
            </w:tcBorders>
            <w:tcMar>
              <w:top w:w="0" w:type="dxa"/>
              <w:left w:w="108" w:type="dxa"/>
              <w:bottom w:w="0" w:type="dxa"/>
              <w:right w:w="108" w:type="dxa"/>
            </w:tcMar>
            <w:hideMark/>
          </w:tcPr>
          <w:p w14:paraId="0EF277F7"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i/>
                <w:iCs/>
                <w:szCs w:val="24"/>
                <w:bdr w:val="none" w:sz="0" w:space="0" w:color="auto" w:frame="1"/>
                <w:lang w:eastAsia="en-GB"/>
              </w:rPr>
              <w:t>Sum of 2020 </w:t>
            </w:r>
          </w:p>
        </w:tc>
      </w:tr>
      <w:tr w:rsidR="00E43A4C" w:rsidRPr="0048137E" w14:paraId="7B8ACCE4"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6523E5F1" w14:textId="77777777" w:rsidR="00E43A4C" w:rsidRPr="0048137E" w:rsidRDefault="00E43A4C" w:rsidP="0048137E">
            <w:pPr>
              <w:spacing w:after="0" w:line="360" w:lineRule="auto"/>
              <w:jc w:val="right"/>
              <w:rPr>
                <w:rFonts w:eastAsia="Times New Roman" w:cstheme="minorHAnsi"/>
                <w:szCs w:val="24"/>
                <w:lang w:eastAsia="en-GB"/>
              </w:rPr>
            </w:pPr>
            <w:r w:rsidRPr="0048137E">
              <w:rPr>
                <w:rFonts w:eastAsia="Times New Roman" w:cstheme="minorHAnsi"/>
                <w:i/>
                <w:iCs/>
                <w:szCs w:val="24"/>
                <w:bdr w:val="none" w:sz="0" w:space="0" w:color="auto" w:frame="1"/>
                <w:lang w:eastAsia="en-GB"/>
              </w:rPr>
              <w:t>Total Liabilities </w:t>
            </w:r>
          </w:p>
        </w:tc>
        <w:tc>
          <w:tcPr>
            <w:tcW w:w="1468" w:type="dxa"/>
            <w:tcMar>
              <w:top w:w="0" w:type="dxa"/>
              <w:left w:w="108" w:type="dxa"/>
              <w:bottom w:w="0" w:type="dxa"/>
              <w:right w:w="108" w:type="dxa"/>
            </w:tcMar>
            <w:hideMark/>
          </w:tcPr>
          <w:p w14:paraId="2D392F96"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15,429,000 </w:t>
            </w:r>
          </w:p>
        </w:tc>
        <w:tc>
          <w:tcPr>
            <w:tcW w:w="1468" w:type="dxa"/>
            <w:tcMar>
              <w:top w:w="0" w:type="dxa"/>
              <w:left w:w="108" w:type="dxa"/>
              <w:bottom w:w="0" w:type="dxa"/>
              <w:right w:w="108" w:type="dxa"/>
            </w:tcMar>
            <w:hideMark/>
          </w:tcPr>
          <w:p w14:paraId="05E34997"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18,241,000 </w:t>
            </w:r>
          </w:p>
        </w:tc>
      </w:tr>
      <w:tr w:rsidR="00E43A4C" w:rsidRPr="0048137E" w14:paraId="5AF548D6"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16E33906"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Total Asset </w:t>
            </w:r>
          </w:p>
        </w:tc>
        <w:tc>
          <w:tcPr>
            <w:tcW w:w="1468" w:type="dxa"/>
            <w:tcMar>
              <w:top w:w="0" w:type="dxa"/>
              <w:left w:w="108" w:type="dxa"/>
              <w:bottom w:w="0" w:type="dxa"/>
              <w:right w:w="108" w:type="dxa"/>
            </w:tcMar>
            <w:hideMark/>
          </w:tcPr>
          <w:p w14:paraId="260F47C4"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14,957,000 </w:t>
            </w:r>
          </w:p>
        </w:tc>
        <w:tc>
          <w:tcPr>
            <w:tcW w:w="1468" w:type="dxa"/>
            <w:tcMar>
              <w:top w:w="0" w:type="dxa"/>
              <w:left w:w="108" w:type="dxa"/>
              <w:bottom w:w="0" w:type="dxa"/>
              <w:right w:w="108" w:type="dxa"/>
            </w:tcMar>
            <w:hideMark/>
          </w:tcPr>
          <w:p w14:paraId="3340E09A"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16,755,000 </w:t>
            </w:r>
          </w:p>
        </w:tc>
      </w:tr>
      <w:tr w:rsidR="00E43A4C" w:rsidRPr="0048137E" w14:paraId="550D2871"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0EF8323B"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Total Liabilities and Stockholder </w:t>
            </w:r>
          </w:p>
        </w:tc>
        <w:tc>
          <w:tcPr>
            <w:tcW w:w="1468" w:type="dxa"/>
            <w:tcMar>
              <w:top w:w="0" w:type="dxa"/>
              <w:left w:w="108" w:type="dxa"/>
              <w:bottom w:w="0" w:type="dxa"/>
              <w:right w:w="108" w:type="dxa"/>
            </w:tcMar>
            <w:hideMark/>
          </w:tcPr>
          <w:p w14:paraId="62ABB7E8"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14,957,000 </w:t>
            </w:r>
          </w:p>
        </w:tc>
        <w:tc>
          <w:tcPr>
            <w:tcW w:w="1468" w:type="dxa"/>
            <w:tcMar>
              <w:top w:w="0" w:type="dxa"/>
              <w:left w:w="108" w:type="dxa"/>
              <w:bottom w:w="0" w:type="dxa"/>
              <w:right w:w="108" w:type="dxa"/>
            </w:tcMar>
            <w:hideMark/>
          </w:tcPr>
          <w:p w14:paraId="70BB1B24"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16,755,000 </w:t>
            </w:r>
          </w:p>
        </w:tc>
      </w:tr>
      <w:tr w:rsidR="00E43A4C" w:rsidRPr="0048137E" w14:paraId="392C5962"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74D55455" w14:textId="4C42FF10"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Non</w:t>
            </w:r>
            <w:r w:rsidR="00511F48">
              <w:rPr>
                <w:rFonts w:eastAsia="Times New Roman" w:cstheme="minorHAnsi"/>
                <w:i/>
                <w:iCs/>
                <w:szCs w:val="24"/>
                <w:bdr w:val="none" w:sz="0" w:space="0" w:color="auto" w:frame="1"/>
                <w:lang w:eastAsia="en-GB"/>
              </w:rPr>
              <w:t>-</w:t>
            </w:r>
            <w:r w:rsidRPr="0048137E">
              <w:rPr>
                <w:rFonts w:eastAsia="Times New Roman" w:cstheme="minorHAnsi"/>
                <w:i/>
                <w:iCs/>
                <w:szCs w:val="24"/>
                <w:bdr w:val="none" w:sz="0" w:space="0" w:color="auto" w:frame="1"/>
                <w:lang w:eastAsia="en-GB"/>
              </w:rPr>
              <w:t>Current Asset </w:t>
            </w:r>
          </w:p>
        </w:tc>
        <w:tc>
          <w:tcPr>
            <w:tcW w:w="1468" w:type="dxa"/>
            <w:tcMar>
              <w:top w:w="0" w:type="dxa"/>
              <w:left w:w="108" w:type="dxa"/>
              <w:bottom w:w="0" w:type="dxa"/>
              <w:right w:w="108" w:type="dxa"/>
            </w:tcMar>
            <w:hideMark/>
          </w:tcPr>
          <w:p w14:paraId="3711468D"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12,558,000 </w:t>
            </w:r>
          </w:p>
        </w:tc>
        <w:tc>
          <w:tcPr>
            <w:tcW w:w="1468" w:type="dxa"/>
            <w:tcMar>
              <w:top w:w="0" w:type="dxa"/>
              <w:left w:w="108" w:type="dxa"/>
              <w:bottom w:w="0" w:type="dxa"/>
              <w:right w:w="108" w:type="dxa"/>
            </w:tcMar>
            <w:hideMark/>
          </w:tcPr>
          <w:p w14:paraId="2CCC6ADD"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15,810,000 </w:t>
            </w:r>
          </w:p>
        </w:tc>
      </w:tr>
      <w:tr w:rsidR="00E43A4C" w:rsidRPr="0048137E" w14:paraId="36373E93"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756DC7CF" w14:textId="778B7B34" w:rsidR="00E43A4C" w:rsidRPr="0048137E" w:rsidRDefault="006C172B" w:rsidP="0048137E">
            <w:pPr>
              <w:spacing w:after="0" w:line="360" w:lineRule="auto"/>
              <w:rPr>
                <w:rFonts w:eastAsia="Times New Roman" w:cstheme="minorHAnsi"/>
                <w:szCs w:val="24"/>
                <w:lang w:eastAsia="en-GB"/>
              </w:rPr>
            </w:pPr>
            <w:r>
              <w:rPr>
                <w:rFonts w:eastAsia="Times New Roman" w:cstheme="minorHAnsi"/>
                <w:i/>
                <w:iCs/>
                <w:szCs w:val="24"/>
                <w:bdr w:val="none" w:sz="0" w:space="0" w:color="auto" w:frame="1"/>
                <w:lang w:eastAsia="en-GB"/>
              </w:rPr>
              <w:t>Non-current</w:t>
            </w:r>
            <w:r w:rsidR="00E43A4C" w:rsidRPr="0048137E">
              <w:rPr>
                <w:rFonts w:eastAsia="Times New Roman" w:cstheme="minorHAnsi"/>
                <w:i/>
                <w:iCs/>
                <w:szCs w:val="24"/>
                <w:bdr w:val="none" w:sz="0" w:space="0" w:color="auto" w:frame="1"/>
                <w:lang w:eastAsia="en-GB"/>
              </w:rPr>
              <w:t xml:space="preserve"> Liabilities </w:t>
            </w:r>
          </w:p>
        </w:tc>
        <w:tc>
          <w:tcPr>
            <w:tcW w:w="1468" w:type="dxa"/>
            <w:tcMar>
              <w:top w:w="0" w:type="dxa"/>
              <w:left w:w="108" w:type="dxa"/>
              <w:bottom w:w="0" w:type="dxa"/>
              <w:right w:w="108" w:type="dxa"/>
            </w:tcMar>
            <w:hideMark/>
          </w:tcPr>
          <w:p w14:paraId="0F974DC8"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12,558,000 </w:t>
            </w:r>
          </w:p>
        </w:tc>
        <w:tc>
          <w:tcPr>
            <w:tcW w:w="1468" w:type="dxa"/>
            <w:tcMar>
              <w:top w:w="0" w:type="dxa"/>
              <w:left w:w="108" w:type="dxa"/>
              <w:bottom w:w="0" w:type="dxa"/>
              <w:right w:w="108" w:type="dxa"/>
            </w:tcMar>
            <w:hideMark/>
          </w:tcPr>
          <w:p w14:paraId="3A8FB59E"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15,810,000 </w:t>
            </w:r>
          </w:p>
        </w:tc>
      </w:tr>
      <w:tr w:rsidR="00E43A4C" w:rsidRPr="0048137E" w14:paraId="289A5B49"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00684E85"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Current Liabilities </w:t>
            </w:r>
          </w:p>
        </w:tc>
        <w:tc>
          <w:tcPr>
            <w:tcW w:w="1468" w:type="dxa"/>
            <w:tcMar>
              <w:top w:w="0" w:type="dxa"/>
              <w:left w:w="108" w:type="dxa"/>
              <w:bottom w:w="0" w:type="dxa"/>
              <w:right w:w="108" w:type="dxa"/>
            </w:tcMar>
            <w:hideMark/>
          </w:tcPr>
          <w:p w14:paraId="3C98F1E0"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2,871,000 </w:t>
            </w:r>
          </w:p>
        </w:tc>
        <w:tc>
          <w:tcPr>
            <w:tcW w:w="1468" w:type="dxa"/>
            <w:tcMar>
              <w:top w:w="0" w:type="dxa"/>
              <w:left w:w="108" w:type="dxa"/>
              <w:bottom w:w="0" w:type="dxa"/>
              <w:right w:w="108" w:type="dxa"/>
            </w:tcMar>
            <w:hideMark/>
          </w:tcPr>
          <w:p w14:paraId="5283E2A3"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2,431,000 </w:t>
            </w:r>
          </w:p>
        </w:tc>
      </w:tr>
      <w:tr w:rsidR="00E43A4C" w:rsidRPr="0048137E" w14:paraId="5DC965B7"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44ACD1B7"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Common Stock </w:t>
            </w:r>
          </w:p>
        </w:tc>
        <w:tc>
          <w:tcPr>
            <w:tcW w:w="1468" w:type="dxa"/>
            <w:tcMar>
              <w:top w:w="0" w:type="dxa"/>
              <w:left w:w="108" w:type="dxa"/>
              <w:bottom w:w="0" w:type="dxa"/>
              <w:right w:w="108" w:type="dxa"/>
            </w:tcMar>
            <w:hideMark/>
          </w:tcPr>
          <w:p w14:paraId="34F63D49"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3,000 </w:t>
            </w:r>
          </w:p>
        </w:tc>
        <w:tc>
          <w:tcPr>
            <w:tcW w:w="1468" w:type="dxa"/>
            <w:tcMar>
              <w:top w:w="0" w:type="dxa"/>
              <w:left w:w="108" w:type="dxa"/>
              <w:bottom w:w="0" w:type="dxa"/>
              <w:right w:w="108" w:type="dxa"/>
            </w:tcMar>
            <w:hideMark/>
          </w:tcPr>
          <w:p w14:paraId="6599F142"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3,000 </w:t>
            </w:r>
          </w:p>
        </w:tc>
      </w:tr>
      <w:tr w:rsidR="00E43A4C" w:rsidRPr="0048137E" w14:paraId="54F27FCC"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124FF72C"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Total Stockholders' Equity </w:t>
            </w:r>
          </w:p>
        </w:tc>
        <w:tc>
          <w:tcPr>
            <w:tcW w:w="1468" w:type="dxa"/>
            <w:tcMar>
              <w:top w:w="0" w:type="dxa"/>
              <w:left w:w="108" w:type="dxa"/>
              <w:bottom w:w="0" w:type="dxa"/>
              <w:right w:w="108" w:type="dxa"/>
            </w:tcMar>
            <w:hideMark/>
          </w:tcPr>
          <w:p w14:paraId="20CA16B9"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-482,000 </w:t>
            </w:r>
          </w:p>
        </w:tc>
        <w:tc>
          <w:tcPr>
            <w:tcW w:w="1468" w:type="dxa"/>
            <w:tcMar>
              <w:top w:w="0" w:type="dxa"/>
              <w:left w:w="108" w:type="dxa"/>
              <w:bottom w:w="0" w:type="dxa"/>
              <w:right w:w="108" w:type="dxa"/>
            </w:tcMar>
            <w:hideMark/>
          </w:tcPr>
          <w:p w14:paraId="03D6727B"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-1,490,000 </w:t>
            </w:r>
          </w:p>
        </w:tc>
      </w:tr>
      <w:tr w:rsidR="00E43A4C" w:rsidRPr="0048137E" w14:paraId="3CB26B49"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761D87E7"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i/>
                <w:iCs/>
                <w:szCs w:val="24"/>
                <w:bdr w:val="none" w:sz="0" w:space="0" w:color="auto" w:frame="1"/>
                <w:lang w:eastAsia="en-GB"/>
              </w:rPr>
              <w:t>Retained Earnings </w:t>
            </w:r>
          </w:p>
        </w:tc>
        <w:tc>
          <w:tcPr>
            <w:tcW w:w="1468" w:type="dxa"/>
            <w:tcMar>
              <w:top w:w="0" w:type="dxa"/>
              <w:left w:w="108" w:type="dxa"/>
              <w:bottom w:w="0" w:type="dxa"/>
              <w:right w:w="108" w:type="dxa"/>
            </w:tcMar>
            <w:hideMark/>
          </w:tcPr>
          <w:p w14:paraId="65F39E1B"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-5,965,000 </w:t>
            </w:r>
          </w:p>
        </w:tc>
        <w:tc>
          <w:tcPr>
            <w:tcW w:w="1468" w:type="dxa"/>
            <w:tcMar>
              <w:top w:w="0" w:type="dxa"/>
              <w:left w:w="108" w:type="dxa"/>
              <w:bottom w:w="0" w:type="dxa"/>
              <w:right w:w="108" w:type="dxa"/>
            </w:tcMar>
            <w:hideMark/>
          </w:tcPr>
          <w:p w14:paraId="4E054EF2"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-6,732,000 </w:t>
            </w:r>
          </w:p>
        </w:tc>
      </w:tr>
      <w:tr w:rsidR="00E43A4C" w:rsidRPr="0048137E" w14:paraId="7E386590" w14:textId="77777777" w:rsidTr="00E43A4C">
        <w:trPr>
          <w:trHeight w:val="297"/>
        </w:trPr>
        <w:tc>
          <w:tcPr>
            <w:tcW w:w="3043" w:type="dxa"/>
            <w:tcBorders>
              <w:top w:val="nil"/>
              <w:left w:val="nil"/>
              <w:bottom w:val="nil"/>
              <w:right w:val="single" w:sz="8" w:space="0" w:color="7F7F7F"/>
            </w:tcBorders>
            <w:tcMar>
              <w:top w:w="0" w:type="dxa"/>
              <w:left w:w="108" w:type="dxa"/>
              <w:bottom w:w="0" w:type="dxa"/>
              <w:right w:w="108" w:type="dxa"/>
            </w:tcMar>
            <w:hideMark/>
          </w:tcPr>
          <w:p w14:paraId="23CAB367"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i/>
                <w:iCs/>
                <w:szCs w:val="24"/>
                <w:bdr w:val="none" w:sz="0" w:space="0" w:color="auto" w:frame="1"/>
                <w:lang w:eastAsia="en-GB"/>
              </w:rPr>
              <w:t>Grand Total </w:t>
            </w:r>
          </w:p>
        </w:tc>
        <w:tc>
          <w:tcPr>
            <w:tcW w:w="1468" w:type="dxa"/>
            <w:tcMar>
              <w:top w:w="0" w:type="dxa"/>
              <w:left w:w="108" w:type="dxa"/>
              <w:bottom w:w="0" w:type="dxa"/>
              <w:right w:w="108" w:type="dxa"/>
            </w:tcMar>
            <w:hideMark/>
          </w:tcPr>
          <w:p w14:paraId="32512EC4"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66,886,000 </w:t>
            </w:r>
          </w:p>
        </w:tc>
        <w:tc>
          <w:tcPr>
            <w:tcW w:w="1468" w:type="dxa"/>
            <w:tcMar>
              <w:top w:w="0" w:type="dxa"/>
              <w:left w:w="108" w:type="dxa"/>
              <w:bottom w:w="0" w:type="dxa"/>
              <w:right w:w="108" w:type="dxa"/>
            </w:tcMar>
            <w:hideMark/>
          </w:tcPr>
          <w:p w14:paraId="6F7BDF74"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77,583,000 </w:t>
            </w:r>
          </w:p>
        </w:tc>
      </w:tr>
    </w:tbl>
    <w:p w14:paraId="549D5267"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6A709A94" w14:textId="0A7BC302" w:rsidR="00E43A4C" w:rsidRPr="0048137E" w:rsidRDefault="00CF3F21" w:rsidP="00541EB7">
      <w:pPr>
        <w:spacing w:after="0" w:line="360" w:lineRule="auto"/>
        <w:rPr>
          <w:rFonts w:eastAsia="Times New Roman" w:cstheme="minorHAnsi"/>
          <w:szCs w:val="24"/>
          <w:lang w:eastAsia="en-GB"/>
        </w:rPr>
      </w:pPr>
      <w:r>
        <w:rPr>
          <w:rFonts w:eastAsia="Times New Roman" w:cstheme="minorHAnsi"/>
          <w:szCs w:val="24"/>
          <w:lang w:eastAsia="en-GB"/>
        </w:rPr>
        <w:lastRenderedPageBreak/>
        <w:t>Notes that the sprea</w:t>
      </w:r>
      <w:r w:rsidR="006A55B9">
        <w:rPr>
          <w:rFonts w:eastAsia="Times New Roman" w:cstheme="minorHAnsi"/>
          <w:szCs w:val="24"/>
          <w:lang w:eastAsia="en-GB"/>
        </w:rPr>
        <w:t>d of covid</w:t>
      </w:r>
      <w:r w:rsidR="003E55CF">
        <w:rPr>
          <w:rFonts w:eastAsia="Times New Roman" w:cstheme="minorHAnsi"/>
          <w:szCs w:val="24"/>
          <w:lang w:eastAsia="en-GB"/>
        </w:rPr>
        <w:t xml:space="preserve"> 19 saw many </w:t>
      </w:r>
      <w:r w:rsidR="00AD28D4">
        <w:rPr>
          <w:rFonts w:eastAsia="Times New Roman" w:cstheme="minorHAnsi"/>
          <w:szCs w:val="24"/>
          <w:lang w:eastAsia="en-GB"/>
        </w:rPr>
        <w:t>firm</w:t>
      </w:r>
      <w:r w:rsidR="000A2AF3">
        <w:rPr>
          <w:rFonts w:eastAsia="Times New Roman" w:cstheme="minorHAnsi"/>
          <w:szCs w:val="24"/>
          <w:lang w:eastAsia="en-GB"/>
        </w:rPr>
        <w:t xml:space="preserve"> closers </w:t>
      </w:r>
      <w:r w:rsidR="00D2021E">
        <w:rPr>
          <w:rFonts w:eastAsia="Times New Roman" w:cstheme="minorHAnsi"/>
          <w:szCs w:val="24"/>
          <w:lang w:eastAsia="en-GB"/>
        </w:rPr>
        <w:t>and a</w:t>
      </w:r>
      <w:r w:rsidR="009A4BD7">
        <w:rPr>
          <w:rFonts w:eastAsia="Times New Roman" w:cstheme="minorHAnsi"/>
          <w:szCs w:val="24"/>
          <w:lang w:eastAsia="en-GB"/>
        </w:rPr>
        <w:t xml:space="preserve"> sharp</w:t>
      </w:r>
      <w:r w:rsidR="00BA2904">
        <w:rPr>
          <w:rFonts w:eastAsia="Times New Roman" w:cstheme="minorHAnsi"/>
          <w:szCs w:val="24"/>
          <w:lang w:eastAsia="en-GB"/>
        </w:rPr>
        <w:t xml:space="preserve"> </w:t>
      </w:r>
      <w:r w:rsidR="00AD28D4">
        <w:rPr>
          <w:rFonts w:eastAsia="Times New Roman" w:cstheme="minorHAnsi"/>
          <w:szCs w:val="24"/>
          <w:lang w:eastAsia="en-GB"/>
        </w:rPr>
        <w:t>shortfall</w:t>
      </w:r>
      <w:r w:rsidR="00386215">
        <w:rPr>
          <w:rFonts w:eastAsia="Times New Roman" w:cstheme="minorHAnsi"/>
          <w:szCs w:val="24"/>
          <w:lang w:eastAsia="en-GB"/>
        </w:rPr>
        <w:t xml:space="preserve"> in </w:t>
      </w:r>
      <w:r w:rsidR="00AD28D4">
        <w:rPr>
          <w:rFonts w:eastAsia="Times New Roman" w:cstheme="minorHAnsi"/>
          <w:szCs w:val="24"/>
          <w:lang w:eastAsia="en-GB"/>
        </w:rPr>
        <w:t>business revenue.</w:t>
      </w:r>
      <w:r w:rsidR="007A0642">
        <w:rPr>
          <w:rFonts w:eastAsia="Times New Roman" w:cstheme="minorHAnsi"/>
          <w:szCs w:val="24"/>
          <w:lang w:eastAsia="en-GB"/>
        </w:rPr>
        <w:t xml:space="preserve"> </w:t>
      </w:r>
      <w:r w:rsidR="00AD28D4">
        <w:rPr>
          <w:rFonts w:eastAsia="Times New Roman" w:cstheme="minorHAnsi"/>
          <w:szCs w:val="24"/>
          <w:lang w:eastAsia="en-GB"/>
        </w:rPr>
        <w:t>M</w:t>
      </w:r>
      <w:r w:rsidR="005D603C">
        <w:rPr>
          <w:rFonts w:eastAsia="Times New Roman" w:cstheme="minorHAnsi"/>
          <w:szCs w:val="24"/>
          <w:lang w:eastAsia="en-GB"/>
        </w:rPr>
        <w:t>oreover</w:t>
      </w:r>
      <w:r w:rsidR="00AD28D4">
        <w:rPr>
          <w:rFonts w:eastAsia="Times New Roman" w:cstheme="minorHAnsi"/>
          <w:szCs w:val="24"/>
          <w:lang w:eastAsia="en-GB"/>
        </w:rPr>
        <w:t>,</w:t>
      </w:r>
      <w:r w:rsidR="005D603C">
        <w:rPr>
          <w:rFonts w:eastAsia="Times New Roman" w:cstheme="minorHAnsi"/>
          <w:szCs w:val="24"/>
          <w:lang w:eastAsia="en-GB"/>
        </w:rPr>
        <w:t xml:space="preserve"> </w:t>
      </w:r>
      <w:r w:rsidR="00C60B25">
        <w:rPr>
          <w:rFonts w:eastAsia="Times New Roman" w:cstheme="minorHAnsi"/>
          <w:szCs w:val="24"/>
          <w:lang w:eastAsia="en-GB"/>
        </w:rPr>
        <w:t>Hilton</w:t>
      </w:r>
      <w:r w:rsidR="001512FF">
        <w:rPr>
          <w:rFonts w:eastAsia="Times New Roman" w:cstheme="minorHAnsi"/>
          <w:szCs w:val="24"/>
          <w:lang w:eastAsia="en-GB"/>
        </w:rPr>
        <w:t>'</w:t>
      </w:r>
      <w:r w:rsidR="00C60B25">
        <w:rPr>
          <w:rFonts w:eastAsia="Times New Roman" w:cstheme="minorHAnsi"/>
          <w:szCs w:val="24"/>
          <w:lang w:eastAsia="en-GB"/>
        </w:rPr>
        <w:t>s</w:t>
      </w:r>
      <w:r w:rsidR="00E43A4C" w:rsidRPr="0048137E">
        <w:rPr>
          <w:rFonts w:eastAsia="Times New Roman" w:cstheme="minorHAnsi"/>
          <w:szCs w:val="24"/>
          <w:lang w:eastAsia="en-GB"/>
        </w:rPr>
        <w:t xml:space="preserve"> Features for 2020 were bad, </w:t>
      </w:r>
      <w:r w:rsidR="00511F48">
        <w:rPr>
          <w:rFonts w:eastAsia="Times New Roman" w:cstheme="minorHAnsi"/>
          <w:szCs w:val="24"/>
          <w:lang w:eastAsia="en-GB"/>
        </w:rPr>
        <w:t xml:space="preserve">with </w:t>
      </w:r>
      <w:r w:rsidR="00E43A4C" w:rsidRPr="0048137E">
        <w:rPr>
          <w:rFonts w:eastAsia="Times New Roman" w:cstheme="minorHAnsi"/>
          <w:szCs w:val="24"/>
          <w:lang w:eastAsia="en-GB"/>
        </w:rPr>
        <w:t>2431,000 compared to 2019 – 2,871,000 when considering figures of the fiscal year, </w:t>
      </w:r>
      <w:r w:rsidR="00E43A4C" w:rsidRPr="0048137E">
        <w:rPr>
          <w:rFonts w:eastAsia="Times New Roman" w:cstheme="minorHAnsi"/>
          <w:szCs w:val="24"/>
          <w:bdr w:val="none" w:sz="0" w:space="0" w:color="auto" w:frame="1"/>
          <w:lang w:eastAsia="en-GB"/>
        </w:rPr>
        <w:t> </w:t>
      </w:r>
      <w:r w:rsidR="00E43A4C" w:rsidRPr="0048137E">
        <w:rPr>
          <w:rFonts w:eastAsia="Times New Roman" w:cstheme="minorHAnsi"/>
          <w:szCs w:val="24"/>
          <w:lang w:eastAsia="en-GB"/>
        </w:rPr>
        <w:t>therefore when considering</w:t>
      </w:r>
      <w:r w:rsidR="00DB1391">
        <w:rPr>
          <w:rFonts w:eastAsia="Times New Roman" w:cstheme="minorHAnsi"/>
          <w:szCs w:val="24"/>
          <w:lang w:eastAsia="en-GB"/>
        </w:rPr>
        <w:t xml:space="preserve"> </w:t>
      </w:r>
      <w:r w:rsidR="00E43A4C" w:rsidRPr="0048137E">
        <w:rPr>
          <w:rFonts w:eastAsia="Times New Roman" w:cstheme="minorHAnsi"/>
          <w:szCs w:val="24"/>
          <w:lang w:eastAsia="en-GB"/>
        </w:rPr>
        <w:t>the liquidity Ratio for Hilton, however, these figures did not match the 2019 figures liquidity measures definition of the systemic liquidity risk, liquidity measures are relatively frequent, that is no common definition of systemic liquidity risk, concerning when entering the risk was great, the breaking down in the entire money market Fiscus 2020, the hospitality industry moreover the, in general, the market was drying up on account of the pandemic and their assists, were decreasing in value with travel being restricted and hospitality having to close their door</w:t>
      </w:r>
      <w:r w:rsidR="00346F58">
        <w:rPr>
          <w:rFonts w:eastAsia="Times New Roman" w:cstheme="minorHAnsi"/>
          <w:szCs w:val="24"/>
          <w:lang w:eastAsia="en-GB"/>
        </w:rPr>
        <w:t>. Therefore</w:t>
      </w:r>
      <w:r w:rsidR="00E43A4C" w:rsidRPr="0048137E">
        <w:rPr>
          <w:rFonts w:eastAsia="Times New Roman" w:cstheme="minorHAnsi"/>
          <w:szCs w:val="24"/>
          <w:lang w:eastAsia="en-GB"/>
        </w:rPr>
        <w:t>, the company</w:t>
      </w:r>
      <w:r w:rsidR="00AE6078">
        <w:rPr>
          <w:rFonts w:eastAsia="Times New Roman" w:cstheme="minorHAnsi"/>
          <w:szCs w:val="24"/>
          <w:lang w:eastAsia="en-GB"/>
        </w:rPr>
        <w:t>,</w:t>
      </w:r>
      <w:r w:rsidR="00E43A4C" w:rsidRPr="0048137E">
        <w:rPr>
          <w:rFonts w:eastAsia="Times New Roman" w:cstheme="minorHAnsi"/>
          <w:szCs w:val="24"/>
          <w:lang w:eastAsia="en-GB"/>
        </w:rPr>
        <w:t xml:space="preserve"> to fulfil the organisation by using </w:t>
      </w:r>
      <w:r w:rsidR="00AE6078">
        <w:rPr>
          <w:rFonts w:eastAsia="Times New Roman" w:cstheme="minorHAnsi"/>
          <w:szCs w:val="24"/>
          <w:lang w:eastAsia="en-GB"/>
        </w:rPr>
        <w:t xml:space="preserve">the </w:t>
      </w:r>
      <w:r w:rsidR="00E43A4C" w:rsidRPr="0048137E">
        <w:rPr>
          <w:rFonts w:eastAsia="Times New Roman" w:cstheme="minorHAnsi"/>
          <w:szCs w:val="24"/>
          <w:lang w:eastAsia="en-GB"/>
        </w:rPr>
        <w:t xml:space="preserve">most </w:t>
      </w:r>
      <w:r w:rsidR="00AE6078">
        <w:rPr>
          <w:rFonts w:eastAsia="Times New Roman" w:cstheme="minorHAnsi"/>
          <w:szCs w:val="24"/>
          <w:lang w:eastAsia="en-GB"/>
        </w:rPr>
        <w:t>liquid</w:t>
      </w:r>
      <w:r w:rsidR="000358C0">
        <w:rPr>
          <w:rFonts w:eastAsia="Times New Roman" w:cstheme="minorHAnsi"/>
          <w:szCs w:val="24"/>
          <w:lang w:eastAsia="en-GB"/>
        </w:rPr>
        <w:t xml:space="preserve"> </w:t>
      </w:r>
      <w:r w:rsidR="000B7352">
        <w:rPr>
          <w:rFonts w:eastAsia="Times New Roman" w:cstheme="minorHAnsi"/>
          <w:szCs w:val="24"/>
          <w:lang w:eastAsia="en-GB"/>
        </w:rPr>
        <w:t>ratios</w:t>
      </w:r>
      <w:r w:rsidR="00AE6078">
        <w:rPr>
          <w:rFonts w:eastAsia="Times New Roman" w:cstheme="minorHAnsi"/>
          <w:szCs w:val="24"/>
          <w:lang w:eastAsia="en-GB"/>
        </w:rPr>
        <w:t>,</w:t>
      </w:r>
      <w:r w:rsidR="00E43A4C" w:rsidRPr="0048137E">
        <w:rPr>
          <w:rFonts w:eastAsia="Times New Roman" w:cstheme="minorHAnsi"/>
          <w:szCs w:val="24"/>
          <w:lang w:eastAsia="en-GB"/>
        </w:rPr>
        <w:t xml:space="preserve"> argues </w:t>
      </w:r>
      <w:r w:rsidR="003E0222">
        <w:rPr>
          <w:rFonts w:eastAsia="Times New Roman" w:cstheme="minorHAnsi"/>
          <w:szCs w:val="24"/>
          <w:lang w:eastAsia="en-GB"/>
        </w:rPr>
        <w:t xml:space="preserve">that </w:t>
      </w:r>
      <w:r w:rsidR="00E43A4C" w:rsidRPr="0048137E">
        <w:rPr>
          <w:rFonts w:eastAsia="Times New Roman" w:cstheme="minorHAnsi"/>
          <w:szCs w:val="24"/>
          <w:lang w:eastAsia="en-GB"/>
        </w:rPr>
        <w:t xml:space="preserve">the hospitality sector has seen a dramatic fall in the figures </w:t>
      </w:r>
      <w:r w:rsidR="003E0222">
        <w:rPr>
          <w:rFonts w:eastAsia="Times New Roman" w:cstheme="minorHAnsi"/>
          <w:szCs w:val="24"/>
          <w:lang w:eastAsia="en-GB"/>
        </w:rPr>
        <w:t xml:space="preserve">for </w:t>
      </w:r>
      <w:r w:rsidR="00E43A4C" w:rsidRPr="0048137E">
        <w:rPr>
          <w:rFonts w:eastAsia="Times New Roman" w:cstheme="minorHAnsi"/>
          <w:szCs w:val="24"/>
          <w:lang w:eastAsia="en-GB"/>
        </w:rPr>
        <w:t>2020 that might not recover for some time</w:t>
      </w:r>
      <w:r w:rsidR="009D48E1">
        <w:rPr>
          <w:rFonts w:eastAsia="Times New Roman" w:cstheme="minorHAnsi"/>
          <w:szCs w:val="24"/>
          <w:lang w:eastAsia="en-GB"/>
        </w:rPr>
        <w:t xml:space="preserve">. But </w:t>
      </w:r>
      <w:r w:rsidR="0098590A">
        <w:rPr>
          <w:rFonts w:eastAsia="Times New Roman" w:cstheme="minorHAnsi"/>
          <w:szCs w:val="24"/>
          <w:lang w:eastAsia="en-GB"/>
        </w:rPr>
        <w:t>research sho</w:t>
      </w:r>
      <w:r w:rsidR="00AD7E0B">
        <w:rPr>
          <w:rFonts w:eastAsia="Times New Roman" w:cstheme="minorHAnsi"/>
          <w:szCs w:val="24"/>
          <w:lang w:eastAsia="en-GB"/>
        </w:rPr>
        <w:t xml:space="preserve">w’s Hilton </w:t>
      </w:r>
      <w:r w:rsidR="00F61A50">
        <w:rPr>
          <w:rFonts w:eastAsia="Times New Roman" w:cstheme="minorHAnsi"/>
          <w:szCs w:val="24"/>
          <w:lang w:eastAsia="en-GB"/>
        </w:rPr>
        <w:t xml:space="preserve">will recover there losses </w:t>
      </w:r>
      <w:r w:rsidR="00863C55">
        <w:rPr>
          <w:rFonts w:eastAsia="Times New Roman" w:cstheme="minorHAnsi"/>
          <w:szCs w:val="24"/>
          <w:lang w:eastAsia="en-GB"/>
        </w:rPr>
        <w:t xml:space="preserve">in 2021 </w:t>
      </w:r>
      <w:r w:rsidR="00B63FAB">
        <w:rPr>
          <w:rFonts w:eastAsia="Times New Roman" w:cstheme="minorHAnsi"/>
          <w:szCs w:val="24"/>
          <w:lang w:eastAsia="en-GB"/>
        </w:rPr>
        <w:t>and</w:t>
      </w:r>
      <w:r w:rsidR="00710996">
        <w:rPr>
          <w:rFonts w:eastAsia="Times New Roman" w:cstheme="minorHAnsi"/>
          <w:szCs w:val="24"/>
          <w:lang w:eastAsia="en-GB"/>
        </w:rPr>
        <w:t xml:space="preserve"> secure</w:t>
      </w:r>
      <w:r w:rsidR="00B63FAB">
        <w:rPr>
          <w:rFonts w:eastAsia="Times New Roman" w:cstheme="minorHAnsi"/>
          <w:szCs w:val="24"/>
          <w:lang w:eastAsia="en-GB"/>
        </w:rPr>
        <w:t xml:space="preserve"> revenue </w:t>
      </w:r>
      <w:r w:rsidR="00F9188E">
        <w:rPr>
          <w:rFonts w:eastAsia="Times New Roman" w:cstheme="minorHAnsi"/>
          <w:szCs w:val="24"/>
          <w:lang w:eastAsia="en-GB"/>
        </w:rPr>
        <w:t xml:space="preserve">from room bookings </w:t>
      </w:r>
      <w:r w:rsidR="00A557E1">
        <w:rPr>
          <w:rFonts w:eastAsia="Times New Roman" w:cstheme="minorHAnsi"/>
          <w:szCs w:val="24"/>
          <w:lang w:eastAsia="en-GB"/>
        </w:rPr>
        <w:t xml:space="preserve">therefore hotels </w:t>
      </w:r>
      <w:r w:rsidR="008848ED">
        <w:rPr>
          <w:rFonts w:eastAsia="Times New Roman" w:cstheme="minorHAnsi"/>
          <w:szCs w:val="24"/>
          <w:lang w:eastAsia="en-GB"/>
        </w:rPr>
        <w:t xml:space="preserve">tourism gain </w:t>
      </w:r>
      <w:r w:rsidR="00033F73">
        <w:rPr>
          <w:rFonts w:eastAsia="Times New Roman" w:cstheme="minorHAnsi"/>
          <w:szCs w:val="24"/>
          <w:lang w:eastAsia="en-GB"/>
        </w:rPr>
        <w:t xml:space="preserve">confidence </w:t>
      </w:r>
      <w:r w:rsidR="00B701CF">
        <w:rPr>
          <w:rFonts w:eastAsia="Times New Roman" w:cstheme="minorHAnsi"/>
          <w:szCs w:val="24"/>
          <w:lang w:eastAsia="en-GB"/>
        </w:rPr>
        <w:t xml:space="preserve">with </w:t>
      </w:r>
      <w:proofErr w:type="spellStart"/>
      <w:r w:rsidR="00B701CF">
        <w:rPr>
          <w:rFonts w:eastAsia="Times New Roman" w:cstheme="minorHAnsi"/>
          <w:szCs w:val="24"/>
          <w:lang w:eastAsia="en-GB"/>
        </w:rPr>
        <w:t>trevel</w:t>
      </w:r>
      <w:proofErr w:type="spellEnd"/>
      <w:r w:rsidR="00B701CF">
        <w:rPr>
          <w:rFonts w:eastAsia="Times New Roman" w:cstheme="minorHAnsi"/>
          <w:szCs w:val="24"/>
          <w:lang w:eastAsia="en-GB"/>
        </w:rPr>
        <w:t xml:space="preserve"> restrictions </w:t>
      </w:r>
      <w:r w:rsidR="00610030">
        <w:rPr>
          <w:rFonts w:eastAsia="Times New Roman" w:cstheme="minorHAnsi"/>
          <w:szCs w:val="24"/>
          <w:lang w:eastAsia="en-GB"/>
        </w:rPr>
        <w:t>consumers</w:t>
      </w:r>
      <w:r w:rsidR="001B59F2">
        <w:rPr>
          <w:rFonts w:eastAsia="Times New Roman" w:cstheme="minorHAnsi"/>
          <w:szCs w:val="24"/>
          <w:lang w:eastAsia="en-GB"/>
        </w:rPr>
        <w:t xml:space="preserve"> settle for stay</w:t>
      </w:r>
      <w:r w:rsidR="002470AD">
        <w:rPr>
          <w:rFonts w:eastAsia="Times New Roman" w:cstheme="minorHAnsi"/>
          <w:szCs w:val="24"/>
          <w:lang w:eastAsia="en-GB"/>
        </w:rPr>
        <w:t>cation</w:t>
      </w:r>
      <w:r w:rsidR="009B79B0">
        <w:rPr>
          <w:rFonts w:eastAsia="Times New Roman" w:cstheme="minorHAnsi"/>
          <w:szCs w:val="24"/>
          <w:lang w:eastAsia="en-GB"/>
        </w:rPr>
        <w:t xml:space="preserve"> or holiday in there own countr</w:t>
      </w:r>
      <w:r w:rsidR="00CF5568">
        <w:rPr>
          <w:rFonts w:eastAsia="Times New Roman" w:cstheme="minorHAnsi"/>
          <w:szCs w:val="24"/>
          <w:lang w:eastAsia="en-GB"/>
        </w:rPr>
        <w:t xml:space="preserve">y </w:t>
      </w:r>
      <w:r w:rsidR="00AE6078">
        <w:rPr>
          <w:rFonts w:eastAsia="Times New Roman" w:cstheme="minorHAnsi"/>
          <w:szCs w:val="24"/>
          <w:bdr w:val="none" w:sz="0" w:space="0" w:color="auto" w:frame="1"/>
          <w:lang w:eastAsia="en-GB"/>
        </w:rPr>
        <w:t>(</w:t>
      </w:r>
      <w:proofErr w:type="spellStart"/>
      <w:r w:rsidR="00541EB7">
        <w:rPr>
          <w:rFonts w:eastAsia="Times New Roman" w:cstheme="minorHAnsi"/>
          <w:szCs w:val="24"/>
          <w:lang w:eastAsia="en-GB"/>
        </w:rPr>
        <w:t>Ramelli</w:t>
      </w:r>
      <w:proofErr w:type="spellEnd"/>
      <w:r w:rsidR="00541EB7">
        <w:rPr>
          <w:rFonts w:eastAsia="Times New Roman" w:cstheme="minorHAnsi"/>
          <w:szCs w:val="24"/>
          <w:lang w:eastAsia="en-GB"/>
        </w:rPr>
        <w:t xml:space="preserve"> and Wagner, 2020</w:t>
      </w:r>
      <w:r w:rsidR="00541EB7" w:rsidRPr="0048137E">
        <w:rPr>
          <w:rFonts w:eastAsia="Times New Roman" w:cstheme="minorHAnsi"/>
          <w:szCs w:val="24"/>
          <w:lang w:eastAsia="en-GB"/>
        </w:rPr>
        <w:t>)</w:t>
      </w:r>
      <w:r w:rsidR="00AE6078">
        <w:rPr>
          <w:rFonts w:eastAsia="Times New Roman" w:cstheme="minorHAnsi"/>
          <w:szCs w:val="24"/>
          <w:lang w:eastAsia="en-GB"/>
        </w:rPr>
        <w:t>.</w:t>
      </w:r>
    </w:p>
    <w:p w14:paraId="21100B7D" w14:textId="34B7C897" w:rsidR="00E43A4C" w:rsidRPr="0048137E" w:rsidRDefault="00E43A4C" w:rsidP="00363900">
      <w:pPr>
        <w:spacing w:line="360" w:lineRule="auto"/>
        <w:jc w:val="both"/>
        <w:rPr>
          <w:rFonts w:eastAsia="Times New Roman" w:cstheme="minorHAnsi"/>
          <w:szCs w:val="24"/>
          <w:lang w:eastAsia="en-GB"/>
        </w:rPr>
      </w:pPr>
      <w:r w:rsidRPr="0048137E">
        <w:rPr>
          <w:rFonts w:eastAsia="Times New Roman" w:cstheme="minorHAnsi"/>
          <w:szCs w:val="24"/>
          <w:lang w:eastAsia="en-GB"/>
        </w:rPr>
        <w:t>  </w:t>
      </w:r>
    </w:p>
    <w:p w14:paraId="7F956F9B"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 </w:t>
      </w:r>
    </w:p>
    <w:p w14:paraId="22E78C2A" w14:textId="0919D091"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Cha</w:t>
      </w:r>
      <w:r w:rsidR="0048137E" w:rsidRPr="0048137E">
        <w:rPr>
          <w:rFonts w:eastAsia="Times New Roman" w:cstheme="minorHAnsi"/>
          <w:szCs w:val="24"/>
          <w:lang w:eastAsia="en-GB"/>
        </w:rPr>
        <w:t>r</w:t>
      </w:r>
      <w:r w:rsidRPr="0048137E">
        <w:rPr>
          <w:rFonts w:eastAsia="Times New Roman" w:cstheme="minorHAnsi"/>
          <w:szCs w:val="24"/>
          <w:lang w:eastAsia="en-GB"/>
        </w:rPr>
        <w:t>t 3</w:t>
      </w:r>
      <w:r w:rsidR="0048137E" w:rsidRPr="0048137E">
        <w:rPr>
          <w:rFonts w:eastAsia="Times New Roman" w:cstheme="minorHAnsi"/>
          <w:szCs w:val="24"/>
          <w:lang w:eastAsia="en-GB"/>
        </w:rPr>
        <w:t>: Liquid Ratio</w:t>
      </w:r>
      <w:r w:rsidRPr="0048137E">
        <w:rPr>
          <w:rFonts w:eastAsia="Times New Roman" w:cstheme="minorHAnsi"/>
          <w:szCs w:val="24"/>
          <w:lang w:eastAsia="en-GB"/>
        </w:rPr>
        <w:t> </w:t>
      </w:r>
    </w:p>
    <w:p w14:paraId="27F8EEAB"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 </w:t>
      </w:r>
    </w:p>
    <w:p w14:paraId="13E8CD92" w14:textId="57391B1C" w:rsidR="00E43A4C" w:rsidRPr="0048137E" w:rsidRDefault="00273F9C" w:rsidP="0048137E">
      <w:pPr>
        <w:spacing w:line="360" w:lineRule="auto"/>
        <w:rPr>
          <w:rFonts w:eastAsia="Times New Roman" w:cstheme="minorHAnsi"/>
          <w:szCs w:val="24"/>
          <w:lang w:eastAsia="en-GB"/>
        </w:rPr>
      </w:pPr>
      <w:proofErr w:type="spellStart"/>
      <w:r>
        <w:rPr>
          <w:rFonts w:eastAsia="Times New Roman" w:cstheme="minorHAnsi"/>
          <w:szCs w:val="24"/>
          <w:lang w:eastAsia="en-GB"/>
        </w:rPr>
        <w:t>Gerding</w:t>
      </w:r>
      <w:proofErr w:type="spellEnd"/>
      <w:r>
        <w:rPr>
          <w:rFonts w:eastAsia="Times New Roman" w:cstheme="minorHAnsi"/>
          <w:szCs w:val="24"/>
          <w:lang w:eastAsia="en-GB"/>
        </w:rPr>
        <w:t>, Mart</w:t>
      </w:r>
      <w:r w:rsidR="000C01D8">
        <w:rPr>
          <w:rFonts w:eastAsia="Times New Roman" w:cstheme="minorHAnsi"/>
          <w:szCs w:val="24"/>
          <w:lang w:eastAsia="en-GB"/>
        </w:rPr>
        <w:t xml:space="preserve">in, and </w:t>
      </w:r>
      <w:proofErr w:type="spellStart"/>
      <w:r w:rsidR="00DD3C39">
        <w:rPr>
          <w:rFonts w:eastAsia="Times New Roman" w:cstheme="minorHAnsi"/>
          <w:szCs w:val="24"/>
          <w:lang w:eastAsia="en-GB"/>
        </w:rPr>
        <w:t>Nagler</w:t>
      </w:r>
      <w:proofErr w:type="spellEnd"/>
      <w:r w:rsidR="00DD3C39">
        <w:rPr>
          <w:rFonts w:eastAsia="Times New Roman" w:cstheme="minorHAnsi"/>
          <w:szCs w:val="24"/>
          <w:lang w:eastAsia="en-GB"/>
        </w:rPr>
        <w:t>,</w:t>
      </w:r>
      <w:r w:rsidR="00E43A4C" w:rsidRPr="00C12831">
        <w:rPr>
          <w:rFonts w:eastAsia="Times New Roman" w:cstheme="minorHAnsi"/>
          <w:i/>
          <w:iCs/>
          <w:szCs w:val="24"/>
          <w:lang w:eastAsia="en-GB"/>
        </w:rPr>
        <w:t xml:space="preserve"> </w:t>
      </w:r>
      <w:r w:rsidR="00E43A4C" w:rsidRPr="0048137E">
        <w:rPr>
          <w:rFonts w:eastAsia="Times New Roman" w:cstheme="minorHAnsi"/>
          <w:szCs w:val="24"/>
          <w:lang w:eastAsia="en-GB"/>
        </w:rPr>
        <w:t>(20</w:t>
      </w:r>
      <w:r w:rsidR="009E1361">
        <w:rPr>
          <w:rFonts w:eastAsia="Times New Roman" w:cstheme="minorHAnsi"/>
          <w:szCs w:val="24"/>
          <w:lang w:eastAsia="en-GB"/>
        </w:rPr>
        <w:t>2</w:t>
      </w:r>
      <w:r w:rsidR="008D2748">
        <w:rPr>
          <w:rFonts w:eastAsia="Times New Roman" w:cstheme="minorHAnsi"/>
          <w:szCs w:val="24"/>
          <w:lang w:eastAsia="en-GB"/>
        </w:rPr>
        <w:t>0</w:t>
      </w:r>
      <w:r w:rsidR="00E43A4C" w:rsidRPr="0048137E">
        <w:rPr>
          <w:rFonts w:eastAsia="Times New Roman" w:cstheme="minorHAnsi"/>
          <w:szCs w:val="24"/>
          <w:lang w:eastAsia="en-GB"/>
        </w:rPr>
        <w:t xml:space="preserve">) </w:t>
      </w:r>
      <w:r w:rsidR="00DF4EE4">
        <w:rPr>
          <w:rFonts w:eastAsia="Times New Roman" w:cstheme="minorHAnsi"/>
          <w:szCs w:val="24"/>
          <w:lang w:eastAsia="en-GB"/>
        </w:rPr>
        <w:t>elaborate</w:t>
      </w:r>
      <w:r w:rsidR="00E43A4C" w:rsidRPr="0048137E">
        <w:rPr>
          <w:rFonts w:eastAsia="Times New Roman" w:cstheme="minorHAnsi"/>
          <w:szCs w:val="24"/>
          <w:lang w:eastAsia="en-GB"/>
        </w:rPr>
        <w:t xml:space="preserve"> that the current ratio, current assets/current </w:t>
      </w:r>
      <w:r w:rsidR="008E4396" w:rsidRPr="0048137E">
        <w:rPr>
          <w:rFonts w:eastAsia="Times New Roman" w:cstheme="minorHAnsi"/>
          <w:szCs w:val="24"/>
          <w:lang w:eastAsia="en-GB"/>
        </w:rPr>
        <w:t>liabilities,</w:t>
      </w:r>
      <w:r w:rsidR="008E4396">
        <w:rPr>
          <w:rFonts w:eastAsia="Times New Roman" w:cstheme="minorHAnsi"/>
          <w:szCs w:val="24"/>
          <w:lang w:eastAsia="en-GB"/>
        </w:rPr>
        <w:t xml:space="preserve"> as</w:t>
      </w:r>
      <w:r w:rsidR="00E3157A">
        <w:rPr>
          <w:rFonts w:eastAsia="Times New Roman" w:cstheme="minorHAnsi"/>
          <w:szCs w:val="24"/>
          <w:lang w:eastAsia="en-GB"/>
        </w:rPr>
        <w:t xml:space="preserve"> an example of</w:t>
      </w:r>
      <w:r w:rsidR="00E43A4C" w:rsidRPr="0048137E">
        <w:rPr>
          <w:rFonts w:eastAsia="Times New Roman" w:cstheme="minorHAnsi"/>
          <w:szCs w:val="24"/>
          <w:lang w:eastAsia="en-GB"/>
        </w:rPr>
        <w:t xml:space="preserve"> rati</w:t>
      </w:r>
      <w:r w:rsidR="00E3157A">
        <w:rPr>
          <w:rFonts w:eastAsia="Times New Roman" w:cstheme="minorHAnsi"/>
          <w:szCs w:val="24"/>
          <w:lang w:eastAsia="en-GB"/>
        </w:rPr>
        <w:t>o</w:t>
      </w:r>
      <w:r w:rsidR="003E0222">
        <w:rPr>
          <w:rFonts w:eastAsia="Times New Roman" w:cstheme="minorHAnsi"/>
          <w:szCs w:val="24"/>
          <w:lang w:eastAsia="en-GB"/>
        </w:rPr>
        <w:t>,</w:t>
      </w:r>
      <w:r w:rsidR="00B93169">
        <w:rPr>
          <w:rFonts w:eastAsia="Times New Roman" w:cstheme="minorHAnsi"/>
          <w:szCs w:val="24"/>
          <w:lang w:eastAsia="en-GB"/>
        </w:rPr>
        <w:t xml:space="preserve"> an</w:t>
      </w:r>
      <w:r w:rsidR="00D559CF">
        <w:rPr>
          <w:rFonts w:eastAsia="Times New Roman" w:cstheme="minorHAnsi"/>
          <w:szCs w:val="24"/>
          <w:lang w:eastAsia="en-GB"/>
        </w:rPr>
        <w:t>aly</w:t>
      </w:r>
      <w:r w:rsidR="00B93169">
        <w:rPr>
          <w:rFonts w:eastAsia="Times New Roman" w:cstheme="minorHAnsi"/>
          <w:szCs w:val="24"/>
          <w:lang w:eastAsia="en-GB"/>
        </w:rPr>
        <w:t>ses</w:t>
      </w:r>
      <w:r w:rsidR="009919F6">
        <w:rPr>
          <w:rFonts w:eastAsia="Times New Roman" w:cstheme="minorHAnsi"/>
          <w:szCs w:val="24"/>
          <w:lang w:eastAsia="en-GB"/>
        </w:rPr>
        <w:t xml:space="preserve"> argues that</w:t>
      </w:r>
      <w:r w:rsidR="00E43A4C" w:rsidRPr="0048137E">
        <w:rPr>
          <w:rFonts w:eastAsia="Times New Roman" w:cstheme="minorHAnsi"/>
          <w:szCs w:val="24"/>
          <w:lang w:eastAsia="en-GB"/>
        </w:rPr>
        <w:t xml:space="preserve"> the inventory of the current assets/liabilities abilities </w:t>
      </w:r>
      <w:r w:rsidR="00DF4EE4">
        <w:rPr>
          <w:rFonts w:eastAsia="Times New Roman" w:cstheme="minorHAnsi"/>
          <w:szCs w:val="24"/>
          <w:lang w:eastAsia="en-GB"/>
        </w:rPr>
        <w:t>is</w:t>
      </w:r>
      <w:r w:rsidR="00E43A4C" w:rsidRPr="0048137E">
        <w:rPr>
          <w:rFonts w:eastAsia="Times New Roman" w:cstheme="minorHAnsi"/>
          <w:szCs w:val="24"/>
          <w:lang w:eastAsia="en-GB"/>
        </w:rPr>
        <w:t xml:space="preserve"> the most widely used measures of the organisation</w:t>
      </w:r>
      <w:r w:rsidR="0049371E">
        <w:rPr>
          <w:rFonts w:eastAsia="Times New Roman" w:cstheme="minorHAnsi"/>
          <w:szCs w:val="24"/>
          <w:lang w:eastAsia="en-GB"/>
        </w:rPr>
        <w:t>'</w:t>
      </w:r>
      <w:r w:rsidR="00E43A4C" w:rsidRPr="0048137E">
        <w:rPr>
          <w:rFonts w:eastAsia="Times New Roman" w:cstheme="minorHAnsi"/>
          <w:szCs w:val="24"/>
          <w:lang w:eastAsia="en-GB"/>
        </w:rPr>
        <w:t>s liquidity, moreover</w:t>
      </w:r>
      <w:r w:rsidR="003F1968">
        <w:rPr>
          <w:rFonts w:eastAsia="Times New Roman" w:cstheme="minorHAnsi"/>
          <w:szCs w:val="24"/>
          <w:lang w:eastAsia="en-GB"/>
        </w:rPr>
        <w:t>,</w:t>
      </w:r>
      <w:r w:rsidR="00E43A4C" w:rsidRPr="0048137E">
        <w:rPr>
          <w:rFonts w:eastAsia="Times New Roman" w:cstheme="minorHAnsi"/>
          <w:szCs w:val="24"/>
          <w:lang w:eastAsia="en-GB"/>
        </w:rPr>
        <w:t xml:space="preserve"> further examining info to companies, it can repay its most current creditors with a study floor of the liquidity ratio 2020 has was a bad fiscal year for the firm, therefore for the analysis to examine the effect of short -term P</w:t>
      </w:r>
      <w:r w:rsidR="002E7E82">
        <w:rPr>
          <w:rFonts w:eastAsia="Times New Roman" w:cstheme="minorHAnsi"/>
          <w:szCs w:val="24"/>
          <w:lang w:eastAsia="en-GB"/>
        </w:rPr>
        <w:t>.O.</w:t>
      </w:r>
      <w:r w:rsidR="00E43A4C" w:rsidRPr="0048137E">
        <w:rPr>
          <w:rFonts w:eastAsia="Times New Roman" w:cstheme="minorHAnsi"/>
          <w:szCs w:val="24"/>
          <w:lang w:eastAsia="en-GB"/>
        </w:rPr>
        <w:t>s on the most important aspects of the company liquidity.  </w:t>
      </w:r>
    </w:p>
    <w:p w14:paraId="65231D66"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Ratio Formula 2020 2019  </w:t>
      </w:r>
    </w:p>
    <w:p w14:paraId="0F2BB736"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ratio-forms -interest-2019-liq-net-working-capital-current-assets-current-liab-103-867-5-q76291365 </w:t>
      </w:r>
    </w:p>
    <w:p w14:paraId="6523D05F" w14:textId="7BEA0DAA" w:rsidR="00E43A4C" w:rsidRDefault="00E43A4C" w:rsidP="008E4396">
      <w:pPr>
        <w:spacing w:line="360" w:lineRule="auto"/>
        <w:jc w:val="both"/>
        <w:rPr>
          <w:rFonts w:eastAsia="Times New Roman" w:cstheme="minorHAnsi"/>
          <w:szCs w:val="24"/>
          <w:lang w:eastAsia="en-GB"/>
        </w:rPr>
      </w:pPr>
      <w:r w:rsidRPr="0048137E">
        <w:rPr>
          <w:rFonts w:eastAsia="Times New Roman" w:cstheme="minorHAnsi"/>
          <w:szCs w:val="24"/>
          <w:lang w:eastAsia="en-GB"/>
        </w:rPr>
        <w:t>Answer to Ratio Formula 2020 2019. Ratio. Formula. 2020. 2019. Liq. Net Working Capital = Current Assets - Current Lab  </w:t>
      </w:r>
    </w:p>
    <w:p w14:paraId="5D1B3D73" w14:textId="77777777" w:rsidR="0048137E" w:rsidRPr="0048137E" w:rsidRDefault="0048137E" w:rsidP="0048137E">
      <w:pPr>
        <w:spacing w:line="360" w:lineRule="auto"/>
        <w:rPr>
          <w:rFonts w:eastAsia="Times New Roman" w:cstheme="minorHAnsi"/>
          <w:szCs w:val="24"/>
          <w:lang w:eastAsia="en-GB"/>
        </w:rPr>
      </w:pPr>
    </w:p>
    <w:p w14:paraId="29FDBAE2"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tbl>
      <w:tblPr>
        <w:tblpPr w:leftFromText="180" w:rightFromText="180" w:vertAnchor="text"/>
        <w:tblW w:w="4078" w:type="dxa"/>
        <w:tblCellMar>
          <w:top w:w="15" w:type="dxa"/>
          <w:left w:w="15" w:type="dxa"/>
          <w:bottom w:w="15" w:type="dxa"/>
          <w:right w:w="15" w:type="dxa"/>
        </w:tblCellMar>
        <w:tblLook w:val="04A0" w:firstRow="1" w:lastRow="0" w:firstColumn="1" w:lastColumn="0" w:noHBand="0" w:noVBand="1"/>
      </w:tblPr>
      <w:tblGrid>
        <w:gridCol w:w="1642"/>
        <w:gridCol w:w="1218"/>
        <w:gridCol w:w="1218"/>
      </w:tblGrid>
      <w:tr w:rsidR="00E43A4C" w:rsidRPr="0048137E" w14:paraId="76BDD76D" w14:textId="77777777" w:rsidTr="00E43A4C">
        <w:trPr>
          <w:trHeight w:val="307"/>
        </w:trPr>
        <w:tc>
          <w:tcPr>
            <w:tcW w:w="170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5F738F0"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Row Labels </w:t>
            </w:r>
          </w:p>
        </w:tc>
        <w:tc>
          <w:tcPr>
            <w:tcW w:w="118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84FF194"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Sum of 2019 </w:t>
            </w:r>
          </w:p>
        </w:tc>
        <w:tc>
          <w:tcPr>
            <w:tcW w:w="118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DF3A2EB"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Sum of 2020 </w:t>
            </w:r>
          </w:p>
        </w:tc>
      </w:tr>
      <w:tr w:rsidR="00E43A4C" w:rsidRPr="0048137E" w14:paraId="1375AA06" w14:textId="77777777" w:rsidTr="00E43A4C">
        <w:trPr>
          <w:trHeight w:val="307"/>
        </w:trPr>
        <w:tc>
          <w:tcPr>
            <w:tcW w:w="17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BFE6A6E"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net profit +cash in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1A45E54A"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2435000 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067A0DF2"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583000 </w:t>
            </w:r>
          </w:p>
        </w:tc>
      </w:tr>
      <w:tr w:rsidR="00E43A4C" w:rsidRPr="0048137E" w14:paraId="487A0A0C" w14:textId="77777777" w:rsidTr="00E43A4C">
        <w:trPr>
          <w:trHeight w:val="307"/>
        </w:trPr>
        <w:tc>
          <w:tcPr>
            <w:tcW w:w="17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40868FF"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loan capital/total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71B0B6AE"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2431000 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235D2C52"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2431000 </w:t>
            </w:r>
          </w:p>
        </w:tc>
      </w:tr>
      <w:tr w:rsidR="00E43A4C" w:rsidRPr="0048137E" w14:paraId="566F9DDE" w14:textId="77777777" w:rsidTr="00E43A4C">
        <w:trPr>
          <w:trHeight w:val="307"/>
        </w:trPr>
        <w:tc>
          <w:tcPr>
            <w:tcW w:w="17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CE05A69"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100 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15F91EC7" w14:textId="77777777" w:rsidR="00E43A4C" w:rsidRPr="0048137E" w:rsidRDefault="00E43A4C" w:rsidP="0048137E">
            <w:pPr>
              <w:spacing w:after="0" w:line="360" w:lineRule="auto"/>
              <w:rPr>
                <w:rFonts w:eastAsia="Times New Roman" w:cstheme="minorHAnsi"/>
                <w:szCs w:val="24"/>
                <w:lang w:eastAsia="en-GB"/>
              </w:rPr>
            </w:pP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111E675A" w14:textId="77777777" w:rsidR="00E43A4C" w:rsidRPr="0048137E" w:rsidRDefault="00E43A4C" w:rsidP="0048137E">
            <w:pPr>
              <w:spacing w:after="0" w:line="360" w:lineRule="auto"/>
              <w:rPr>
                <w:rFonts w:eastAsia="Times New Roman" w:cstheme="minorHAnsi"/>
                <w:szCs w:val="24"/>
                <w:lang w:eastAsia="en-GB"/>
              </w:rPr>
            </w:pPr>
          </w:p>
        </w:tc>
      </w:tr>
      <w:tr w:rsidR="00E43A4C" w:rsidRPr="0048137E" w14:paraId="22FEFAE8" w14:textId="77777777" w:rsidTr="00E43A4C">
        <w:trPr>
          <w:trHeight w:val="307"/>
        </w:trPr>
        <w:tc>
          <w:tcPr>
            <w:tcW w:w="17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3083401"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capital employed)*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3CBFC27C" w14:textId="77777777" w:rsidR="00E43A4C" w:rsidRPr="0048137E" w:rsidRDefault="00E43A4C" w:rsidP="0048137E">
            <w:pPr>
              <w:spacing w:after="0" w:line="360" w:lineRule="auto"/>
              <w:rPr>
                <w:rFonts w:eastAsia="Times New Roman" w:cstheme="minorHAnsi"/>
                <w:szCs w:val="24"/>
                <w:lang w:eastAsia="en-GB"/>
              </w:rPr>
            </w:pP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2394EAC3" w14:textId="77777777" w:rsidR="00E43A4C" w:rsidRPr="0048137E" w:rsidRDefault="00E43A4C" w:rsidP="0048137E">
            <w:pPr>
              <w:spacing w:after="0" w:line="360" w:lineRule="auto"/>
              <w:rPr>
                <w:rFonts w:eastAsia="Times New Roman" w:cstheme="minorHAnsi"/>
                <w:szCs w:val="24"/>
                <w:lang w:eastAsia="en-GB"/>
              </w:rPr>
            </w:pPr>
          </w:p>
        </w:tc>
      </w:tr>
      <w:tr w:rsidR="00E43A4C" w:rsidRPr="0048137E" w14:paraId="2884CBD2" w14:textId="77777777" w:rsidTr="00E43A4C">
        <w:trPr>
          <w:trHeight w:val="307"/>
        </w:trPr>
        <w:tc>
          <w:tcPr>
            <w:tcW w:w="17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AEC555F"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hand/ loan interest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4793F51A" w14:textId="77777777" w:rsidR="00E43A4C" w:rsidRPr="0048137E" w:rsidRDefault="00E43A4C" w:rsidP="0048137E">
            <w:pPr>
              <w:spacing w:after="0" w:line="360" w:lineRule="auto"/>
              <w:rPr>
                <w:rFonts w:eastAsia="Times New Roman" w:cstheme="minorHAnsi"/>
                <w:szCs w:val="24"/>
                <w:lang w:eastAsia="en-GB"/>
              </w:rPr>
            </w:pP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122ECD40" w14:textId="77777777" w:rsidR="00E43A4C" w:rsidRPr="0048137E" w:rsidRDefault="00E43A4C" w:rsidP="0048137E">
            <w:pPr>
              <w:spacing w:after="0" w:line="360" w:lineRule="auto"/>
              <w:rPr>
                <w:rFonts w:eastAsia="Times New Roman" w:cstheme="minorHAnsi"/>
                <w:szCs w:val="24"/>
                <w:lang w:eastAsia="en-GB"/>
              </w:rPr>
            </w:pPr>
          </w:p>
        </w:tc>
      </w:tr>
      <w:tr w:rsidR="00E43A4C" w:rsidRPr="0048137E" w14:paraId="2F92CB67" w14:textId="77777777" w:rsidTr="00E43A4C">
        <w:trPr>
          <w:trHeight w:val="392"/>
        </w:trPr>
        <w:tc>
          <w:tcPr>
            <w:tcW w:w="17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98BFA47"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Grand Total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5A0D381A"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4866000 </w:t>
            </w:r>
          </w:p>
        </w:tc>
        <w:tc>
          <w:tcPr>
            <w:tcW w:w="1187" w:type="dxa"/>
            <w:tcBorders>
              <w:top w:val="nil"/>
              <w:left w:val="nil"/>
              <w:bottom w:val="single" w:sz="8" w:space="0" w:color="auto"/>
              <w:right w:val="single" w:sz="8" w:space="0" w:color="auto"/>
            </w:tcBorders>
            <w:tcMar>
              <w:top w:w="0" w:type="dxa"/>
              <w:left w:w="108" w:type="dxa"/>
              <w:bottom w:w="0" w:type="dxa"/>
              <w:right w:w="108" w:type="dxa"/>
            </w:tcMar>
            <w:hideMark/>
          </w:tcPr>
          <w:p w14:paraId="482E3422"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b/>
                <w:bCs/>
                <w:szCs w:val="24"/>
                <w:lang w:eastAsia="en-GB"/>
              </w:rPr>
              <w:t>3014000 </w:t>
            </w:r>
          </w:p>
        </w:tc>
      </w:tr>
    </w:tbl>
    <w:p w14:paraId="2D91FA19"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54345617"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6D7955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4789BE91"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0A6099E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6FD8CA9" w14:textId="77777777" w:rsidR="00E43A4C" w:rsidRPr="0048137E" w:rsidRDefault="00E43A4C" w:rsidP="0048137E">
      <w:pPr>
        <w:spacing w:before="240" w:after="0" w:line="360" w:lineRule="auto"/>
        <w:outlineLvl w:val="0"/>
        <w:rPr>
          <w:rFonts w:eastAsia="Times New Roman" w:cstheme="minorHAnsi"/>
          <w:color w:val="2E74B5"/>
          <w:kern w:val="36"/>
          <w:szCs w:val="24"/>
          <w:lang w:eastAsia="en-GB"/>
        </w:rPr>
      </w:pPr>
      <w:r w:rsidRPr="0048137E">
        <w:rPr>
          <w:rFonts w:eastAsia="Times New Roman" w:cstheme="minorHAnsi"/>
          <w:color w:val="2E74B5"/>
          <w:kern w:val="36"/>
          <w:szCs w:val="24"/>
          <w:lang w:eastAsia="en-GB"/>
        </w:rPr>
        <w:t> </w:t>
      </w:r>
    </w:p>
    <w:p w14:paraId="380A0364"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330DE8E"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4D6D583" w14:textId="79114701" w:rsidR="00E43A4C"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6DDF696" w14:textId="77777777" w:rsidR="0048137E" w:rsidRPr="0048137E" w:rsidRDefault="0048137E" w:rsidP="0048137E">
      <w:pPr>
        <w:spacing w:line="360" w:lineRule="auto"/>
        <w:rPr>
          <w:rFonts w:eastAsia="Times New Roman" w:cstheme="minorHAnsi"/>
          <w:szCs w:val="24"/>
          <w:lang w:eastAsia="en-GB"/>
        </w:rPr>
      </w:pPr>
    </w:p>
    <w:p w14:paraId="30C9DA08" w14:textId="47C199F9"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r w:rsidR="0048137E" w:rsidRPr="0048137E">
        <w:rPr>
          <w:rFonts w:cstheme="minorHAnsi"/>
          <w:noProof/>
          <w:szCs w:val="24"/>
        </w:rPr>
        <w:drawing>
          <wp:inline distT="0" distB="0" distL="0" distR="0" wp14:anchorId="693CB27B" wp14:editId="49EAD408">
            <wp:extent cx="4572000" cy="2743200"/>
            <wp:effectExtent l="0" t="0" r="0" b="0"/>
            <wp:docPr id="7" name="Chart 7">
              <a:extLst xmlns:a="http://schemas.openxmlformats.org/drawingml/2006/main">
                <a:ext uri="{FF2B5EF4-FFF2-40B4-BE49-F238E27FC236}">
                  <a16:creationId xmlns:a16="http://schemas.microsoft.com/office/drawing/2014/main" id="{1DE6EC6B-09B1-1C41-DC95-4916D7757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ABE3DC5"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06D8E0BB" w14:textId="6852B299" w:rsidR="00E43A4C" w:rsidRPr="0048137E" w:rsidRDefault="00E43A4C" w:rsidP="00C07A5D">
      <w:pPr>
        <w:spacing w:after="0" w:line="360" w:lineRule="auto"/>
        <w:jc w:val="both"/>
        <w:rPr>
          <w:rFonts w:eastAsia="Times New Roman" w:cstheme="minorHAnsi"/>
          <w:szCs w:val="24"/>
          <w:lang w:eastAsia="en-GB"/>
        </w:rPr>
      </w:pPr>
      <w:r w:rsidRPr="0048137E">
        <w:rPr>
          <w:rFonts w:eastAsia="Times New Roman" w:cstheme="minorHAnsi"/>
          <w:szCs w:val="24"/>
          <w:lang w:eastAsia="en-GB"/>
        </w:rPr>
        <w:t xml:space="preserve"> </w:t>
      </w:r>
      <w:proofErr w:type="spellStart"/>
      <w:r w:rsidR="00295BB4">
        <w:rPr>
          <w:rFonts w:eastAsia="Times New Roman" w:cstheme="minorHAnsi"/>
          <w:szCs w:val="24"/>
          <w:lang w:eastAsia="en-GB"/>
        </w:rPr>
        <w:t>Fredson</w:t>
      </w:r>
      <w:proofErr w:type="spellEnd"/>
      <w:r w:rsidR="00E6556A">
        <w:rPr>
          <w:rFonts w:eastAsia="Times New Roman" w:cstheme="minorHAnsi"/>
          <w:szCs w:val="24"/>
          <w:lang w:eastAsia="en-GB"/>
        </w:rPr>
        <w:t>,</w:t>
      </w:r>
      <w:r w:rsidR="00295BB4">
        <w:rPr>
          <w:rFonts w:eastAsia="Times New Roman" w:cstheme="minorHAnsi"/>
          <w:szCs w:val="24"/>
          <w:lang w:eastAsia="en-GB"/>
        </w:rPr>
        <w:t xml:space="preserve"> </w:t>
      </w:r>
      <w:r w:rsidRPr="0048137E">
        <w:rPr>
          <w:rFonts w:eastAsia="Times New Roman" w:cstheme="minorHAnsi"/>
          <w:szCs w:val="24"/>
          <w:lang w:eastAsia="en-GB"/>
        </w:rPr>
        <w:t>(201</w:t>
      </w:r>
      <w:r w:rsidR="00295BB4">
        <w:rPr>
          <w:rFonts w:eastAsia="Times New Roman" w:cstheme="minorHAnsi"/>
          <w:szCs w:val="24"/>
          <w:lang w:eastAsia="en-GB"/>
        </w:rPr>
        <w:t>1</w:t>
      </w:r>
      <w:r w:rsidRPr="0048137E">
        <w:rPr>
          <w:rFonts w:eastAsia="Times New Roman" w:cstheme="minorHAnsi"/>
          <w:szCs w:val="24"/>
          <w:lang w:eastAsia="en-GB"/>
        </w:rPr>
        <w:t>) suggest</w:t>
      </w:r>
      <w:r w:rsidR="00E461CA">
        <w:rPr>
          <w:rFonts w:eastAsia="Times New Roman" w:cstheme="minorHAnsi"/>
          <w:szCs w:val="24"/>
          <w:lang w:eastAsia="en-GB"/>
        </w:rPr>
        <w:t>s</w:t>
      </w:r>
      <w:r w:rsidRPr="0048137E">
        <w:rPr>
          <w:rFonts w:eastAsia="Times New Roman" w:cstheme="minorHAnsi"/>
          <w:szCs w:val="24"/>
          <w:lang w:eastAsia="en-GB"/>
        </w:rPr>
        <w:t xml:space="preserve"> that </w:t>
      </w:r>
      <w:r w:rsidR="00447D07" w:rsidRPr="0048137E">
        <w:rPr>
          <w:rFonts w:eastAsia="Times New Roman" w:cstheme="minorHAnsi"/>
          <w:szCs w:val="24"/>
          <w:lang w:eastAsia="en-GB"/>
        </w:rPr>
        <w:t xml:space="preserve">businesses </w:t>
      </w:r>
      <w:r w:rsidR="00447D07">
        <w:rPr>
          <w:rFonts w:eastAsia="Times New Roman" w:cstheme="minorHAnsi"/>
          <w:szCs w:val="24"/>
          <w:lang w:eastAsia="en-GB"/>
        </w:rPr>
        <w:t xml:space="preserve">can </w:t>
      </w:r>
      <w:r w:rsidRPr="0048137E">
        <w:rPr>
          <w:rFonts w:eastAsia="Times New Roman" w:cstheme="minorHAnsi"/>
          <w:szCs w:val="24"/>
          <w:lang w:eastAsia="en-GB"/>
        </w:rPr>
        <w:t xml:space="preserve">face </w:t>
      </w:r>
      <w:r w:rsidR="00FA0BA3">
        <w:rPr>
          <w:rFonts w:eastAsia="Times New Roman" w:cstheme="minorHAnsi"/>
          <w:szCs w:val="24"/>
          <w:lang w:eastAsia="en-GB"/>
        </w:rPr>
        <w:t>a situation that can impact solvency for various</w:t>
      </w:r>
      <w:r w:rsidRPr="0048137E">
        <w:rPr>
          <w:rFonts w:eastAsia="Times New Roman" w:cstheme="minorHAnsi"/>
          <w:szCs w:val="24"/>
          <w:lang w:eastAsia="en-GB"/>
        </w:rPr>
        <w:t xml:space="preserve"> reasons</w:t>
      </w:r>
      <w:r w:rsidR="00447D07">
        <w:rPr>
          <w:rFonts w:eastAsia="Times New Roman" w:cstheme="minorHAnsi"/>
          <w:szCs w:val="24"/>
          <w:lang w:eastAsia="en-GB"/>
        </w:rPr>
        <w:t xml:space="preserve">. </w:t>
      </w:r>
      <w:r w:rsidR="00D63FEB">
        <w:rPr>
          <w:rFonts w:eastAsia="Times New Roman" w:cstheme="minorHAnsi"/>
          <w:szCs w:val="24"/>
          <w:lang w:eastAsia="en-GB"/>
        </w:rPr>
        <w:t>This type of finance could be to their advantage or disadvantage between equity and debt</w:t>
      </w:r>
      <w:r w:rsidR="00447D07">
        <w:rPr>
          <w:rFonts w:eastAsia="Times New Roman" w:cstheme="minorHAnsi"/>
          <w:szCs w:val="24"/>
          <w:lang w:eastAsia="en-GB"/>
        </w:rPr>
        <w:t>. T</w:t>
      </w:r>
      <w:r w:rsidRPr="0048137E">
        <w:rPr>
          <w:rFonts w:eastAsia="Times New Roman" w:cstheme="minorHAnsi"/>
          <w:szCs w:val="24"/>
          <w:lang w:eastAsia="en-GB"/>
        </w:rPr>
        <w:t>he main advantage of finance resides in the lack of financial burden</w:t>
      </w:r>
      <w:r w:rsidR="00447D07">
        <w:rPr>
          <w:rFonts w:eastAsia="Times New Roman" w:cstheme="minorHAnsi"/>
          <w:szCs w:val="24"/>
          <w:lang w:eastAsia="en-GB"/>
        </w:rPr>
        <w:t xml:space="preserve">. However, </w:t>
      </w:r>
      <w:r w:rsidRPr="0048137E">
        <w:rPr>
          <w:rFonts w:eastAsia="Times New Roman" w:cstheme="minorHAnsi"/>
          <w:szCs w:val="24"/>
          <w:lang w:eastAsia="en-GB"/>
        </w:rPr>
        <w:t xml:space="preserve">with </w:t>
      </w:r>
      <w:r w:rsidR="00447D07">
        <w:rPr>
          <w:rFonts w:eastAsia="Times New Roman" w:cstheme="minorHAnsi"/>
          <w:szCs w:val="24"/>
          <w:lang w:eastAsia="en-GB"/>
        </w:rPr>
        <w:t>little</w:t>
      </w:r>
      <w:r w:rsidRPr="0048137E">
        <w:rPr>
          <w:rFonts w:eastAsia="Times New Roman" w:cstheme="minorHAnsi"/>
          <w:szCs w:val="24"/>
          <w:lang w:eastAsia="en-GB"/>
        </w:rPr>
        <w:t xml:space="preserve"> revenue coming in</w:t>
      </w:r>
      <w:r w:rsidR="00447D07">
        <w:rPr>
          <w:rFonts w:eastAsia="Times New Roman" w:cstheme="minorHAnsi"/>
          <w:szCs w:val="24"/>
          <w:lang w:eastAsia="en-GB"/>
        </w:rPr>
        <w:t xml:space="preserve"> compared to the </w:t>
      </w:r>
      <w:r w:rsidR="00447D07">
        <w:rPr>
          <w:rFonts w:eastAsia="Times New Roman" w:cstheme="minorHAnsi"/>
          <w:szCs w:val="24"/>
          <w:lang w:eastAsia="en-GB"/>
        </w:rPr>
        <w:lastRenderedPageBreak/>
        <w:t>previous year,</w:t>
      </w:r>
      <w:r w:rsidRPr="0048137E">
        <w:rPr>
          <w:rFonts w:eastAsia="Times New Roman" w:cstheme="minorHAnsi"/>
          <w:szCs w:val="24"/>
          <w:lang w:eastAsia="en-GB"/>
        </w:rPr>
        <w:t xml:space="preserve"> the company could </w:t>
      </w:r>
      <w:r w:rsidR="00D63FEB">
        <w:rPr>
          <w:rFonts w:eastAsia="Times New Roman" w:cstheme="minorHAnsi"/>
          <w:szCs w:val="24"/>
          <w:lang w:eastAsia="en-GB"/>
        </w:rPr>
        <w:t>go into sharing the business or</w:t>
      </w:r>
      <w:r w:rsidRPr="0048137E">
        <w:rPr>
          <w:rFonts w:eastAsia="Times New Roman" w:cstheme="minorHAnsi"/>
          <w:szCs w:val="24"/>
          <w:lang w:eastAsia="en-GB"/>
        </w:rPr>
        <w:t xml:space="preserve"> into solvency</w:t>
      </w:r>
      <w:r w:rsidR="00447D07">
        <w:rPr>
          <w:rFonts w:eastAsia="Times New Roman" w:cstheme="minorHAnsi"/>
          <w:szCs w:val="24"/>
          <w:lang w:eastAsia="en-GB"/>
        </w:rPr>
        <w:t xml:space="preserve">. </w:t>
      </w:r>
      <w:r w:rsidR="00E353B6">
        <w:rPr>
          <w:rFonts w:eastAsia="Times New Roman" w:cstheme="minorHAnsi"/>
          <w:szCs w:val="24"/>
          <w:lang w:eastAsia="en-GB"/>
        </w:rPr>
        <w:t xml:space="preserve">In the </w:t>
      </w:r>
      <w:r w:rsidR="00447D07">
        <w:rPr>
          <w:rFonts w:eastAsia="Times New Roman" w:cstheme="minorHAnsi"/>
          <w:szCs w:val="24"/>
          <w:lang w:eastAsia="en-GB"/>
        </w:rPr>
        <w:t xml:space="preserve">case </w:t>
      </w:r>
      <w:r w:rsidR="00E353B6">
        <w:rPr>
          <w:rFonts w:eastAsia="Times New Roman" w:cstheme="minorHAnsi"/>
          <w:szCs w:val="24"/>
          <w:lang w:eastAsia="en-GB"/>
        </w:rPr>
        <w:t>of the Hilton,</w:t>
      </w:r>
      <w:r w:rsidR="00447D07">
        <w:rPr>
          <w:rFonts w:eastAsia="Times New Roman" w:cstheme="minorHAnsi"/>
          <w:szCs w:val="24"/>
          <w:lang w:eastAsia="en-GB"/>
        </w:rPr>
        <w:t xml:space="preserve"> </w:t>
      </w:r>
      <w:r w:rsidRPr="0048137E">
        <w:rPr>
          <w:rFonts w:eastAsia="Times New Roman" w:cstheme="minorHAnsi"/>
          <w:szCs w:val="24"/>
          <w:lang w:eastAsia="en-GB"/>
        </w:rPr>
        <w:t>their 2020 figure total for the fiscal year, 3</w:t>
      </w:r>
      <w:r w:rsidR="00447D07">
        <w:rPr>
          <w:rFonts w:eastAsia="Times New Roman" w:cstheme="minorHAnsi"/>
          <w:szCs w:val="24"/>
          <w:lang w:eastAsia="en-GB"/>
        </w:rPr>
        <w:t>,</w:t>
      </w:r>
      <w:r w:rsidRPr="0048137E">
        <w:rPr>
          <w:rFonts w:eastAsia="Times New Roman" w:cstheme="minorHAnsi"/>
          <w:szCs w:val="24"/>
          <w:lang w:eastAsia="en-GB"/>
        </w:rPr>
        <w:t>014</w:t>
      </w:r>
      <w:r w:rsidR="00447D07">
        <w:rPr>
          <w:rFonts w:eastAsia="Times New Roman" w:cstheme="minorHAnsi"/>
          <w:szCs w:val="24"/>
          <w:lang w:eastAsia="en-GB"/>
        </w:rPr>
        <w:t>,</w:t>
      </w:r>
      <w:r w:rsidRPr="0048137E">
        <w:rPr>
          <w:rFonts w:eastAsia="Times New Roman" w:cstheme="minorHAnsi"/>
          <w:szCs w:val="24"/>
          <w:lang w:eastAsia="en-GB"/>
        </w:rPr>
        <w:t>000</w:t>
      </w:r>
      <w:r w:rsidR="002E3027">
        <w:rPr>
          <w:rFonts w:eastAsia="Times New Roman" w:cstheme="minorHAnsi"/>
          <w:szCs w:val="24"/>
          <w:lang w:eastAsia="en-GB"/>
        </w:rPr>
        <w:t>,</w:t>
      </w:r>
      <w:r w:rsidRPr="0048137E">
        <w:rPr>
          <w:rFonts w:eastAsia="Times New Roman" w:cstheme="minorHAnsi"/>
          <w:szCs w:val="24"/>
          <w:lang w:eastAsia="en-GB"/>
        </w:rPr>
        <w:t xml:space="preserve"> is </w:t>
      </w:r>
      <w:r w:rsidR="00447D07">
        <w:rPr>
          <w:rFonts w:eastAsia="Times New Roman" w:cstheme="minorHAnsi"/>
          <w:szCs w:val="24"/>
          <w:lang w:eastAsia="en-GB"/>
        </w:rPr>
        <w:t>low</w:t>
      </w:r>
      <w:r w:rsidRPr="0048137E">
        <w:rPr>
          <w:rFonts w:eastAsia="Times New Roman" w:cstheme="minorHAnsi"/>
          <w:szCs w:val="24"/>
          <w:lang w:eastAsia="en-GB"/>
        </w:rPr>
        <w:t xml:space="preserve"> compare</w:t>
      </w:r>
      <w:r w:rsidR="00447D07">
        <w:rPr>
          <w:rFonts w:eastAsia="Times New Roman" w:cstheme="minorHAnsi"/>
          <w:szCs w:val="24"/>
          <w:lang w:eastAsia="en-GB"/>
        </w:rPr>
        <w:t>d</w:t>
      </w:r>
      <w:r w:rsidRPr="0048137E">
        <w:rPr>
          <w:rFonts w:eastAsia="Times New Roman" w:cstheme="minorHAnsi"/>
          <w:szCs w:val="24"/>
          <w:lang w:eastAsia="en-GB"/>
        </w:rPr>
        <w:t xml:space="preserve"> to the base year.  </w:t>
      </w:r>
    </w:p>
    <w:p w14:paraId="4932160A"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122A987" w14:textId="4398F3A9"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19CE70E5" w14:textId="3F0CEDA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Cha</w:t>
      </w:r>
      <w:r w:rsidR="00447D07">
        <w:rPr>
          <w:rFonts w:eastAsia="Times New Roman" w:cstheme="minorHAnsi"/>
          <w:szCs w:val="24"/>
          <w:lang w:eastAsia="en-GB"/>
        </w:rPr>
        <w:t>r</w:t>
      </w:r>
      <w:r w:rsidRPr="0048137E">
        <w:rPr>
          <w:rFonts w:eastAsia="Times New Roman" w:cstheme="minorHAnsi"/>
          <w:szCs w:val="24"/>
          <w:lang w:eastAsia="en-GB"/>
        </w:rPr>
        <w:t>t 04</w:t>
      </w:r>
      <w:r w:rsidR="00447D07">
        <w:rPr>
          <w:rFonts w:eastAsia="Times New Roman" w:cstheme="minorHAnsi"/>
          <w:szCs w:val="24"/>
          <w:lang w:eastAsia="en-GB"/>
        </w:rPr>
        <w:t>: Interest Cover Ratio</w:t>
      </w:r>
    </w:p>
    <w:p w14:paraId="25F2FEB0" w14:textId="77777777" w:rsidR="007D68D9" w:rsidRDefault="007D68D9" w:rsidP="0048137E">
      <w:pPr>
        <w:spacing w:line="360" w:lineRule="auto"/>
        <w:rPr>
          <w:rFonts w:eastAsia="Times New Roman" w:cstheme="minorHAnsi"/>
          <w:szCs w:val="24"/>
          <w:lang w:eastAsia="en-GB"/>
        </w:rPr>
      </w:pPr>
    </w:p>
    <w:p w14:paraId="1FCDB44B" w14:textId="1395A6E7" w:rsidR="00E43A4C" w:rsidRDefault="00742843" w:rsidP="005878BF">
      <w:pPr>
        <w:spacing w:line="360" w:lineRule="auto"/>
        <w:ind w:left="720" w:hanging="720"/>
        <w:jc w:val="both"/>
        <w:rPr>
          <w:rFonts w:eastAsia="Times New Roman" w:cstheme="minorHAnsi"/>
          <w:szCs w:val="24"/>
          <w:lang w:eastAsia="en-GB"/>
        </w:rPr>
      </w:pPr>
      <w:r>
        <w:rPr>
          <w:rFonts w:eastAsia="Times New Roman" w:cstheme="minorHAnsi"/>
          <w:szCs w:val="24"/>
          <w:lang w:eastAsia="en-GB"/>
        </w:rPr>
        <w:t xml:space="preserve">           </w:t>
      </w:r>
      <w:r w:rsidR="00582F57">
        <w:rPr>
          <w:rFonts w:eastAsia="Times New Roman" w:cstheme="minorHAnsi"/>
          <w:szCs w:val="24"/>
          <w:lang w:eastAsia="en-GB"/>
        </w:rPr>
        <w:t>A</w:t>
      </w:r>
      <w:r w:rsidR="00674239">
        <w:rPr>
          <w:rFonts w:eastAsia="Times New Roman" w:cstheme="minorHAnsi"/>
          <w:szCs w:val="24"/>
          <w:lang w:eastAsia="en-GB"/>
        </w:rPr>
        <w:t xml:space="preserve">folabi </w:t>
      </w:r>
      <w:r w:rsidR="00674239" w:rsidRPr="00742843">
        <w:rPr>
          <w:rFonts w:eastAsia="Times New Roman" w:cstheme="minorHAnsi"/>
          <w:i/>
          <w:iCs/>
          <w:szCs w:val="24"/>
          <w:lang w:eastAsia="en-GB"/>
        </w:rPr>
        <w:t>e</w:t>
      </w:r>
      <w:r w:rsidR="005878BF" w:rsidRPr="00742843">
        <w:rPr>
          <w:rFonts w:eastAsia="Times New Roman" w:cstheme="minorHAnsi"/>
          <w:i/>
          <w:iCs/>
          <w:szCs w:val="24"/>
          <w:lang w:eastAsia="en-GB"/>
        </w:rPr>
        <w:t>t al</w:t>
      </w:r>
      <w:r w:rsidR="00DE3A08">
        <w:rPr>
          <w:rFonts w:eastAsia="Times New Roman" w:cstheme="minorHAnsi"/>
          <w:i/>
          <w:iCs/>
          <w:szCs w:val="24"/>
          <w:lang w:eastAsia="en-GB"/>
        </w:rPr>
        <w:t>,</w:t>
      </w:r>
      <w:r w:rsidR="005878BF">
        <w:rPr>
          <w:rFonts w:eastAsia="Times New Roman" w:cstheme="minorHAnsi"/>
          <w:szCs w:val="24"/>
          <w:lang w:eastAsia="en-GB"/>
        </w:rPr>
        <w:t xml:space="preserve"> </w:t>
      </w:r>
      <w:r w:rsidR="00E43A4C" w:rsidRPr="0048137E">
        <w:rPr>
          <w:rFonts w:eastAsia="Times New Roman" w:cstheme="minorHAnsi"/>
          <w:szCs w:val="24"/>
          <w:lang w:eastAsia="en-GB"/>
        </w:rPr>
        <w:t>(20</w:t>
      </w:r>
      <w:r w:rsidR="007D68D9">
        <w:rPr>
          <w:rFonts w:eastAsia="Times New Roman" w:cstheme="minorHAnsi"/>
          <w:szCs w:val="24"/>
          <w:lang w:eastAsia="en-GB"/>
        </w:rPr>
        <w:t>19</w:t>
      </w:r>
      <w:r w:rsidR="00E43A4C" w:rsidRPr="0048137E">
        <w:rPr>
          <w:rFonts w:eastAsia="Times New Roman" w:cstheme="minorHAnsi"/>
          <w:szCs w:val="24"/>
          <w:lang w:eastAsia="en-GB"/>
        </w:rPr>
        <w:t xml:space="preserve">) </w:t>
      </w:r>
      <w:r w:rsidR="00A318FC">
        <w:rPr>
          <w:rFonts w:eastAsia="Times New Roman" w:cstheme="minorHAnsi"/>
          <w:szCs w:val="24"/>
          <w:lang w:eastAsia="en-GB"/>
        </w:rPr>
        <w:t>sugge</w:t>
      </w:r>
      <w:r w:rsidR="00C729DA">
        <w:rPr>
          <w:rFonts w:eastAsia="Times New Roman" w:cstheme="minorHAnsi"/>
          <w:szCs w:val="24"/>
          <w:lang w:eastAsia="en-GB"/>
        </w:rPr>
        <w:t>sted that</w:t>
      </w:r>
      <w:r w:rsidR="00047D44">
        <w:rPr>
          <w:rFonts w:eastAsia="Times New Roman" w:cstheme="minorHAnsi"/>
          <w:szCs w:val="24"/>
          <w:lang w:eastAsia="en-GB"/>
        </w:rPr>
        <w:t xml:space="preserve"> </w:t>
      </w:r>
      <w:r w:rsidR="004F41B3">
        <w:rPr>
          <w:rFonts w:eastAsia="Times New Roman" w:cstheme="minorHAnsi"/>
          <w:szCs w:val="24"/>
          <w:lang w:eastAsia="en-GB"/>
        </w:rPr>
        <w:t xml:space="preserve">the </w:t>
      </w:r>
      <w:r w:rsidR="00E43A4C" w:rsidRPr="0048137E">
        <w:rPr>
          <w:rFonts w:eastAsia="Times New Roman" w:cstheme="minorHAnsi"/>
          <w:szCs w:val="24"/>
          <w:lang w:eastAsia="en-GB"/>
        </w:rPr>
        <w:t>Interest cover ratio is the profit before interest and tax</w:t>
      </w:r>
      <w:r w:rsidR="002E3027">
        <w:rPr>
          <w:rFonts w:eastAsia="Times New Roman" w:cstheme="minorHAnsi"/>
          <w:szCs w:val="24"/>
          <w:lang w:eastAsia="en-GB"/>
        </w:rPr>
        <w:t>,</w:t>
      </w:r>
      <w:r w:rsidR="00E43A4C" w:rsidRPr="0048137E">
        <w:rPr>
          <w:rFonts w:eastAsia="Times New Roman" w:cstheme="minorHAnsi"/>
          <w:szCs w:val="24"/>
          <w:lang w:eastAsia="en-GB"/>
        </w:rPr>
        <w:t xml:space="preserve"> excluding extraordinary items divided by the interest payment</w:t>
      </w:r>
      <w:r w:rsidR="002E3027">
        <w:rPr>
          <w:rFonts w:eastAsia="Times New Roman" w:cstheme="minorHAnsi"/>
          <w:szCs w:val="24"/>
          <w:lang w:eastAsia="en-GB"/>
        </w:rPr>
        <w:t>. Therefore</w:t>
      </w:r>
      <w:r w:rsidR="00E43A4C" w:rsidRPr="0048137E">
        <w:rPr>
          <w:rFonts w:eastAsia="Times New Roman" w:cstheme="minorHAnsi"/>
          <w:szCs w:val="24"/>
          <w:lang w:eastAsia="en-GB"/>
        </w:rPr>
        <w:t xml:space="preserve"> the interest in 2020</w:t>
      </w:r>
      <w:r w:rsidR="002E3027">
        <w:rPr>
          <w:rFonts w:eastAsia="Times New Roman" w:cstheme="minorHAnsi"/>
          <w:szCs w:val="24"/>
          <w:lang w:eastAsia="en-GB"/>
        </w:rPr>
        <w:t>,</w:t>
      </w:r>
      <w:r w:rsidR="00E43A4C" w:rsidRPr="0048137E">
        <w:rPr>
          <w:rFonts w:eastAsia="Times New Roman" w:cstheme="minorHAnsi"/>
          <w:szCs w:val="24"/>
          <w:lang w:eastAsia="en-GB"/>
        </w:rPr>
        <w:t xml:space="preserve"> as indicated</w:t>
      </w:r>
      <w:r w:rsidR="002E3027">
        <w:rPr>
          <w:rFonts w:eastAsia="Times New Roman" w:cstheme="minorHAnsi"/>
          <w:szCs w:val="24"/>
          <w:lang w:eastAsia="en-GB"/>
        </w:rPr>
        <w:t>,</w:t>
      </w:r>
      <w:r w:rsidR="00E43A4C" w:rsidRPr="0048137E">
        <w:rPr>
          <w:rFonts w:eastAsia="Times New Roman" w:cstheme="minorHAnsi"/>
          <w:szCs w:val="24"/>
          <w:lang w:eastAsia="en-GB"/>
        </w:rPr>
        <w:t xml:space="preserve"> was increased due to interest payments not being paid regularly</w:t>
      </w:r>
      <w:r w:rsidR="002E3027">
        <w:rPr>
          <w:rFonts w:eastAsia="Times New Roman" w:cstheme="minorHAnsi"/>
          <w:szCs w:val="24"/>
          <w:lang w:eastAsia="en-GB"/>
        </w:rPr>
        <w:t>.</w:t>
      </w:r>
      <w:r w:rsidR="00E93F44">
        <w:rPr>
          <w:rFonts w:eastAsia="Times New Roman" w:cstheme="minorHAnsi"/>
          <w:szCs w:val="24"/>
          <w:lang w:eastAsia="en-GB"/>
        </w:rPr>
        <w:t xml:space="preserve"> Therefore</w:t>
      </w:r>
      <w:r w:rsidR="00E43A4C" w:rsidRPr="0048137E">
        <w:rPr>
          <w:rFonts w:eastAsia="Times New Roman" w:cstheme="minorHAnsi"/>
          <w:szCs w:val="24"/>
          <w:lang w:eastAsia="en-GB"/>
        </w:rPr>
        <w:t xml:space="preserve"> to this figure</w:t>
      </w:r>
      <w:r w:rsidR="001233F0">
        <w:rPr>
          <w:rFonts w:eastAsia="Times New Roman" w:cstheme="minorHAnsi"/>
          <w:szCs w:val="24"/>
          <w:lang w:eastAsia="en-GB"/>
        </w:rPr>
        <w:t>,</w:t>
      </w:r>
      <w:r w:rsidR="00E43A4C" w:rsidRPr="0048137E">
        <w:rPr>
          <w:rFonts w:eastAsia="Times New Roman" w:cstheme="minorHAnsi"/>
          <w:szCs w:val="24"/>
          <w:lang w:eastAsia="en-GB"/>
        </w:rPr>
        <w:t xml:space="preserve"> on the declining economic and negative </w:t>
      </w:r>
      <w:r w:rsidR="001233F0">
        <w:rPr>
          <w:rFonts w:eastAsia="Times New Roman" w:cstheme="minorHAnsi"/>
          <w:szCs w:val="24"/>
          <w:lang w:eastAsia="en-GB"/>
        </w:rPr>
        <w:t>sales</w:t>
      </w:r>
      <w:r w:rsidR="00E43A4C" w:rsidRPr="0048137E">
        <w:rPr>
          <w:rFonts w:eastAsia="Times New Roman" w:cstheme="minorHAnsi"/>
          <w:szCs w:val="24"/>
          <w:lang w:eastAsia="en-GB"/>
        </w:rPr>
        <w:t xml:space="preserve"> figures</w:t>
      </w:r>
      <w:r w:rsidR="00C414D5">
        <w:rPr>
          <w:rFonts w:eastAsia="Times New Roman" w:cstheme="minorHAnsi"/>
          <w:szCs w:val="24"/>
          <w:lang w:eastAsia="en-GB"/>
        </w:rPr>
        <w:t>,</w:t>
      </w:r>
      <w:r w:rsidR="00E43A4C" w:rsidRPr="0048137E">
        <w:rPr>
          <w:rFonts w:eastAsia="Times New Roman" w:cstheme="minorHAnsi"/>
          <w:szCs w:val="24"/>
          <w:lang w:eastAsia="en-GB"/>
        </w:rPr>
        <w:t xml:space="preserve"> </w:t>
      </w:r>
      <w:r w:rsidR="00C97BFD">
        <w:rPr>
          <w:rFonts w:eastAsia="Times New Roman" w:cstheme="minorHAnsi"/>
          <w:szCs w:val="24"/>
          <w:lang w:eastAsia="en-GB"/>
        </w:rPr>
        <w:t xml:space="preserve">the </w:t>
      </w:r>
      <w:r w:rsidR="00E43A4C" w:rsidRPr="0048137E">
        <w:rPr>
          <w:rFonts w:eastAsia="Times New Roman" w:cstheme="minorHAnsi"/>
          <w:szCs w:val="24"/>
          <w:lang w:eastAsia="en-GB"/>
        </w:rPr>
        <w:t>fisc</w:t>
      </w:r>
      <w:r w:rsidR="00C414D5">
        <w:rPr>
          <w:rFonts w:eastAsia="Times New Roman" w:cstheme="minorHAnsi"/>
          <w:szCs w:val="24"/>
          <w:lang w:eastAsia="en-GB"/>
        </w:rPr>
        <w:t>al</w:t>
      </w:r>
      <w:r w:rsidR="00E43A4C" w:rsidRPr="0048137E">
        <w:rPr>
          <w:rFonts w:eastAsia="Times New Roman" w:cstheme="minorHAnsi"/>
          <w:szCs w:val="24"/>
          <w:lang w:eastAsia="en-GB"/>
        </w:rPr>
        <w:t xml:space="preserve"> year 2020. </w:t>
      </w:r>
    </w:p>
    <w:p w14:paraId="7513E678" w14:textId="77777777" w:rsidR="007627E0" w:rsidRDefault="007627E0" w:rsidP="0048137E">
      <w:pPr>
        <w:spacing w:line="360" w:lineRule="auto"/>
        <w:rPr>
          <w:rFonts w:eastAsia="Times New Roman" w:cstheme="minorHAnsi"/>
          <w:szCs w:val="24"/>
          <w:lang w:eastAsia="en-GB"/>
        </w:rPr>
      </w:pPr>
    </w:p>
    <w:tbl>
      <w:tblPr>
        <w:tblpPr w:leftFromText="180" w:rightFromText="180" w:vertAnchor="text" w:horzAnchor="page" w:tblpX="2251" w:tblpY="-72"/>
        <w:tblW w:w="5573" w:type="dxa"/>
        <w:tblLook w:val="04A0" w:firstRow="1" w:lastRow="0" w:firstColumn="1" w:lastColumn="0" w:noHBand="0" w:noVBand="1"/>
      </w:tblPr>
      <w:tblGrid>
        <w:gridCol w:w="2040"/>
        <w:gridCol w:w="1280"/>
        <w:gridCol w:w="1200"/>
        <w:gridCol w:w="1129"/>
      </w:tblGrid>
      <w:tr w:rsidR="007627E0" w:rsidRPr="00B60E7F" w14:paraId="3DFDF09C" w14:textId="77777777" w:rsidTr="007627E0">
        <w:trPr>
          <w:trHeight w:val="300"/>
        </w:trPr>
        <w:tc>
          <w:tcPr>
            <w:tcW w:w="2040" w:type="dxa"/>
            <w:tcBorders>
              <w:top w:val="nil"/>
              <w:left w:val="nil"/>
              <w:bottom w:val="nil"/>
              <w:right w:val="nil"/>
            </w:tcBorders>
            <w:shd w:val="clear" w:color="auto" w:fill="auto"/>
            <w:noWrap/>
            <w:vAlign w:val="bottom"/>
            <w:hideMark/>
          </w:tcPr>
          <w:p w14:paraId="2F9A6C2C" w14:textId="77777777" w:rsidR="007627E0" w:rsidRPr="00B60E7F" w:rsidRDefault="007627E0" w:rsidP="007627E0">
            <w:pPr>
              <w:spacing w:after="0" w:line="240" w:lineRule="auto"/>
              <w:rPr>
                <w:rFonts w:ascii="Times New Roman" w:eastAsia="Times New Roman" w:hAnsi="Times New Roman" w:cs="Times New Roman"/>
                <w:szCs w:val="24"/>
                <w:lang w:eastAsia="en-GB"/>
              </w:rPr>
            </w:pPr>
          </w:p>
        </w:tc>
        <w:tc>
          <w:tcPr>
            <w:tcW w:w="1280" w:type="dxa"/>
            <w:tcBorders>
              <w:top w:val="single" w:sz="4" w:space="0" w:color="auto"/>
              <w:left w:val="single" w:sz="4" w:space="0" w:color="auto"/>
              <w:bottom w:val="single" w:sz="4" w:space="0" w:color="auto"/>
              <w:right w:val="nil"/>
            </w:tcBorders>
            <w:shd w:val="clear" w:color="auto" w:fill="auto"/>
            <w:noWrap/>
            <w:vAlign w:val="bottom"/>
            <w:hideMark/>
          </w:tcPr>
          <w:p w14:paraId="5234AAD3"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2020</w:t>
            </w:r>
          </w:p>
        </w:tc>
        <w:tc>
          <w:tcPr>
            <w:tcW w:w="1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8A4E7F"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2019</w:t>
            </w:r>
          </w:p>
        </w:tc>
        <w:tc>
          <w:tcPr>
            <w:tcW w:w="1053" w:type="dxa"/>
            <w:tcBorders>
              <w:top w:val="nil"/>
              <w:left w:val="nil"/>
              <w:bottom w:val="nil"/>
              <w:right w:val="nil"/>
            </w:tcBorders>
            <w:shd w:val="clear" w:color="auto" w:fill="auto"/>
            <w:noWrap/>
            <w:vAlign w:val="bottom"/>
            <w:hideMark/>
          </w:tcPr>
          <w:p w14:paraId="59F242EA" w14:textId="77777777" w:rsidR="007627E0" w:rsidRPr="00B60E7F" w:rsidRDefault="007627E0" w:rsidP="007627E0">
            <w:pPr>
              <w:spacing w:after="0" w:line="240" w:lineRule="auto"/>
              <w:jc w:val="right"/>
              <w:rPr>
                <w:rFonts w:ascii="Calibri" w:eastAsia="Times New Roman" w:hAnsi="Calibri" w:cs="Calibri"/>
                <w:color w:val="000000"/>
                <w:lang w:eastAsia="en-GB"/>
              </w:rPr>
            </w:pPr>
          </w:p>
        </w:tc>
      </w:tr>
      <w:tr w:rsidR="007627E0" w:rsidRPr="00B60E7F" w14:paraId="40AD3636" w14:textId="77777777" w:rsidTr="007627E0">
        <w:trPr>
          <w:trHeight w:val="300"/>
        </w:trPr>
        <w:tc>
          <w:tcPr>
            <w:tcW w:w="20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047633" w14:textId="77777777" w:rsidR="007627E0" w:rsidRPr="00B60E7F" w:rsidRDefault="007627E0" w:rsidP="007627E0">
            <w:pPr>
              <w:spacing w:after="0" w:line="240" w:lineRule="auto"/>
              <w:rPr>
                <w:rFonts w:ascii="Calibri" w:eastAsia="Times New Roman" w:hAnsi="Calibri" w:cs="Calibri"/>
                <w:color w:val="000000"/>
                <w:lang w:eastAsia="en-GB"/>
              </w:rPr>
            </w:pPr>
            <w:r w:rsidRPr="00B60E7F">
              <w:rPr>
                <w:rFonts w:ascii="Calibri" w:eastAsia="Times New Roman" w:hAnsi="Calibri" w:cs="Calibri"/>
                <w:color w:val="000000"/>
                <w:lang w:eastAsia="en-GB"/>
              </w:rPr>
              <w:t xml:space="preserve">Profit before interest </w:t>
            </w:r>
          </w:p>
        </w:tc>
        <w:tc>
          <w:tcPr>
            <w:tcW w:w="1280" w:type="dxa"/>
            <w:tcBorders>
              <w:top w:val="nil"/>
              <w:left w:val="nil"/>
              <w:bottom w:val="single" w:sz="4" w:space="0" w:color="auto"/>
              <w:right w:val="single" w:sz="4" w:space="0" w:color="auto"/>
            </w:tcBorders>
            <w:shd w:val="clear" w:color="auto" w:fill="auto"/>
            <w:noWrap/>
            <w:vAlign w:val="bottom"/>
            <w:hideMark/>
          </w:tcPr>
          <w:p w14:paraId="10376117"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-924,000</w:t>
            </w:r>
          </w:p>
        </w:tc>
        <w:tc>
          <w:tcPr>
            <w:tcW w:w="1200" w:type="dxa"/>
            <w:tcBorders>
              <w:top w:val="nil"/>
              <w:left w:val="nil"/>
              <w:bottom w:val="single" w:sz="4" w:space="0" w:color="auto"/>
              <w:right w:val="single" w:sz="4" w:space="0" w:color="auto"/>
            </w:tcBorders>
            <w:shd w:val="clear" w:color="auto" w:fill="auto"/>
            <w:noWrap/>
            <w:vAlign w:val="bottom"/>
            <w:hideMark/>
          </w:tcPr>
          <w:p w14:paraId="37946BAC"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1,244,000</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53F387CA"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-2.15385</w:t>
            </w:r>
          </w:p>
        </w:tc>
      </w:tr>
      <w:tr w:rsidR="007627E0" w:rsidRPr="00B60E7F" w14:paraId="5455B8E1" w14:textId="77777777" w:rsidTr="007627E0">
        <w:trPr>
          <w:trHeight w:val="300"/>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00589B0" w14:textId="77777777" w:rsidR="007627E0" w:rsidRPr="00B60E7F" w:rsidRDefault="007627E0" w:rsidP="007627E0">
            <w:pPr>
              <w:spacing w:after="0" w:line="240" w:lineRule="auto"/>
              <w:rPr>
                <w:rFonts w:ascii="Calibri" w:eastAsia="Times New Roman" w:hAnsi="Calibri" w:cs="Calibri"/>
                <w:color w:val="000000"/>
                <w:lang w:eastAsia="en-GB"/>
              </w:rPr>
            </w:pPr>
            <w:r w:rsidRPr="00B60E7F">
              <w:rPr>
                <w:rFonts w:ascii="Calibri" w:eastAsia="Times New Roman" w:hAnsi="Calibri" w:cs="Calibri"/>
                <w:color w:val="000000"/>
                <w:lang w:eastAsia="en-GB"/>
              </w:rPr>
              <w:t>Interest expenses</w:t>
            </w:r>
          </w:p>
        </w:tc>
        <w:tc>
          <w:tcPr>
            <w:tcW w:w="1280" w:type="dxa"/>
            <w:tcBorders>
              <w:top w:val="nil"/>
              <w:left w:val="nil"/>
              <w:bottom w:val="single" w:sz="4" w:space="0" w:color="auto"/>
              <w:right w:val="single" w:sz="4" w:space="0" w:color="auto"/>
            </w:tcBorders>
            <w:shd w:val="clear" w:color="auto" w:fill="auto"/>
            <w:noWrap/>
            <w:vAlign w:val="bottom"/>
            <w:hideMark/>
          </w:tcPr>
          <w:p w14:paraId="7F7FF721"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429,000</w:t>
            </w:r>
          </w:p>
        </w:tc>
        <w:tc>
          <w:tcPr>
            <w:tcW w:w="1200" w:type="dxa"/>
            <w:tcBorders>
              <w:top w:val="nil"/>
              <w:left w:val="nil"/>
              <w:bottom w:val="single" w:sz="4" w:space="0" w:color="auto"/>
              <w:right w:val="single" w:sz="4" w:space="0" w:color="auto"/>
            </w:tcBorders>
            <w:shd w:val="clear" w:color="auto" w:fill="auto"/>
            <w:noWrap/>
            <w:vAlign w:val="bottom"/>
            <w:hideMark/>
          </w:tcPr>
          <w:p w14:paraId="6B38B727"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414,000</w:t>
            </w:r>
          </w:p>
        </w:tc>
        <w:tc>
          <w:tcPr>
            <w:tcW w:w="1053" w:type="dxa"/>
            <w:tcBorders>
              <w:top w:val="nil"/>
              <w:left w:val="nil"/>
              <w:bottom w:val="single" w:sz="4" w:space="0" w:color="auto"/>
              <w:right w:val="single" w:sz="4" w:space="0" w:color="auto"/>
            </w:tcBorders>
            <w:shd w:val="clear" w:color="auto" w:fill="auto"/>
            <w:noWrap/>
            <w:vAlign w:val="bottom"/>
            <w:hideMark/>
          </w:tcPr>
          <w:p w14:paraId="79D75145" w14:textId="77777777" w:rsidR="007627E0" w:rsidRPr="00B60E7F" w:rsidRDefault="007627E0" w:rsidP="007627E0">
            <w:pPr>
              <w:spacing w:after="0" w:line="240" w:lineRule="auto"/>
              <w:jc w:val="right"/>
              <w:rPr>
                <w:rFonts w:ascii="Calibri" w:eastAsia="Times New Roman" w:hAnsi="Calibri" w:cs="Calibri"/>
                <w:color w:val="000000"/>
                <w:lang w:eastAsia="en-GB"/>
              </w:rPr>
            </w:pPr>
            <w:r w:rsidRPr="00B60E7F">
              <w:rPr>
                <w:rFonts w:ascii="Calibri" w:eastAsia="Times New Roman" w:hAnsi="Calibri" w:cs="Calibri"/>
                <w:color w:val="000000"/>
                <w:lang w:eastAsia="en-GB"/>
              </w:rPr>
              <w:t>3.004831</w:t>
            </w:r>
          </w:p>
        </w:tc>
      </w:tr>
    </w:tbl>
    <w:p w14:paraId="3FDA6697" w14:textId="070067C2" w:rsidR="00447D07" w:rsidRDefault="00447D07" w:rsidP="0048137E">
      <w:pPr>
        <w:spacing w:line="360" w:lineRule="auto"/>
        <w:rPr>
          <w:rFonts w:eastAsia="Times New Roman" w:cstheme="minorHAnsi"/>
          <w:szCs w:val="24"/>
          <w:lang w:eastAsia="en-GB"/>
        </w:rPr>
      </w:pPr>
    </w:p>
    <w:p w14:paraId="35993BD1" w14:textId="52989F8F" w:rsidR="007627E0" w:rsidRDefault="007627E0" w:rsidP="0048137E">
      <w:pPr>
        <w:spacing w:line="360" w:lineRule="auto"/>
        <w:rPr>
          <w:rFonts w:eastAsia="Times New Roman" w:cstheme="minorHAnsi"/>
          <w:szCs w:val="24"/>
          <w:lang w:eastAsia="en-GB"/>
        </w:rPr>
      </w:pPr>
    </w:p>
    <w:p w14:paraId="442E1A99" w14:textId="37BF3DC5" w:rsidR="007627E0" w:rsidRDefault="007627E0" w:rsidP="0048137E">
      <w:pPr>
        <w:spacing w:line="360" w:lineRule="auto"/>
        <w:rPr>
          <w:rFonts w:eastAsia="Times New Roman" w:cstheme="minorHAnsi"/>
          <w:szCs w:val="24"/>
          <w:lang w:eastAsia="en-GB"/>
        </w:rPr>
      </w:pPr>
    </w:p>
    <w:p w14:paraId="34848B1F" w14:textId="03B1B9E3" w:rsidR="00447D07" w:rsidRDefault="007627E0" w:rsidP="0048137E">
      <w:pPr>
        <w:spacing w:line="360" w:lineRule="auto"/>
        <w:rPr>
          <w:rFonts w:eastAsia="Times New Roman" w:cstheme="minorHAnsi"/>
          <w:szCs w:val="24"/>
          <w:lang w:eastAsia="en-GB"/>
        </w:rPr>
      </w:pPr>
      <w:r>
        <w:rPr>
          <w:noProof/>
        </w:rPr>
        <w:drawing>
          <wp:inline distT="0" distB="0" distL="0" distR="0" wp14:anchorId="5434EF43" wp14:editId="50D50B0D">
            <wp:extent cx="4572000" cy="2743200"/>
            <wp:effectExtent l="0" t="0" r="0" b="0"/>
            <wp:docPr id="10" name="Chart 10">
              <a:extLst xmlns:a="http://schemas.openxmlformats.org/drawingml/2006/main">
                <a:ext uri="{FF2B5EF4-FFF2-40B4-BE49-F238E27FC236}">
                  <a16:creationId xmlns:a16="http://schemas.microsoft.com/office/drawing/2014/main" id="{AA1ADB03-4F99-C255-E187-04A6BFFA75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7B704D" w14:textId="739016CE" w:rsidR="00447D07" w:rsidRDefault="00447D07" w:rsidP="0048137E">
      <w:pPr>
        <w:spacing w:line="360" w:lineRule="auto"/>
        <w:rPr>
          <w:rFonts w:eastAsia="Times New Roman" w:cstheme="minorHAnsi"/>
          <w:szCs w:val="24"/>
          <w:lang w:eastAsia="en-GB"/>
        </w:rPr>
      </w:pPr>
    </w:p>
    <w:p w14:paraId="79C7DF0F" w14:textId="77777777" w:rsidR="00447D07" w:rsidRPr="0048137E" w:rsidRDefault="00447D07" w:rsidP="0048137E">
      <w:pPr>
        <w:spacing w:line="360" w:lineRule="auto"/>
        <w:rPr>
          <w:rFonts w:eastAsia="Times New Roman" w:cstheme="minorHAnsi"/>
          <w:szCs w:val="24"/>
          <w:lang w:eastAsia="en-GB"/>
        </w:rPr>
      </w:pPr>
    </w:p>
    <w:p w14:paraId="318A7671"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7EE94AF"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lastRenderedPageBreak/>
        <w:t> </w:t>
      </w:r>
    </w:p>
    <w:p w14:paraId="06CAC9EE"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CB16676"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CB47CC8"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323DC2D"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1C263D2"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097C2EF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C2315C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6907F8F1"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1E61A7A"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392ADDD"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4D24AE5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42D1CF41" w14:textId="1C30DEB8" w:rsidR="007627E0"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007627E0">
        <w:rPr>
          <w:rFonts w:eastAsia="Times New Roman" w:cstheme="minorHAnsi"/>
          <w:szCs w:val="24"/>
          <w:lang w:eastAsia="en-GB"/>
        </w:rPr>
        <w:t>Chart 05: Working Capital Turnover Index</w:t>
      </w:r>
    </w:p>
    <w:p w14:paraId="1341C64F" w14:textId="0608B62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 xml:space="preserve">  </w:t>
      </w:r>
    </w:p>
    <w:p w14:paraId="5D6171B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E54F323" w14:textId="440AAB19" w:rsidR="00E43A4C"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Ohlson (200</w:t>
      </w:r>
      <w:r w:rsidR="00E72A1F">
        <w:rPr>
          <w:rFonts w:eastAsia="Times New Roman" w:cstheme="minorHAnsi"/>
          <w:szCs w:val="24"/>
          <w:lang w:eastAsia="en-GB"/>
        </w:rPr>
        <w:t>5</w:t>
      </w:r>
      <w:r w:rsidRPr="0048137E">
        <w:rPr>
          <w:rFonts w:eastAsia="Times New Roman" w:cstheme="minorHAnsi"/>
          <w:szCs w:val="24"/>
          <w:lang w:eastAsia="en-GB"/>
        </w:rPr>
        <w:t>) suggested that a company</w:t>
      </w:r>
      <w:r w:rsidR="0049371E">
        <w:rPr>
          <w:rFonts w:eastAsia="Times New Roman" w:cstheme="minorHAnsi"/>
          <w:szCs w:val="24"/>
          <w:lang w:eastAsia="en-GB"/>
        </w:rPr>
        <w:t>'</w:t>
      </w:r>
      <w:r w:rsidRPr="0048137E">
        <w:rPr>
          <w:rFonts w:eastAsia="Times New Roman" w:cstheme="minorHAnsi"/>
          <w:szCs w:val="24"/>
          <w:lang w:eastAsia="en-GB"/>
        </w:rPr>
        <w:t xml:space="preserve">s long-run expected earnings can continue </w:t>
      </w:r>
      <w:r w:rsidR="00B64875">
        <w:rPr>
          <w:rFonts w:eastAsia="Times New Roman" w:cstheme="minorHAnsi"/>
          <w:szCs w:val="24"/>
          <w:lang w:eastAsia="en-GB"/>
        </w:rPr>
        <w:t xml:space="preserve">if </w:t>
      </w:r>
      <w:r w:rsidRPr="0048137E">
        <w:rPr>
          <w:rFonts w:eastAsia="Times New Roman" w:cstheme="minorHAnsi"/>
          <w:szCs w:val="24"/>
          <w:lang w:eastAsia="en-GB"/>
        </w:rPr>
        <w:t xml:space="preserve">the net dividend </w:t>
      </w:r>
      <w:proofErr w:type="spellStart"/>
      <w:r w:rsidR="00980387" w:rsidRPr="0048137E">
        <w:rPr>
          <w:rFonts w:eastAsia="Times New Roman" w:cstheme="minorHAnsi"/>
          <w:szCs w:val="24"/>
          <w:lang w:eastAsia="en-GB"/>
        </w:rPr>
        <w:t>payout</w:t>
      </w:r>
      <w:proofErr w:type="spellEnd"/>
      <w:r w:rsidRPr="0048137E">
        <w:rPr>
          <w:rFonts w:eastAsia="Times New Roman" w:cstheme="minorHAnsi"/>
          <w:szCs w:val="24"/>
          <w:lang w:eastAsia="en-GB"/>
        </w:rPr>
        <w:t xml:space="preserve"> is fixed at 100%</w:t>
      </w:r>
      <w:r w:rsidR="00B27FCF">
        <w:rPr>
          <w:rFonts w:eastAsia="Times New Roman" w:cstheme="minorHAnsi"/>
          <w:szCs w:val="24"/>
          <w:lang w:eastAsia="en-GB"/>
        </w:rPr>
        <w:t xml:space="preserve">. </w:t>
      </w:r>
      <w:r w:rsidR="00A916DD">
        <w:rPr>
          <w:rFonts w:eastAsia="Times New Roman" w:cstheme="minorHAnsi"/>
          <w:szCs w:val="24"/>
          <w:lang w:eastAsia="en-GB"/>
        </w:rPr>
        <w:t>Whereas</w:t>
      </w:r>
      <w:r w:rsidRPr="0048137E">
        <w:rPr>
          <w:rFonts w:eastAsia="Times New Roman" w:cstheme="minorHAnsi"/>
          <w:szCs w:val="24"/>
          <w:lang w:eastAsia="en-GB"/>
        </w:rPr>
        <w:t xml:space="preserve"> growth is expected earnings, and conservative accounting, are two sides of the same coin because of </w:t>
      </w:r>
      <w:r w:rsidR="0081090F">
        <w:rPr>
          <w:rFonts w:eastAsia="Times New Roman" w:cstheme="minorHAnsi"/>
          <w:szCs w:val="24"/>
          <w:lang w:eastAsia="en-GB"/>
        </w:rPr>
        <w:t>their</w:t>
      </w:r>
      <w:r w:rsidRPr="0048137E">
        <w:rPr>
          <w:rFonts w:eastAsia="Times New Roman" w:cstheme="minorHAnsi"/>
          <w:szCs w:val="24"/>
          <w:lang w:eastAsia="en-GB"/>
        </w:rPr>
        <w:t xml:space="preserve"> prosperity</w:t>
      </w:r>
      <w:r w:rsidR="00980387">
        <w:rPr>
          <w:rFonts w:eastAsia="Times New Roman" w:cstheme="minorHAnsi"/>
          <w:szCs w:val="24"/>
          <w:lang w:eastAsia="en-GB"/>
        </w:rPr>
        <w:t>; this explains</w:t>
      </w:r>
      <w:r w:rsidRPr="0048137E">
        <w:rPr>
          <w:rFonts w:eastAsia="Times New Roman" w:cstheme="minorHAnsi"/>
          <w:szCs w:val="24"/>
          <w:lang w:eastAsia="en-GB"/>
        </w:rPr>
        <w:t xml:space="preserve"> how capital earnings dominate book value example</w:t>
      </w:r>
      <w:r w:rsidR="00FB5077">
        <w:rPr>
          <w:rFonts w:eastAsia="Times New Roman" w:cstheme="minorHAnsi"/>
          <w:szCs w:val="24"/>
          <w:lang w:eastAsia="en-GB"/>
        </w:rPr>
        <w:t>; one</w:t>
      </w:r>
      <w:r w:rsidRPr="0048137E">
        <w:rPr>
          <w:rFonts w:eastAsia="Times New Roman" w:cstheme="minorHAnsi"/>
          <w:szCs w:val="24"/>
          <w:lang w:eastAsia="en-GB"/>
        </w:rPr>
        <w:t xml:space="preserve"> can display growth, value the concept applies when setting in analytical terms the difference, explained that 2020 fiscus bad year financial. </w:t>
      </w:r>
    </w:p>
    <w:p w14:paraId="2256E8EB" w14:textId="2ADF5513" w:rsidR="007627E0" w:rsidRDefault="007627E0" w:rsidP="0048137E">
      <w:pPr>
        <w:spacing w:line="360" w:lineRule="auto"/>
        <w:rPr>
          <w:rFonts w:eastAsia="Times New Roman" w:cstheme="minorHAnsi"/>
          <w:szCs w:val="24"/>
          <w:lang w:eastAsia="en-GB"/>
        </w:rPr>
      </w:pPr>
      <w:r>
        <w:rPr>
          <w:rFonts w:eastAsia="Times New Roman" w:cstheme="minorHAnsi"/>
          <w:szCs w:val="24"/>
          <w:lang w:eastAsia="en-GB"/>
        </w:rPr>
        <w:t xml:space="preserve">The table below shows the formula for </w:t>
      </w:r>
      <w:r w:rsidR="00082CCA">
        <w:rPr>
          <w:rFonts w:eastAsia="Times New Roman" w:cstheme="minorHAnsi"/>
          <w:szCs w:val="24"/>
          <w:lang w:eastAsia="en-GB"/>
        </w:rPr>
        <w:t xml:space="preserve">the </w:t>
      </w:r>
      <w:r>
        <w:rPr>
          <w:rFonts w:eastAsia="Times New Roman" w:cstheme="minorHAnsi"/>
          <w:szCs w:val="24"/>
          <w:lang w:eastAsia="en-GB"/>
        </w:rPr>
        <w:t xml:space="preserve">working capital turnover index: </w:t>
      </w:r>
    </w:p>
    <w:p w14:paraId="723C9376" w14:textId="18F200CB" w:rsidR="007627E0" w:rsidRDefault="007627E0" w:rsidP="0048137E">
      <w:pPr>
        <w:spacing w:line="360" w:lineRule="auto"/>
        <w:rPr>
          <w:rFonts w:eastAsia="Times New Roman" w:cstheme="minorHAnsi"/>
          <w:szCs w:val="24"/>
          <w:lang w:eastAsia="en-GB"/>
        </w:rPr>
      </w:pPr>
    </w:p>
    <w:p w14:paraId="6C39DA3E" w14:textId="02767D08" w:rsidR="007627E0" w:rsidRDefault="007627E0" w:rsidP="0048137E">
      <w:pPr>
        <w:spacing w:line="360" w:lineRule="auto"/>
        <w:rPr>
          <w:rFonts w:eastAsia="Times New Roman" w:cstheme="minorHAnsi"/>
          <w:szCs w:val="24"/>
          <w:lang w:eastAsia="en-GB"/>
        </w:rPr>
      </w:pPr>
    </w:p>
    <w:tbl>
      <w:tblPr>
        <w:tblStyle w:val="TableGrid"/>
        <w:tblW w:w="8926" w:type="dxa"/>
        <w:tblLook w:val="04A0" w:firstRow="1" w:lastRow="0" w:firstColumn="1" w:lastColumn="0" w:noHBand="0" w:noVBand="1"/>
      </w:tblPr>
      <w:tblGrid>
        <w:gridCol w:w="1348"/>
        <w:gridCol w:w="2254"/>
        <w:gridCol w:w="1417"/>
        <w:gridCol w:w="1556"/>
        <w:gridCol w:w="1309"/>
        <w:gridCol w:w="1042"/>
      </w:tblGrid>
      <w:tr w:rsidR="007627E0" w14:paraId="42C1559C" w14:textId="77777777" w:rsidTr="00AA335B">
        <w:tc>
          <w:tcPr>
            <w:tcW w:w="1377" w:type="dxa"/>
          </w:tcPr>
          <w:p w14:paraId="5C0AAC16" w14:textId="292038AC" w:rsidR="007627E0" w:rsidRPr="007627E0" w:rsidRDefault="007627E0" w:rsidP="007627E0">
            <w:pPr>
              <w:spacing w:line="360" w:lineRule="auto"/>
              <w:jc w:val="center"/>
              <w:rPr>
                <w:rFonts w:eastAsia="Times New Roman" w:cstheme="minorHAnsi"/>
                <w:b/>
                <w:bCs/>
                <w:szCs w:val="24"/>
                <w:lang w:eastAsia="en-GB"/>
              </w:rPr>
            </w:pPr>
            <w:r w:rsidRPr="007627E0">
              <w:rPr>
                <w:rFonts w:eastAsia="Times New Roman" w:cstheme="minorHAnsi"/>
                <w:b/>
                <w:bCs/>
                <w:szCs w:val="24"/>
                <w:lang w:eastAsia="en-GB"/>
              </w:rPr>
              <w:t>Ratio</w:t>
            </w:r>
          </w:p>
        </w:tc>
        <w:tc>
          <w:tcPr>
            <w:tcW w:w="2387" w:type="dxa"/>
          </w:tcPr>
          <w:p w14:paraId="2078AFEC" w14:textId="3E26E1F5" w:rsidR="007627E0" w:rsidRPr="007627E0" w:rsidRDefault="007627E0" w:rsidP="007627E0">
            <w:pPr>
              <w:spacing w:line="360" w:lineRule="auto"/>
              <w:jc w:val="center"/>
              <w:rPr>
                <w:rFonts w:eastAsia="Times New Roman" w:cstheme="minorHAnsi"/>
                <w:b/>
                <w:bCs/>
                <w:szCs w:val="24"/>
                <w:lang w:eastAsia="en-GB"/>
              </w:rPr>
            </w:pPr>
            <w:r w:rsidRPr="007627E0">
              <w:rPr>
                <w:rFonts w:eastAsia="Times New Roman" w:cstheme="minorHAnsi"/>
                <w:b/>
                <w:bCs/>
                <w:szCs w:val="24"/>
                <w:lang w:eastAsia="en-GB"/>
              </w:rPr>
              <w:t>Formula</w:t>
            </w:r>
          </w:p>
        </w:tc>
        <w:tc>
          <w:tcPr>
            <w:tcW w:w="2885" w:type="dxa"/>
            <w:gridSpan w:val="2"/>
          </w:tcPr>
          <w:p w14:paraId="46A6A18F" w14:textId="53B81FB7" w:rsidR="007627E0" w:rsidRPr="007627E0" w:rsidRDefault="007627E0" w:rsidP="007627E0">
            <w:pPr>
              <w:spacing w:line="360" w:lineRule="auto"/>
              <w:jc w:val="center"/>
              <w:rPr>
                <w:rFonts w:eastAsia="Times New Roman" w:cstheme="minorHAnsi"/>
                <w:b/>
                <w:bCs/>
                <w:szCs w:val="24"/>
                <w:lang w:eastAsia="en-GB"/>
              </w:rPr>
            </w:pPr>
            <w:r w:rsidRPr="007627E0">
              <w:rPr>
                <w:rFonts w:eastAsia="Times New Roman" w:cstheme="minorHAnsi"/>
                <w:b/>
                <w:bCs/>
                <w:szCs w:val="24"/>
                <w:lang w:eastAsia="en-GB"/>
              </w:rPr>
              <w:t>2019</w:t>
            </w:r>
          </w:p>
        </w:tc>
        <w:tc>
          <w:tcPr>
            <w:tcW w:w="2277" w:type="dxa"/>
            <w:gridSpan w:val="2"/>
          </w:tcPr>
          <w:p w14:paraId="272B49F7" w14:textId="28E3592F" w:rsidR="007627E0" w:rsidRPr="007627E0" w:rsidRDefault="007627E0" w:rsidP="007627E0">
            <w:pPr>
              <w:spacing w:line="360" w:lineRule="auto"/>
              <w:jc w:val="center"/>
              <w:rPr>
                <w:rFonts w:eastAsia="Times New Roman" w:cstheme="minorHAnsi"/>
                <w:b/>
                <w:bCs/>
                <w:szCs w:val="24"/>
                <w:lang w:eastAsia="en-GB"/>
              </w:rPr>
            </w:pPr>
            <w:r w:rsidRPr="007627E0">
              <w:rPr>
                <w:rFonts w:eastAsia="Times New Roman" w:cstheme="minorHAnsi"/>
                <w:b/>
                <w:bCs/>
                <w:szCs w:val="24"/>
                <w:lang w:eastAsia="en-GB"/>
              </w:rPr>
              <w:t>2020</w:t>
            </w:r>
          </w:p>
        </w:tc>
      </w:tr>
      <w:tr w:rsidR="007627E0" w14:paraId="63C4CED9" w14:textId="77777777" w:rsidTr="00AA335B">
        <w:tc>
          <w:tcPr>
            <w:tcW w:w="1377" w:type="dxa"/>
          </w:tcPr>
          <w:p w14:paraId="0DFE0E97" w14:textId="7F37103F" w:rsidR="007627E0" w:rsidRDefault="007627E0" w:rsidP="00AA335B">
            <w:pPr>
              <w:rPr>
                <w:rFonts w:eastAsia="Times New Roman" w:cstheme="minorHAnsi"/>
                <w:szCs w:val="24"/>
                <w:lang w:eastAsia="en-GB"/>
              </w:rPr>
            </w:pPr>
            <w:r>
              <w:rPr>
                <w:rFonts w:eastAsia="Times New Roman" w:cstheme="minorHAnsi"/>
                <w:szCs w:val="24"/>
                <w:lang w:eastAsia="en-GB"/>
              </w:rPr>
              <w:t xml:space="preserve">Working Capital turnover </w:t>
            </w:r>
          </w:p>
        </w:tc>
        <w:tc>
          <w:tcPr>
            <w:tcW w:w="2387" w:type="dxa"/>
          </w:tcPr>
          <w:p w14:paraId="6682689B" w14:textId="46F41BB9" w:rsidR="007627E0" w:rsidRPr="00AA335B" w:rsidRDefault="003A761C" w:rsidP="00AA335B">
            <w:pPr>
              <w:rPr>
                <w:rFonts w:eastAsia="Times New Roman" w:cstheme="minorHAnsi"/>
                <w:sz w:val="20"/>
                <w:szCs w:val="20"/>
                <w:lang w:eastAsia="en-GB"/>
              </w:rPr>
            </w:pPr>
            <w:r w:rsidRPr="00AA335B">
              <w:rPr>
                <w:rFonts w:eastAsia="Times New Roman" w:cstheme="minorHAnsi"/>
                <w:sz w:val="20"/>
                <w:szCs w:val="20"/>
                <w:lang w:eastAsia="en-GB"/>
              </w:rPr>
              <w:t xml:space="preserve">Sales/ Net </w:t>
            </w:r>
            <w:r w:rsidR="00B161BD">
              <w:rPr>
                <w:rFonts w:eastAsia="Times New Roman" w:cstheme="minorHAnsi"/>
                <w:sz w:val="20"/>
                <w:szCs w:val="20"/>
                <w:lang w:eastAsia="en-GB"/>
              </w:rPr>
              <w:t>Current</w:t>
            </w:r>
            <w:r w:rsidRPr="00AA335B">
              <w:rPr>
                <w:rFonts w:eastAsia="Times New Roman" w:cstheme="minorHAnsi"/>
                <w:sz w:val="20"/>
                <w:szCs w:val="20"/>
                <w:lang w:eastAsia="en-GB"/>
              </w:rPr>
              <w:t xml:space="preserve"> Assets</w:t>
            </w:r>
          </w:p>
        </w:tc>
        <w:tc>
          <w:tcPr>
            <w:tcW w:w="1218" w:type="dxa"/>
          </w:tcPr>
          <w:p w14:paraId="43787A5A" w14:textId="77777777" w:rsidR="003A761C" w:rsidRDefault="003A761C" w:rsidP="00991830">
            <w:pPr>
              <w:rPr>
                <w:rFonts w:ascii="Calibri" w:hAnsi="Calibri" w:cs="Calibri"/>
                <w:color w:val="000000"/>
              </w:rPr>
            </w:pPr>
            <w:r>
              <w:rPr>
                <w:rFonts w:ascii="Calibri" w:hAnsi="Calibri" w:cs="Calibri"/>
                <w:color w:val="000000"/>
              </w:rPr>
              <w:t>9,452,000 /</w:t>
            </w:r>
          </w:p>
          <w:p w14:paraId="47D4EF8B" w14:textId="77777777" w:rsidR="003A761C" w:rsidRDefault="003A761C" w:rsidP="00991830">
            <w:pPr>
              <w:rPr>
                <w:rFonts w:ascii="Calibri" w:hAnsi="Calibri" w:cs="Calibri"/>
                <w:color w:val="000000"/>
              </w:rPr>
            </w:pPr>
            <w:r>
              <w:rPr>
                <w:rFonts w:ascii="Calibri" w:hAnsi="Calibri" w:cs="Calibri"/>
                <w:color w:val="000000"/>
              </w:rPr>
              <w:t>2,093,000</w:t>
            </w:r>
          </w:p>
          <w:p w14:paraId="57A728D9" w14:textId="4EA5A359" w:rsidR="003A761C" w:rsidRDefault="003A761C" w:rsidP="00991830">
            <w:pPr>
              <w:rPr>
                <w:rFonts w:ascii="Calibri" w:hAnsi="Calibri" w:cs="Calibri"/>
                <w:color w:val="000000"/>
              </w:rPr>
            </w:pPr>
          </w:p>
          <w:p w14:paraId="33F3F387" w14:textId="77777777" w:rsidR="007627E0" w:rsidRDefault="007627E0" w:rsidP="00991830">
            <w:pPr>
              <w:rPr>
                <w:rFonts w:eastAsia="Times New Roman" w:cstheme="minorHAnsi"/>
                <w:szCs w:val="24"/>
                <w:lang w:eastAsia="en-GB"/>
              </w:rPr>
            </w:pPr>
          </w:p>
        </w:tc>
        <w:tc>
          <w:tcPr>
            <w:tcW w:w="1667" w:type="dxa"/>
          </w:tcPr>
          <w:p w14:paraId="30D24721" w14:textId="0882986C" w:rsidR="007627E0" w:rsidRDefault="003A761C" w:rsidP="00991830">
            <w:pPr>
              <w:rPr>
                <w:rFonts w:eastAsia="Times New Roman" w:cstheme="minorHAnsi"/>
                <w:szCs w:val="24"/>
                <w:lang w:eastAsia="en-GB"/>
              </w:rPr>
            </w:pPr>
            <w:r>
              <w:rPr>
                <w:rFonts w:eastAsia="Times New Roman" w:cstheme="minorHAnsi"/>
                <w:szCs w:val="24"/>
                <w:lang w:eastAsia="en-GB"/>
              </w:rPr>
              <w:lastRenderedPageBreak/>
              <w:t>4.52</w:t>
            </w:r>
          </w:p>
        </w:tc>
        <w:tc>
          <w:tcPr>
            <w:tcW w:w="1218" w:type="dxa"/>
          </w:tcPr>
          <w:p w14:paraId="237C3D3B" w14:textId="77777777" w:rsidR="003A761C" w:rsidRDefault="003A761C" w:rsidP="00991830">
            <w:pPr>
              <w:rPr>
                <w:rFonts w:ascii="Calibri" w:hAnsi="Calibri" w:cs="Calibri"/>
                <w:color w:val="000000"/>
              </w:rPr>
            </w:pPr>
            <w:r>
              <w:rPr>
                <w:rFonts w:ascii="Calibri" w:hAnsi="Calibri" w:cs="Calibri"/>
                <w:color w:val="000000"/>
              </w:rPr>
              <w:t>4,307,000 /</w:t>
            </w:r>
          </w:p>
          <w:p w14:paraId="24B4DA97" w14:textId="77777777" w:rsidR="003A761C" w:rsidRDefault="003A761C" w:rsidP="00991830">
            <w:pPr>
              <w:rPr>
                <w:rFonts w:ascii="Calibri" w:hAnsi="Calibri" w:cs="Calibri"/>
                <w:color w:val="000000"/>
              </w:rPr>
            </w:pPr>
            <w:r>
              <w:rPr>
                <w:rFonts w:ascii="Calibri" w:hAnsi="Calibri" w:cs="Calibri"/>
                <w:color w:val="000000"/>
              </w:rPr>
              <w:t>4,202,000</w:t>
            </w:r>
          </w:p>
          <w:p w14:paraId="1D7BDADE" w14:textId="67CFA1BA" w:rsidR="003A761C" w:rsidRDefault="003A761C" w:rsidP="00991830">
            <w:pPr>
              <w:rPr>
                <w:rFonts w:ascii="Calibri" w:hAnsi="Calibri" w:cs="Calibri"/>
                <w:color w:val="000000"/>
              </w:rPr>
            </w:pPr>
          </w:p>
          <w:p w14:paraId="0DFF829A" w14:textId="77777777" w:rsidR="007627E0" w:rsidRDefault="007627E0" w:rsidP="00991830">
            <w:pPr>
              <w:rPr>
                <w:rFonts w:eastAsia="Times New Roman" w:cstheme="minorHAnsi"/>
                <w:szCs w:val="24"/>
                <w:lang w:eastAsia="en-GB"/>
              </w:rPr>
            </w:pPr>
          </w:p>
        </w:tc>
        <w:tc>
          <w:tcPr>
            <w:tcW w:w="1059" w:type="dxa"/>
          </w:tcPr>
          <w:p w14:paraId="1E41F79C" w14:textId="084916EA" w:rsidR="007627E0" w:rsidRDefault="00B161BD" w:rsidP="00991830">
            <w:pPr>
              <w:rPr>
                <w:rFonts w:eastAsia="Times New Roman" w:cstheme="minorHAnsi"/>
                <w:szCs w:val="24"/>
                <w:lang w:eastAsia="en-GB"/>
              </w:rPr>
            </w:pPr>
            <w:r>
              <w:rPr>
                <w:rFonts w:eastAsia="Times New Roman" w:cstheme="minorHAnsi"/>
                <w:szCs w:val="24"/>
                <w:lang w:eastAsia="en-GB"/>
              </w:rPr>
              <w:lastRenderedPageBreak/>
              <w:t>,</w:t>
            </w:r>
          </w:p>
        </w:tc>
      </w:tr>
      <w:tr w:rsidR="007627E0" w14:paraId="4535AA21" w14:textId="77777777" w:rsidTr="00AA335B">
        <w:tc>
          <w:tcPr>
            <w:tcW w:w="1377" w:type="dxa"/>
          </w:tcPr>
          <w:p w14:paraId="104036FF" w14:textId="06C5C64C" w:rsidR="007627E0" w:rsidRDefault="003A761C" w:rsidP="00AA335B">
            <w:pPr>
              <w:rPr>
                <w:rFonts w:eastAsia="Times New Roman" w:cstheme="minorHAnsi"/>
                <w:szCs w:val="24"/>
                <w:lang w:eastAsia="en-GB"/>
              </w:rPr>
            </w:pPr>
            <w:r>
              <w:rPr>
                <w:rFonts w:eastAsia="Times New Roman" w:cstheme="minorHAnsi"/>
                <w:szCs w:val="24"/>
                <w:lang w:eastAsia="en-GB"/>
              </w:rPr>
              <w:t>Total Assets Turnover</w:t>
            </w:r>
          </w:p>
        </w:tc>
        <w:tc>
          <w:tcPr>
            <w:tcW w:w="2387" w:type="dxa"/>
          </w:tcPr>
          <w:p w14:paraId="0A8A9827" w14:textId="3D2E3E84" w:rsidR="007627E0" w:rsidRPr="00AA335B" w:rsidRDefault="003A761C" w:rsidP="00AA335B">
            <w:pPr>
              <w:rPr>
                <w:rFonts w:eastAsia="Times New Roman" w:cstheme="minorHAnsi"/>
                <w:sz w:val="20"/>
                <w:szCs w:val="20"/>
                <w:lang w:eastAsia="en-GB"/>
              </w:rPr>
            </w:pPr>
            <w:r w:rsidRPr="00AA335B">
              <w:rPr>
                <w:rFonts w:eastAsia="Times New Roman" w:cstheme="minorHAnsi"/>
                <w:sz w:val="20"/>
                <w:szCs w:val="20"/>
                <w:lang w:eastAsia="en-GB"/>
              </w:rPr>
              <w:t xml:space="preserve">Sales/total assets less current liability </w:t>
            </w:r>
          </w:p>
        </w:tc>
        <w:tc>
          <w:tcPr>
            <w:tcW w:w="1218" w:type="dxa"/>
          </w:tcPr>
          <w:p w14:paraId="66B766F4" w14:textId="77777777" w:rsidR="003A761C" w:rsidRDefault="003A761C" w:rsidP="00991830">
            <w:pPr>
              <w:rPr>
                <w:rFonts w:eastAsia="Times New Roman" w:cstheme="minorHAnsi"/>
                <w:szCs w:val="24"/>
                <w:lang w:eastAsia="en-GB"/>
              </w:rPr>
            </w:pPr>
            <w:r>
              <w:rPr>
                <w:rFonts w:ascii="Calibri" w:hAnsi="Calibri" w:cs="Calibri"/>
                <w:color w:val="000000"/>
              </w:rPr>
              <w:t xml:space="preserve">9,452,000 / </w:t>
            </w:r>
          </w:p>
          <w:p w14:paraId="1D1A885E" w14:textId="77777777" w:rsidR="003A761C" w:rsidRDefault="003A761C" w:rsidP="00991830">
            <w:pPr>
              <w:rPr>
                <w:rFonts w:ascii="Calibri" w:hAnsi="Calibri" w:cs="Calibri"/>
                <w:color w:val="000000"/>
              </w:rPr>
            </w:pPr>
            <w:r>
              <w:rPr>
                <w:rFonts w:ascii="Calibri" w:hAnsi="Calibri" w:cs="Calibri"/>
                <w:color w:val="000000"/>
              </w:rPr>
              <w:t>12,086,000</w:t>
            </w:r>
          </w:p>
          <w:p w14:paraId="01FBB689" w14:textId="402F03F3" w:rsidR="007627E0" w:rsidRDefault="007627E0" w:rsidP="00991830">
            <w:pPr>
              <w:rPr>
                <w:rFonts w:eastAsia="Times New Roman" w:cstheme="minorHAnsi"/>
                <w:szCs w:val="24"/>
                <w:lang w:eastAsia="en-GB"/>
              </w:rPr>
            </w:pPr>
          </w:p>
        </w:tc>
        <w:tc>
          <w:tcPr>
            <w:tcW w:w="1667" w:type="dxa"/>
          </w:tcPr>
          <w:p w14:paraId="3096593F" w14:textId="522A0AE3" w:rsidR="007627E0" w:rsidRDefault="003A761C" w:rsidP="00991830">
            <w:pPr>
              <w:rPr>
                <w:rFonts w:eastAsia="Times New Roman" w:cstheme="minorHAnsi"/>
                <w:szCs w:val="24"/>
                <w:lang w:eastAsia="en-GB"/>
              </w:rPr>
            </w:pPr>
            <w:r>
              <w:rPr>
                <w:rFonts w:eastAsia="Times New Roman" w:cstheme="minorHAnsi"/>
                <w:szCs w:val="24"/>
                <w:lang w:eastAsia="en-GB"/>
              </w:rPr>
              <w:t>0.78</w:t>
            </w:r>
          </w:p>
        </w:tc>
        <w:tc>
          <w:tcPr>
            <w:tcW w:w="1218" w:type="dxa"/>
          </w:tcPr>
          <w:p w14:paraId="05CC7FA0" w14:textId="77777777" w:rsidR="000E3A15" w:rsidRDefault="000E3A15" w:rsidP="00991830">
            <w:pPr>
              <w:rPr>
                <w:rFonts w:eastAsia="Times New Roman" w:cstheme="minorHAnsi"/>
                <w:szCs w:val="24"/>
                <w:lang w:eastAsia="en-GB"/>
              </w:rPr>
            </w:pPr>
            <w:r>
              <w:rPr>
                <w:rFonts w:ascii="Calibri" w:hAnsi="Calibri" w:cs="Calibri"/>
                <w:color w:val="000000"/>
              </w:rPr>
              <w:t xml:space="preserve">4,307,000 / </w:t>
            </w:r>
          </w:p>
          <w:p w14:paraId="4DC42E9B" w14:textId="77777777" w:rsidR="000E3A15" w:rsidRDefault="000E3A15" w:rsidP="00991830">
            <w:pPr>
              <w:rPr>
                <w:rFonts w:ascii="Calibri" w:hAnsi="Calibri" w:cs="Calibri"/>
                <w:color w:val="000000"/>
              </w:rPr>
            </w:pPr>
            <w:r>
              <w:rPr>
                <w:rFonts w:ascii="Calibri" w:hAnsi="Calibri" w:cs="Calibri"/>
                <w:color w:val="000000"/>
              </w:rPr>
              <w:t>14,324,000</w:t>
            </w:r>
          </w:p>
          <w:p w14:paraId="12EA9790" w14:textId="677EC806" w:rsidR="007627E0" w:rsidRDefault="007627E0" w:rsidP="00991830">
            <w:pPr>
              <w:rPr>
                <w:rFonts w:eastAsia="Times New Roman" w:cstheme="minorHAnsi"/>
                <w:szCs w:val="24"/>
                <w:lang w:eastAsia="en-GB"/>
              </w:rPr>
            </w:pPr>
          </w:p>
        </w:tc>
        <w:tc>
          <w:tcPr>
            <w:tcW w:w="1059" w:type="dxa"/>
          </w:tcPr>
          <w:p w14:paraId="4CC53957" w14:textId="176FE66B" w:rsidR="007627E0" w:rsidRDefault="000E3A15" w:rsidP="00991830">
            <w:pPr>
              <w:rPr>
                <w:rFonts w:eastAsia="Times New Roman" w:cstheme="minorHAnsi"/>
                <w:szCs w:val="24"/>
                <w:lang w:eastAsia="en-GB"/>
              </w:rPr>
            </w:pPr>
            <w:r>
              <w:rPr>
                <w:rFonts w:eastAsia="Times New Roman" w:cstheme="minorHAnsi"/>
                <w:szCs w:val="24"/>
                <w:lang w:eastAsia="en-GB"/>
              </w:rPr>
              <w:t>0.30</w:t>
            </w:r>
          </w:p>
        </w:tc>
      </w:tr>
      <w:tr w:rsidR="007627E0" w14:paraId="3ED4469C" w14:textId="77777777" w:rsidTr="00AA335B">
        <w:tc>
          <w:tcPr>
            <w:tcW w:w="1377" w:type="dxa"/>
          </w:tcPr>
          <w:p w14:paraId="36CC8091" w14:textId="150EB5D1" w:rsidR="007627E0" w:rsidRDefault="000E3A15" w:rsidP="00AA335B">
            <w:pPr>
              <w:rPr>
                <w:rFonts w:eastAsia="Times New Roman" w:cstheme="minorHAnsi"/>
                <w:szCs w:val="24"/>
                <w:lang w:eastAsia="en-GB"/>
              </w:rPr>
            </w:pPr>
            <w:r>
              <w:rPr>
                <w:rFonts w:eastAsia="Times New Roman" w:cstheme="minorHAnsi"/>
                <w:szCs w:val="24"/>
                <w:lang w:eastAsia="en-GB"/>
              </w:rPr>
              <w:t>Debtor Days</w:t>
            </w:r>
          </w:p>
        </w:tc>
        <w:tc>
          <w:tcPr>
            <w:tcW w:w="2387" w:type="dxa"/>
          </w:tcPr>
          <w:p w14:paraId="5E6D0694" w14:textId="24C9644F" w:rsidR="007627E0" w:rsidRPr="00AA335B" w:rsidRDefault="000E3A15" w:rsidP="00AA335B">
            <w:pPr>
              <w:rPr>
                <w:rFonts w:eastAsia="Times New Roman" w:cstheme="minorHAnsi"/>
                <w:sz w:val="20"/>
                <w:szCs w:val="20"/>
                <w:lang w:eastAsia="en-GB"/>
              </w:rPr>
            </w:pPr>
            <w:r w:rsidRPr="00AA335B">
              <w:rPr>
                <w:rFonts w:eastAsia="Times New Roman" w:cstheme="minorHAnsi"/>
                <w:sz w:val="20"/>
                <w:szCs w:val="20"/>
                <w:lang w:eastAsia="en-GB"/>
              </w:rPr>
              <w:t>Debtors * 365 / sales</w:t>
            </w:r>
          </w:p>
        </w:tc>
        <w:tc>
          <w:tcPr>
            <w:tcW w:w="1218" w:type="dxa"/>
          </w:tcPr>
          <w:p w14:paraId="17A235AF" w14:textId="4059DF2A" w:rsidR="007627E0" w:rsidRPr="005E0B4E" w:rsidRDefault="005E0B4E" w:rsidP="00991830">
            <w:pPr>
              <w:rPr>
                <w:rFonts w:eastAsia="Times New Roman" w:cstheme="minorHAnsi"/>
                <w:lang w:eastAsia="en-GB"/>
              </w:rPr>
            </w:pPr>
            <w:r w:rsidRPr="005E0B4E">
              <w:rPr>
                <w:rFonts w:eastAsia="Times New Roman" w:cstheme="minorHAnsi"/>
                <w:lang w:eastAsia="en-GB"/>
              </w:rPr>
              <w:t xml:space="preserve">Information not available </w:t>
            </w:r>
          </w:p>
        </w:tc>
        <w:tc>
          <w:tcPr>
            <w:tcW w:w="1667" w:type="dxa"/>
          </w:tcPr>
          <w:p w14:paraId="44F22CDA" w14:textId="77777777" w:rsidR="007627E0" w:rsidRDefault="007627E0" w:rsidP="00991830">
            <w:pPr>
              <w:rPr>
                <w:rFonts w:eastAsia="Times New Roman" w:cstheme="minorHAnsi"/>
                <w:szCs w:val="24"/>
                <w:lang w:eastAsia="en-GB"/>
              </w:rPr>
            </w:pPr>
          </w:p>
        </w:tc>
        <w:tc>
          <w:tcPr>
            <w:tcW w:w="1218" w:type="dxa"/>
          </w:tcPr>
          <w:p w14:paraId="19AF7C77" w14:textId="77777777" w:rsidR="007627E0" w:rsidRDefault="007627E0" w:rsidP="00991830">
            <w:pPr>
              <w:rPr>
                <w:rFonts w:eastAsia="Times New Roman" w:cstheme="minorHAnsi"/>
                <w:szCs w:val="24"/>
                <w:lang w:eastAsia="en-GB"/>
              </w:rPr>
            </w:pPr>
          </w:p>
        </w:tc>
        <w:tc>
          <w:tcPr>
            <w:tcW w:w="1059" w:type="dxa"/>
          </w:tcPr>
          <w:p w14:paraId="7C46AFD4" w14:textId="77777777" w:rsidR="007627E0" w:rsidRDefault="007627E0" w:rsidP="00991830">
            <w:pPr>
              <w:rPr>
                <w:rFonts w:eastAsia="Times New Roman" w:cstheme="minorHAnsi"/>
                <w:szCs w:val="24"/>
                <w:lang w:eastAsia="en-GB"/>
              </w:rPr>
            </w:pPr>
          </w:p>
        </w:tc>
      </w:tr>
      <w:tr w:rsidR="007627E0" w14:paraId="4272A3CF" w14:textId="77777777" w:rsidTr="00AA335B">
        <w:tc>
          <w:tcPr>
            <w:tcW w:w="1377" w:type="dxa"/>
          </w:tcPr>
          <w:p w14:paraId="70A5AC68" w14:textId="3A5B3540" w:rsidR="007627E0" w:rsidRDefault="00AA335B" w:rsidP="00AA335B">
            <w:pPr>
              <w:rPr>
                <w:rFonts w:eastAsia="Times New Roman" w:cstheme="minorHAnsi"/>
                <w:szCs w:val="24"/>
                <w:lang w:eastAsia="en-GB"/>
              </w:rPr>
            </w:pPr>
            <w:r>
              <w:rPr>
                <w:rFonts w:eastAsia="Times New Roman" w:cstheme="minorHAnsi"/>
                <w:szCs w:val="24"/>
                <w:lang w:eastAsia="en-GB"/>
              </w:rPr>
              <w:t>Creditors Days</w:t>
            </w:r>
          </w:p>
        </w:tc>
        <w:tc>
          <w:tcPr>
            <w:tcW w:w="2387" w:type="dxa"/>
          </w:tcPr>
          <w:p w14:paraId="1ED3F48A" w14:textId="3A9C61A5" w:rsidR="007627E0" w:rsidRPr="00AA335B" w:rsidRDefault="00AA335B" w:rsidP="00AA335B">
            <w:pPr>
              <w:rPr>
                <w:rFonts w:eastAsia="Times New Roman" w:cstheme="minorHAnsi"/>
                <w:sz w:val="20"/>
                <w:szCs w:val="20"/>
                <w:lang w:eastAsia="en-GB"/>
              </w:rPr>
            </w:pPr>
            <w:r w:rsidRPr="00AA335B">
              <w:rPr>
                <w:rFonts w:eastAsia="Times New Roman" w:cstheme="minorHAnsi"/>
                <w:sz w:val="20"/>
                <w:szCs w:val="20"/>
                <w:lang w:eastAsia="en-GB"/>
              </w:rPr>
              <w:t>Creditors * 365 / purchase</w:t>
            </w:r>
          </w:p>
        </w:tc>
        <w:tc>
          <w:tcPr>
            <w:tcW w:w="1218" w:type="dxa"/>
          </w:tcPr>
          <w:p w14:paraId="44591532" w14:textId="4E9C30C5" w:rsidR="007627E0" w:rsidRDefault="005E0B4E" w:rsidP="00991830">
            <w:pPr>
              <w:rPr>
                <w:rFonts w:eastAsia="Times New Roman" w:cstheme="minorHAnsi"/>
                <w:szCs w:val="24"/>
                <w:lang w:eastAsia="en-GB"/>
              </w:rPr>
            </w:pPr>
            <w:r w:rsidRPr="005E0B4E">
              <w:rPr>
                <w:rFonts w:eastAsia="Times New Roman" w:cstheme="minorHAnsi"/>
                <w:lang w:eastAsia="en-GB"/>
              </w:rPr>
              <w:t>Information not available</w:t>
            </w:r>
          </w:p>
        </w:tc>
        <w:tc>
          <w:tcPr>
            <w:tcW w:w="1667" w:type="dxa"/>
          </w:tcPr>
          <w:p w14:paraId="288EE872" w14:textId="77777777" w:rsidR="007627E0" w:rsidRDefault="007627E0" w:rsidP="00991830">
            <w:pPr>
              <w:rPr>
                <w:rFonts w:eastAsia="Times New Roman" w:cstheme="minorHAnsi"/>
                <w:szCs w:val="24"/>
                <w:lang w:eastAsia="en-GB"/>
              </w:rPr>
            </w:pPr>
          </w:p>
        </w:tc>
        <w:tc>
          <w:tcPr>
            <w:tcW w:w="1218" w:type="dxa"/>
          </w:tcPr>
          <w:p w14:paraId="0D78299F" w14:textId="77777777" w:rsidR="007627E0" w:rsidRDefault="007627E0" w:rsidP="00991830">
            <w:pPr>
              <w:rPr>
                <w:rFonts w:eastAsia="Times New Roman" w:cstheme="minorHAnsi"/>
                <w:szCs w:val="24"/>
                <w:lang w:eastAsia="en-GB"/>
              </w:rPr>
            </w:pPr>
          </w:p>
        </w:tc>
        <w:tc>
          <w:tcPr>
            <w:tcW w:w="1059" w:type="dxa"/>
          </w:tcPr>
          <w:p w14:paraId="55E161D2" w14:textId="77777777" w:rsidR="007627E0" w:rsidRDefault="007627E0" w:rsidP="00991830">
            <w:pPr>
              <w:rPr>
                <w:rFonts w:eastAsia="Times New Roman" w:cstheme="minorHAnsi"/>
                <w:szCs w:val="24"/>
                <w:lang w:eastAsia="en-GB"/>
              </w:rPr>
            </w:pPr>
          </w:p>
        </w:tc>
      </w:tr>
      <w:tr w:rsidR="007627E0" w14:paraId="6DE788E3" w14:textId="77777777" w:rsidTr="00AA335B">
        <w:tc>
          <w:tcPr>
            <w:tcW w:w="1377" w:type="dxa"/>
          </w:tcPr>
          <w:p w14:paraId="430312F7" w14:textId="0640F6C4" w:rsidR="007627E0" w:rsidRDefault="00AA335B" w:rsidP="00AA335B">
            <w:pPr>
              <w:rPr>
                <w:rFonts w:eastAsia="Times New Roman" w:cstheme="minorHAnsi"/>
                <w:szCs w:val="24"/>
                <w:lang w:eastAsia="en-GB"/>
              </w:rPr>
            </w:pPr>
            <w:r>
              <w:rPr>
                <w:rFonts w:eastAsia="Times New Roman" w:cstheme="minorHAnsi"/>
                <w:szCs w:val="24"/>
                <w:lang w:eastAsia="en-GB"/>
              </w:rPr>
              <w:t>Debt ratio</w:t>
            </w:r>
          </w:p>
        </w:tc>
        <w:tc>
          <w:tcPr>
            <w:tcW w:w="2387" w:type="dxa"/>
          </w:tcPr>
          <w:p w14:paraId="67FB749B" w14:textId="5DA7E852" w:rsidR="007627E0" w:rsidRPr="00AA335B" w:rsidRDefault="00AA335B" w:rsidP="00AA335B">
            <w:pPr>
              <w:rPr>
                <w:rFonts w:eastAsia="Times New Roman" w:cstheme="minorHAnsi"/>
                <w:sz w:val="20"/>
                <w:szCs w:val="20"/>
                <w:lang w:eastAsia="en-GB"/>
              </w:rPr>
            </w:pPr>
            <w:r w:rsidRPr="00AA335B">
              <w:rPr>
                <w:rFonts w:eastAsia="Times New Roman" w:cstheme="minorHAnsi"/>
                <w:sz w:val="20"/>
                <w:szCs w:val="20"/>
                <w:lang w:eastAsia="en-GB"/>
              </w:rPr>
              <w:t>(Total current liability = bank loan) / (total current assets + fixed asset)</w:t>
            </w:r>
          </w:p>
        </w:tc>
        <w:tc>
          <w:tcPr>
            <w:tcW w:w="1218" w:type="dxa"/>
          </w:tcPr>
          <w:p w14:paraId="34B54736" w14:textId="5907D360" w:rsidR="007627E0" w:rsidRDefault="005E0B4E" w:rsidP="00991830">
            <w:pPr>
              <w:rPr>
                <w:rFonts w:eastAsia="Times New Roman" w:cstheme="minorHAnsi"/>
                <w:szCs w:val="24"/>
                <w:lang w:eastAsia="en-GB"/>
              </w:rPr>
            </w:pPr>
            <w:r w:rsidRPr="005E0B4E">
              <w:rPr>
                <w:rFonts w:eastAsia="Times New Roman" w:cstheme="minorHAnsi"/>
                <w:lang w:eastAsia="en-GB"/>
              </w:rPr>
              <w:t>Information not available</w:t>
            </w:r>
          </w:p>
        </w:tc>
        <w:tc>
          <w:tcPr>
            <w:tcW w:w="1667" w:type="dxa"/>
          </w:tcPr>
          <w:p w14:paraId="2979A17C" w14:textId="77777777" w:rsidR="007627E0" w:rsidRDefault="007627E0" w:rsidP="00991830">
            <w:pPr>
              <w:rPr>
                <w:rFonts w:eastAsia="Times New Roman" w:cstheme="minorHAnsi"/>
                <w:szCs w:val="24"/>
                <w:lang w:eastAsia="en-GB"/>
              </w:rPr>
            </w:pPr>
          </w:p>
        </w:tc>
        <w:tc>
          <w:tcPr>
            <w:tcW w:w="1218" w:type="dxa"/>
          </w:tcPr>
          <w:p w14:paraId="3A34D4BC" w14:textId="77777777" w:rsidR="007627E0" w:rsidRDefault="007627E0" w:rsidP="00991830">
            <w:pPr>
              <w:rPr>
                <w:rFonts w:eastAsia="Times New Roman" w:cstheme="minorHAnsi"/>
                <w:szCs w:val="24"/>
                <w:lang w:eastAsia="en-GB"/>
              </w:rPr>
            </w:pPr>
          </w:p>
        </w:tc>
        <w:tc>
          <w:tcPr>
            <w:tcW w:w="1059" w:type="dxa"/>
          </w:tcPr>
          <w:p w14:paraId="17D1FD1A" w14:textId="77777777" w:rsidR="007627E0" w:rsidRDefault="007627E0" w:rsidP="00991830">
            <w:pPr>
              <w:rPr>
                <w:rFonts w:eastAsia="Times New Roman" w:cstheme="minorHAnsi"/>
                <w:szCs w:val="24"/>
                <w:lang w:eastAsia="en-GB"/>
              </w:rPr>
            </w:pPr>
          </w:p>
        </w:tc>
      </w:tr>
      <w:tr w:rsidR="007627E0" w14:paraId="1E1DBE86" w14:textId="77777777" w:rsidTr="00AA335B">
        <w:tc>
          <w:tcPr>
            <w:tcW w:w="1377" w:type="dxa"/>
          </w:tcPr>
          <w:p w14:paraId="667B6060" w14:textId="5F354966" w:rsidR="007627E0" w:rsidRDefault="00AA335B" w:rsidP="00AA335B">
            <w:pPr>
              <w:rPr>
                <w:rFonts w:eastAsia="Times New Roman" w:cstheme="minorHAnsi"/>
                <w:szCs w:val="24"/>
                <w:lang w:eastAsia="en-GB"/>
              </w:rPr>
            </w:pPr>
            <w:r>
              <w:rPr>
                <w:rFonts w:eastAsia="Times New Roman" w:cstheme="minorHAnsi"/>
                <w:szCs w:val="24"/>
                <w:lang w:eastAsia="en-GB"/>
              </w:rPr>
              <w:t>Stock Turnover Ratio</w:t>
            </w:r>
          </w:p>
        </w:tc>
        <w:tc>
          <w:tcPr>
            <w:tcW w:w="2387" w:type="dxa"/>
          </w:tcPr>
          <w:p w14:paraId="262D4314" w14:textId="74FA8CF7" w:rsidR="007627E0" w:rsidRPr="00AA335B" w:rsidRDefault="00AA335B" w:rsidP="00AA335B">
            <w:pPr>
              <w:rPr>
                <w:rFonts w:eastAsia="Times New Roman" w:cstheme="minorHAnsi"/>
                <w:sz w:val="20"/>
                <w:szCs w:val="20"/>
                <w:lang w:eastAsia="en-GB"/>
              </w:rPr>
            </w:pPr>
            <w:r w:rsidRPr="00AA335B">
              <w:rPr>
                <w:rFonts w:eastAsia="Times New Roman" w:cstheme="minorHAnsi"/>
                <w:sz w:val="20"/>
                <w:szCs w:val="20"/>
                <w:lang w:eastAsia="en-GB"/>
              </w:rPr>
              <w:t>(</w:t>
            </w:r>
            <w:r w:rsidR="00082CCA">
              <w:rPr>
                <w:rFonts w:eastAsia="Times New Roman" w:cstheme="minorHAnsi"/>
                <w:sz w:val="20"/>
                <w:szCs w:val="20"/>
                <w:lang w:eastAsia="en-GB"/>
              </w:rPr>
              <w:t>Inventory/cost</w:t>
            </w:r>
            <w:r w:rsidRPr="00AA335B">
              <w:rPr>
                <w:rFonts w:eastAsia="Times New Roman" w:cstheme="minorHAnsi"/>
                <w:sz w:val="20"/>
                <w:szCs w:val="20"/>
                <w:lang w:eastAsia="en-GB"/>
              </w:rPr>
              <w:t xml:space="preserve"> of sales) * 365</w:t>
            </w:r>
          </w:p>
        </w:tc>
        <w:tc>
          <w:tcPr>
            <w:tcW w:w="1218" w:type="dxa"/>
          </w:tcPr>
          <w:p w14:paraId="3756162C" w14:textId="7C9D5AC4" w:rsidR="00991830" w:rsidRPr="00991830" w:rsidRDefault="00D124DF" w:rsidP="00991830">
            <w:pPr>
              <w:rPr>
                <w:rFonts w:eastAsia="Times New Roman" w:cstheme="minorHAnsi"/>
                <w:szCs w:val="24"/>
                <w:lang w:eastAsia="en-GB"/>
              </w:rPr>
            </w:pPr>
            <w:r>
              <w:rPr>
                <w:rFonts w:eastAsia="Times New Roman" w:cstheme="minorHAnsi"/>
                <w:szCs w:val="24"/>
                <w:lang w:eastAsia="en-GB"/>
              </w:rPr>
              <w:t>(</w:t>
            </w:r>
            <w:r w:rsidR="00991830">
              <w:rPr>
                <w:rFonts w:ascii="Calibri" w:hAnsi="Calibri" w:cs="Calibri"/>
                <w:color w:val="000000"/>
              </w:rPr>
              <w:t>2,093,000</w:t>
            </w:r>
          </w:p>
          <w:p w14:paraId="7DD01A44" w14:textId="195313B9" w:rsidR="00D124DF" w:rsidRDefault="00D124DF" w:rsidP="00991830">
            <w:pPr>
              <w:rPr>
                <w:rFonts w:eastAsia="Times New Roman" w:cstheme="minorHAnsi"/>
                <w:szCs w:val="24"/>
                <w:lang w:eastAsia="en-GB"/>
              </w:rPr>
            </w:pPr>
            <w:r>
              <w:rPr>
                <w:rFonts w:eastAsia="Times New Roman" w:cstheme="minorHAnsi"/>
                <w:szCs w:val="24"/>
                <w:lang w:eastAsia="en-GB"/>
              </w:rPr>
              <w:t>/</w:t>
            </w:r>
          </w:p>
          <w:p w14:paraId="317327F0" w14:textId="6A73B331" w:rsidR="007627E0" w:rsidRPr="00D124DF" w:rsidRDefault="00D124DF" w:rsidP="00991830">
            <w:pPr>
              <w:rPr>
                <w:rFonts w:ascii="Calibri" w:hAnsi="Calibri" w:cs="Calibri"/>
                <w:color w:val="000000"/>
              </w:rPr>
            </w:pPr>
            <w:r>
              <w:rPr>
                <w:rFonts w:ascii="Calibri" w:hAnsi="Calibri" w:cs="Calibri"/>
                <w:color w:val="000000"/>
              </w:rPr>
              <w:t>7,017,000) *365</w:t>
            </w:r>
          </w:p>
        </w:tc>
        <w:tc>
          <w:tcPr>
            <w:tcW w:w="1667" w:type="dxa"/>
          </w:tcPr>
          <w:p w14:paraId="29CFFB94" w14:textId="45578FDF" w:rsidR="007627E0" w:rsidRDefault="00991830" w:rsidP="00991830">
            <w:pPr>
              <w:rPr>
                <w:rFonts w:eastAsia="Times New Roman" w:cstheme="minorHAnsi"/>
                <w:szCs w:val="24"/>
                <w:lang w:eastAsia="en-GB"/>
              </w:rPr>
            </w:pPr>
            <w:r>
              <w:rPr>
                <w:rFonts w:eastAsia="Times New Roman" w:cstheme="minorHAnsi"/>
                <w:szCs w:val="24"/>
                <w:lang w:eastAsia="en-GB"/>
              </w:rPr>
              <w:t>536.06</w:t>
            </w:r>
            <w:r w:rsidR="00D124DF">
              <w:rPr>
                <w:rFonts w:eastAsia="Times New Roman" w:cstheme="minorHAnsi"/>
                <w:szCs w:val="24"/>
                <w:lang w:eastAsia="en-GB"/>
              </w:rPr>
              <w:t xml:space="preserve"> days</w:t>
            </w:r>
          </w:p>
        </w:tc>
        <w:tc>
          <w:tcPr>
            <w:tcW w:w="1218" w:type="dxa"/>
          </w:tcPr>
          <w:p w14:paraId="2C73E304" w14:textId="74D8D1F0" w:rsidR="00991830" w:rsidRDefault="00D124DF" w:rsidP="00991830">
            <w:pPr>
              <w:rPr>
                <w:rFonts w:ascii="Calibri" w:hAnsi="Calibri" w:cs="Calibri"/>
                <w:color w:val="000000"/>
              </w:rPr>
            </w:pPr>
            <w:r>
              <w:rPr>
                <w:rFonts w:eastAsia="Times New Roman" w:cstheme="minorHAnsi"/>
                <w:szCs w:val="24"/>
                <w:lang w:eastAsia="en-GB"/>
              </w:rPr>
              <w:t>(</w:t>
            </w:r>
            <w:r w:rsidR="00991830">
              <w:rPr>
                <w:rFonts w:ascii="Calibri" w:hAnsi="Calibri" w:cs="Calibri"/>
                <w:color w:val="000000"/>
              </w:rPr>
              <w:t>4,202,000</w:t>
            </w:r>
          </w:p>
          <w:p w14:paraId="61783775" w14:textId="27365E8C" w:rsidR="00D124DF" w:rsidRDefault="00D124DF" w:rsidP="00991830">
            <w:pPr>
              <w:rPr>
                <w:rFonts w:eastAsia="Times New Roman" w:cstheme="minorHAnsi"/>
                <w:szCs w:val="24"/>
                <w:lang w:eastAsia="en-GB"/>
              </w:rPr>
            </w:pPr>
            <w:r>
              <w:rPr>
                <w:rFonts w:eastAsia="Times New Roman" w:cstheme="minorHAnsi"/>
                <w:szCs w:val="24"/>
                <w:lang w:eastAsia="en-GB"/>
              </w:rPr>
              <w:t>/</w:t>
            </w:r>
          </w:p>
          <w:p w14:paraId="2AF32AFE" w14:textId="657D97D4" w:rsidR="007627E0" w:rsidRPr="00D124DF" w:rsidRDefault="00D124DF" w:rsidP="00991830">
            <w:pPr>
              <w:rPr>
                <w:rFonts w:ascii="Calibri" w:hAnsi="Calibri" w:cs="Calibri"/>
                <w:color w:val="000000"/>
              </w:rPr>
            </w:pPr>
            <w:r>
              <w:rPr>
                <w:rFonts w:ascii="Calibri" w:hAnsi="Calibri" w:cs="Calibri"/>
                <w:color w:val="000000"/>
              </w:rPr>
              <w:t xml:space="preserve">3,724,000) </w:t>
            </w:r>
          </w:p>
        </w:tc>
        <w:tc>
          <w:tcPr>
            <w:tcW w:w="1059" w:type="dxa"/>
          </w:tcPr>
          <w:p w14:paraId="4DC51E07" w14:textId="06084576" w:rsidR="007627E0" w:rsidRDefault="00991830" w:rsidP="00991830">
            <w:pPr>
              <w:rPr>
                <w:rFonts w:eastAsia="Times New Roman" w:cstheme="minorHAnsi"/>
                <w:szCs w:val="24"/>
                <w:lang w:eastAsia="en-GB"/>
              </w:rPr>
            </w:pPr>
            <w:r>
              <w:rPr>
                <w:rFonts w:eastAsia="Times New Roman" w:cstheme="minorHAnsi"/>
                <w:szCs w:val="24"/>
                <w:lang w:eastAsia="en-GB"/>
              </w:rPr>
              <w:t>411.85</w:t>
            </w:r>
            <w:r w:rsidR="0017711B">
              <w:rPr>
                <w:rFonts w:eastAsia="Times New Roman" w:cstheme="minorHAnsi"/>
                <w:szCs w:val="24"/>
                <w:lang w:eastAsia="en-GB"/>
              </w:rPr>
              <w:t xml:space="preserve"> days</w:t>
            </w:r>
          </w:p>
        </w:tc>
      </w:tr>
    </w:tbl>
    <w:p w14:paraId="16A73CCD" w14:textId="77777777" w:rsidR="007627E0" w:rsidRPr="0048137E" w:rsidRDefault="007627E0" w:rsidP="0048137E">
      <w:pPr>
        <w:spacing w:line="360" w:lineRule="auto"/>
        <w:rPr>
          <w:rFonts w:eastAsia="Times New Roman" w:cstheme="minorHAnsi"/>
          <w:szCs w:val="24"/>
          <w:lang w:eastAsia="en-GB"/>
        </w:rPr>
      </w:pPr>
    </w:p>
    <w:p w14:paraId="1C008E9D"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5C6BCB1D" w14:textId="2B0C4F5F"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r w:rsidR="005E0B4E">
        <w:rPr>
          <w:noProof/>
        </w:rPr>
        <w:drawing>
          <wp:inline distT="0" distB="0" distL="0" distR="0" wp14:anchorId="124DC8E7" wp14:editId="4D211425">
            <wp:extent cx="4572000" cy="2743200"/>
            <wp:effectExtent l="0" t="0" r="0" b="0"/>
            <wp:docPr id="11" name="Chart 11">
              <a:extLst xmlns:a="http://schemas.openxmlformats.org/drawingml/2006/main">
                <a:ext uri="{FF2B5EF4-FFF2-40B4-BE49-F238E27FC236}">
                  <a16:creationId xmlns:a16="http://schemas.microsoft.com/office/drawing/2014/main" id="{3930661C-BF9F-0C00-95C9-A0D962FDA5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5C0C93"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1C5B329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1B1178F"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1E1AC15"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9936118"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6600A9C9"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lastRenderedPageBreak/>
        <w:t> </w:t>
      </w:r>
    </w:p>
    <w:p w14:paraId="427E7C94"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097E1D93"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464141C8"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50856408"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85B6099"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54959151"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08F4B210"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E5FB6ED" w14:textId="1211CBA2"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lang w:eastAsia="en-GB"/>
        </w:rPr>
        <w:t>Goodell</w:t>
      </w:r>
      <w:r w:rsidR="00F2365B">
        <w:rPr>
          <w:rFonts w:eastAsia="Times New Roman" w:cstheme="minorHAnsi"/>
          <w:szCs w:val="24"/>
          <w:lang w:eastAsia="en-GB"/>
        </w:rPr>
        <w:t xml:space="preserve"> and</w:t>
      </w:r>
      <w:r w:rsidRPr="0048137E">
        <w:rPr>
          <w:rFonts w:eastAsia="Times New Roman" w:cstheme="minorHAnsi"/>
          <w:szCs w:val="24"/>
          <w:lang w:eastAsia="en-GB"/>
        </w:rPr>
        <w:t xml:space="preserve"> Huynh (2020) argued </w:t>
      </w:r>
      <w:r w:rsidR="00A916DD">
        <w:rPr>
          <w:rFonts w:eastAsia="Times New Roman" w:cstheme="minorHAnsi"/>
          <w:szCs w:val="24"/>
          <w:lang w:eastAsia="en-GB"/>
        </w:rPr>
        <w:t xml:space="preserve">that </w:t>
      </w:r>
      <w:r w:rsidR="00BF4936">
        <w:rPr>
          <w:rFonts w:eastAsia="Times New Roman" w:cstheme="minorHAnsi"/>
          <w:szCs w:val="24"/>
          <w:lang w:eastAsia="en-GB"/>
        </w:rPr>
        <w:t>b</w:t>
      </w:r>
      <w:r w:rsidR="00C00260">
        <w:rPr>
          <w:rFonts w:eastAsia="Times New Roman" w:cstheme="minorHAnsi"/>
          <w:szCs w:val="24"/>
          <w:lang w:eastAsia="en-GB"/>
        </w:rPr>
        <w:t xml:space="preserve">y </w:t>
      </w:r>
      <w:r w:rsidRPr="0048137E">
        <w:rPr>
          <w:rFonts w:eastAsia="Times New Roman" w:cstheme="minorHAnsi"/>
          <w:szCs w:val="24"/>
          <w:lang w:eastAsia="en-GB"/>
        </w:rPr>
        <w:t>examin</w:t>
      </w:r>
      <w:r w:rsidR="00A916DD">
        <w:rPr>
          <w:rFonts w:eastAsia="Times New Roman" w:cstheme="minorHAnsi"/>
          <w:szCs w:val="24"/>
          <w:lang w:eastAsia="en-GB"/>
        </w:rPr>
        <w:t>ing</w:t>
      </w:r>
      <w:r w:rsidRPr="0048137E">
        <w:rPr>
          <w:rFonts w:eastAsia="Times New Roman" w:cstheme="minorHAnsi"/>
          <w:szCs w:val="24"/>
          <w:lang w:eastAsia="en-GB"/>
        </w:rPr>
        <w:t xml:space="preserve"> the results financial results of the family firms</w:t>
      </w:r>
      <w:r w:rsidR="0092620A">
        <w:rPr>
          <w:rFonts w:eastAsia="Times New Roman" w:cstheme="minorHAnsi"/>
          <w:szCs w:val="24"/>
          <w:lang w:eastAsia="en-GB"/>
        </w:rPr>
        <w:t>,</w:t>
      </w:r>
      <w:r w:rsidRPr="0048137E">
        <w:rPr>
          <w:rFonts w:eastAsia="Times New Roman" w:cstheme="minorHAnsi"/>
          <w:szCs w:val="24"/>
          <w:lang w:eastAsia="en-GB"/>
        </w:rPr>
        <w:t xml:space="preserve"> they were a lot stronger</w:t>
      </w:r>
      <w:r w:rsidR="00A916DD">
        <w:rPr>
          <w:rFonts w:eastAsia="Times New Roman" w:cstheme="minorHAnsi"/>
          <w:szCs w:val="24"/>
          <w:lang w:eastAsia="en-GB"/>
        </w:rPr>
        <w:t>,</w:t>
      </w:r>
      <w:r w:rsidRPr="0048137E">
        <w:rPr>
          <w:rFonts w:eastAsia="Times New Roman" w:cstheme="minorHAnsi"/>
          <w:szCs w:val="24"/>
          <w:lang w:eastAsia="en-GB"/>
        </w:rPr>
        <w:t xml:space="preserve"> and many hotels survived the impact of covid 19 investing </w:t>
      </w:r>
      <w:r w:rsidR="00082CCA">
        <w:rPr>
          <w:rFonts w:eastAsia="Times New Roman" w:cstheme="minorHAnsi"/>
          <w:szCs w:val="24"/>
          <w:lang w:eastAsia="en-GB"/>
        </w:rPr>
        <w:t xml:space="preserve">in </w:t>
      </w:r>
      <w:r w:rsidRPr="0048137E">
        <w:rPr>
          <w:rFonts w:eastAsia="Times New Roman" w:cstheme="minorHAnsi"/>
          <w:szCs w:val="24"/>
          <w:lang w:eastAsia="en-GB"/>
        </w:rPr>
        <w:t>the global hospitality industry</w:t>
      </w:r>
      <w:r w:rsidR="00082CCA">
        <w:rPr>
          <w:rFonts w:eastAsia="Times New Roman" w:cstheme="minorHAnsi"/>
          <w:szCs w:val="24"/>
          <w:lang w:eastAsia="en-GB"/>
        </w:rPr>
        <w:t>,</w:t>
      </w:r>
      <w:r w:rsidRPr="0048137E">
        <w:rPr>
          <w:rFonts w:eastAsia="Times New Roman" w:cstheme="minorHAnsi"/>
          <w:szCs w:val="24"/>
          <w:lang w:eastAsia="en-GB"/>
        </w:rPr>
        <w:t xml:space="preserve"> it is important to identify the variable</w:t>
      </w:r>
      <w:r w:rsidR="00A9231F">
        <w:rPr>
          <w:rFonts w:eastAsia="Times New Roman" w:cstheme="minorHAnsi"/>
          <w:szCs w:val="24"/>
          <w:lang w:eastAsia="en-GB"/>
        </w:rPr>
        <w:t>;</w:t>
      </w:r>
      <w:r w:rsidRPr="0048137E">
        <w:rPr>
          <w:rFonts w:eastAsia="Times New Roman" w:cstheme="minorHAnsi"/>
          <w:szCs w:val="24"/>
          <w:lang w:eastAsia="en-GB"/>
        </w:rPr>
        <w:t xml:space="preserve"> </w:t>
      </w:r>
      <w:r w:rsidR="00F43106">
        <w:rPr>
          <w:rFonts w:eastAsia="Times New Roman" w:cstheme="minorHAnsi"/>
          <w:szCs w:val="24"/>
          <w:lang w:eastAsia="en-GB"/>
        </w:rPr>
        <w:t>however</w:t>
      </w:r>
      <w:r w:rsidR="00191B04">
        <w:rPr>
          <w:rFonts w:eastAsia="Times New Roman" w:cstheme="minorHAnsi"/>
          <w:szCs w:val="24"/>
          <w:lang w:eastAsia="en-GB"/>
        </w:rPr>
        <w:t>,</w:t>
      </w:r>
      <w:r w:rsidRPr="0048137E">
        <w:rPr>
          <w:rFonts w:eastAsia="Times New Roman" w:cstheme="minorHAnsi"/>
          <w:szCs w:val="24"/>
          <w:lang w:eastAsia="en-GB"/>
        </w:rPr>
        <w:t xml:space="preserve"> to identify the ESG is important,</w:t>
      </w:r>
      <w:r w:rsidR="00082CCA">
        <w:rPr>
          <w:rFonts w:eastAsia="Times New Roman" w:cstheme="minorHAnsi"/>
          <w:szCs w:val="24"/>
          <w:lang w:eastAsia="en-GB"/>
        </w:rPr>
        <w:t xml:space="preserve"> </w:t>
      </w:r>
      <w:r w:rsidRPr="0048137E">
        <w:rPr>
          <w:rFonts w:eastAsia="Times New Roman" w:cstheme="minorHAnsi"/>
          <w:szCs w:val="24"/>
          <w:lang w:eastAsia="en-GB"/>
        </w:rPr>
        <w:t>these factors social factors and environmental</w:t>
      </w:r>
      <w:r w:rsidR="00082CCA">
        <w:rPr>
          <w:rFonts w:eastAsia="Times New Roman" w:cstheme="minorHAnsi"/>
          <w:szCs w:val="24"/>
          <w:lang w:eastAsia="en-GB"/>
        </w:rPr>
        <w:t>.</w:t>
      </w:r>
      <w:r w:rsidRPr="0048137E">
        <w:rPr>
          <w:rFonts w:eastAsia="Times New Roman" w:cstheme="minorHAnsi"/>
          <w:szCs w:val="24"/>
          <w:lang w:eastAsia="en-GB"/>
        </w:rPr>
        <w:t> </w:t>
      </w: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 </w:t>
      </w:r>
    </w:p>
    <w:p w14:paraId="28F974E5"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05064405" w14:textId="55CEB5DA" w:rsidR="00E43A4C" w:rsidRDefault="00E43A4C" w:rsidP="00AB2DE4">
      <w:pPr>
        <w:pStyle w:val="Heading1"/>
      </w:pPr>
      <w:r w:rsidRPr="0048137E">
        <w:rPr>
          <w:bdr w:val="none" w:sz="0" w:space="0" w:color="auto" w:frame="1"/>
        </w:rPr>
        <w:t> </w:t>
      </w:r>
      <w:r w:rsidRPr="0048137E">
        <w:t> </w:t>
      </w:r>
      <w:bookmarkStart w:id="4" w:name="_Toc114650440"/>
      <w:r w:rsidR="00AB2DE4">
        <w:t>Conclusion</w:t>
      </w:r>
      <w:bookmarkEnd w:id="4"/>
      <w:r w:rsidR="00AB2DE4">
        <w:t xml:space="preserve"> </w:t>
      </w:r>
    </w:p>
    <w:p w14:paraId="762359E3" w14:textId="453C56AC" w:rsidR="00AB2DE4" w:rsidRDefault="00AB2DE4" w:rsidP="00AB2DE4">
      <w:pPr>
        <w:pStyle w:val="Heading1"/>
      </w:pPr>
    </w:p>
    <w:p w14:paraId="7BB7F9BE" w14:textId="55FCA312" w:rsidR="00AB2DE4" w:rsidRDefault="00AB2DE4" w:rsidP="00AB2DE4">
      <w:r>
        <w:t xml:space="preserve">This report has shown that the profits for the </w:t>
      </w:r>
      <w:r w:rsidR="00082CCA">
        <w:t>Hilton</w:t>
      </w:r>
      <w:r>
        <w:t xml:space="preserve"> Hotel in London went down in 2020 from</w:t>
      </w:r>
      <w:r w:rsidR="007A48A4">
        <w:t xml:space="preserve"> </w:t>
      </w:r>
      <w:r>
        <w:t xml:space="preserve"> 2019. </w:t>
      </w:r>
      <w:r w:rsidR="00182CD7">
        <w:t>And</w:t>
      </w:r>
      <w:r>
        <w:t xml:space="preserve"> particularly noticeable in the calculations </w:t>
      </w:r>
      <w:r w:rsidR="00082CCA">
        <w:t>of</w:t>
      </w:r>
      <w:r>
        <w:t xml:space="preserve"> sales and gross profit. Calculations for other income for the hotel went down significantly in 2020, with a loss of £458,000. The report has highlighted the two main reasons for this loss the Covid-19 pandemic and Brexit. The Covid-19 pandemic caused a loss because the lockdown prevented non-urgent travel and hotel stays for several months from March 2020. Lockdown also caused </w:t>
      </w:r>
      <w:r w:rsidR="00082CCA">
        <w:t xml:space="preserve">a </w:t>
      </w:r>
      <w:r>
        <w:t xml:space="preserve">loss of </w:t>
      </w:r>
      <w:r w:rsidR="00082CCA">
        <w:t>earnings</w:t>
      </w:r>
      <w:r>
        <w:t xml:space="preserve"> for some businesses and individuals, meaning people had less disposable income to spend on non-urgent hotel stays. Even when </w:t>
      </w:r>
      <w:r w:rsidR="00082CCA">
        <w:t xml:space="preserve">the </w:t>
      </w:r>
      <w:r>
        <w:t xml:space="preserve">lockdown </w:t>
      </w:r>
      <w:r w:rsidR="00C464C0">
        <w:t>where relaxed</w:t>
      </w:r>
      <w:r>
        <w:t xml:space="preserve">, people were weary of travelling due to the infection. </w:t>
      </w:r>
    </w:p>
    <w:p w14:paraId="7F304518" w14:textId="507A52D8" w:rsidR="00D944CB" w:rsidRDefault="00AB2DE4" w:rsidP="00486040">
      <w:pPr>
        <w:jc w:val="both"/>
      </w:pPr>
      <w:r>
        <w:t>Brexit also had an impact because</w:t>
      </w:r>
      <w:r w:rsidR="005C5D19">
        <w:t xml:space="preserve"> of</w:t>
      </w:r>
      <w:r>
        <w:t xml:space="preserve"> </w:t>
      </w:r>
      <w:r w:rsidR="000F6A78">
        <w:t>goods</w:t>
      </w:r>
      <w:r>
        <w:t xml:space="preserve"> from the E</w:t>
      </w:r>
      <w:r w:rsidR="002E7E82">
        <w:t>.U.</w:t>
      </w:r>
      <w:r>
        <w:t xml:space="preserve"> into Britain. There was also disruption with lorry drivers when trying to provide </w:t>
      </w:r>
      <w:r w:rsidR="00082CCA">
        <w:t>goods</w:t>
      </w:r>
      <w:r>
        <w:t xml:space="preserve"> into Britain from France, so supply for the hotel industry saw a hit. Brexit also made the cost of </w:t>
      </w:r>
      <w:r w:rsidR="00082CCA">
        <w:t>goods</w:t>
      </w:r>
      <w:r>
        <w:t xml:space="preserve"> from E</w:t>
      </w:r>
      <w:r w:rsidR="002E7E82">
        <w:t>.U.</w:t>
      </w:r>
      <w:r>
        <w:t xml:space="preserve"> countries go up. Travel to Britain from E</w:t>
      </w:r>
      <w:r w:rsidR="002E7E82">
        <w:t>.U.</w:t>
      </w:r>
      <w:r>
        <w:t xml:space="preserve"> countries has also become more difficult, meaning fewer people travelling to the U</w:t>
      </w:r>
      <w:r w:rsidR="002E7E82">
        <w:t>.K.</w:t>
      </w:r>
      <w:r>
        <w:t xml:space="preserve"> from E</w:t>
      </w:r>
      <w:r w:rsidR="002E7E82">
        <w:t>.U.</w:t>
      </w:r>
      <w:r>
        <w:t xml:space="preserve"> countries. Finally, some </w:t>
      </w:r>
      <w:proofErr w:type="spellStart"/>
      <w:r>
        <w:lastRenderedPageBreak/>
        <w:t>E</w:t>
      </w:r>
      <w:r w:rsidR="002E7E82">
        <w:t>.U.</w:t>
      </w:r>
      <w:r>
        <w:t>migrant</w:t>
      </w:r>
      <w:proofErr w:type="spellEnd"/>
      <w:r>
        <w:t xml:space="preserve"> workers at the Hilton Hotel would have faced difficulties remaining in the country, which would have </w:t>
      </w:r>
      <w:r w:rsidR="00082CCA">
        <w:t>disrupted</w:t>
      </w:r>
      <w:r>
        <w:t xml:space="preserve"> the hotel</w:t>
      </w:r>
      <w:r w:rsidR="00BC55AA">
        <w:t>.</w:t>
      </w:r>
      <w:r>
        <w:t xml:space="preserve"> </w:t>
      </w:r>
      <w:bookmarkStart w:id="5" w:name="_Toc114650441"/>
      <w:r w:rsidR="00927662">
        <w:t xml:space="preserve">Therefore the </w:t>
      </w:r>
      <w:r w:rsidR="0064527A">
        <w:t xml:space="preserve">Hilton will recover </w:t>
      </w:r>
      <w:r w:rsidR="00BC55AA">
        <w:t xml:space="preserve">in 2021 </w:t>
      </w:r>
    </w:p>
    <w:p w14:paraId="1878552D" w14:textId="77777777" w:rsidR="00677EA8" w:rsidRDefault="00677EA8" w:rsidP="00486040">
      <w:pPr>
        <w:jc w:val="both"/>
      </w:pPr>
    </w:p>
    <w:p w14:paraId="4C217B9E" w14:textId="77777777" w:rsidR="00677EA8" w:rsidRDefault="00677EA8" w:rsidP="00486040">
      <w:pPr>
        <w:jc w:val="both"/>
      </w:pPr>
    </w:p>
    <w:p w14:paraId="26D98FB2" w14:textId="77777777" w:rsidR="00677EA8" w:rsidRDefault="00677EA8" w:rsidP="00486040">
      <w:pPr>
        <w:jc w:val="both"/>
      </w:pPr>
    </w:p>
    <w:p w14:paraId="242EF948" w14:textId="77777777" w:rsidR="00677EA8" w:rsidRDefault="00677EA8" w:rsidP="00486040">
      <w:pPr>
        <w:jc w:val="both"/>
      </w:pPr>
    </w:p>
    <w:p w14:paraId="50F1547C" w14:textId="4444385E" w:rsidR="00677EA8" w:rsidRDefault="00520777" w:rsidP="00486040">
      <w:pPr>
        <w:jc w:val="both"/>
      </w:pPr>
      <w:r>
        <w:t>2</w:t>
      </w:r>
      <w:r w:rsidR="00911947">
        <w:t>174 words</w:t>
      </w:r>
    </w:p>
    <w:p w14:paraId="02F710F4" w14:textId="77777777" w:rsidR="00677EA8" w:rsidRDefault="00677EA8" w:rsidP="00486040">
      <w:pPr>
        <w:jc w:val="both"/>
      </w:pPr>
    </w:p>
    <w:p w14:paraId="769597AC" w14:textId="77777777" w:rsidR="00677EA8" w:rsidRDefault="00677EA8" w:rsidP="00486040">
      <w:pPr>
        <w:jc w:val="both"/>
      </w:pPr>
    </w:p>
    <w:p w14:paraId="6F84039D" w14:textId="77777777" w:rsidR="00677EA8" w:rsidRDefault="00677EA8" w:rsidP="00486040">
      <w:pPr>
        <w:jc w:val="both"/>
      </w:pPr>
    </w:p>
    <w:p w14:paraId="2470856D" w14:textId="77777777" w:rsidR="00677EA8" w:rsidRDefault="00677EA8" w:rsidP="00486040">
      <w:pPr>
        <w:jc w:val="both"/>
      </w:pPr>
    </w:p>
    <w:p w14:paraId="2E97EFC6" w14:textId="77777777" w:rsidR="00677EA8" w:rsidRDefault="00677EA8" w:rsidP="00486040">
      <w:pPr>
        <w:jc w:val="both"/>
      </w:pPr>
    </w:p>
    <w:p w14:paraId="5760DA0B" w14:textId="77777777" w:rsidR="00677EA8" w:rsidRDefault="00677EA8" w:rsidP="00486040">
      <w:pPr>
        <w:jc w:val="both"/>
      </w:pPr>
    </w:p>
    <w:p w14:paraId="5B6A2C55" w14:textId="77777777" w:rsidR="00677EA8" w:rsidRDefault="00677EA8" w:rsidP="00486040">
      <w:pPr>
        <w:jc w:val="both"/>
      </w:pPr>
    </w:p>
    <w:p w14:paraId="3CAA4D5A" w14:textId="77777777" w:rsidR="00677EA8" w:rsidRDefault="00677EA8" w:rsidP="00486040">
      <w:pPr>
        <w:jc w:val="both"/>
      </w:pPr>
    </w:p>
    <w:p w14:paraId="2C25AB05" w14:textId="77777777" w:rsidR="00677EA8" w:rsidRDefault="00677EA8" w:rsidP="00486040">
      <w:pPr>
        <w:jc w:val="both"/>
      </w:pPr>
    </w:p>
    <w:p w14:paraId="00852362" w14:textId="77777777" w:rsidR="00677EA8" w:rsidRDefault="00677EA8" w:rsidP="00486040">
      <w:pPr>
        <w:jc w:val="both"/>
      </w:pPr>
    </w:p>
    <w:p w14:paraId="524B6303" w14:textId="77777777" w:rsidR="00677EA8" w:rsidRDefault="00677EA8" w:rsidP="00486040">
      <w:pPr>
        <w:jc w:val="both"/>
      </w:pPr>
    </w:p>
    <w:p w14:paraId="0A2BE7E5" w14:textId="77777777" w:rsidR="00677EA8" w:rsidRDefault="00677EA8" w:rsidP="00486040">
      <w:pPr>
        <w:jc w:val="both"/>
      </w:pPr>
    </w:p>
    <w:p w14:paraId="34D644CB" w14:textId="77777777" w:rsidR="00677EA8" w:rsidRDefault="00677EA8" w:rsidP="00486040">
      <w:pPr>
        <w:jc w:val="both"/>
      </w:pPr>
    </w:p>
    <w:p w14:paraId="4E7781F0" w14:textId="77777777" w:rsidR="00677EA8" w:rsidRDefault="00677EA8" w:rsidP="00486040">
      <w:pPr>
        <w:jc w:val="both"/>
      </w:pPr>
    </w:p>
    <w:p w14:paraId="53846A50" w14:textId="77777777" w:rsidR="00677EA8" w:rsidRDefault="00677EA8" w:rsidP="00486040">
      <w:pPr>
        <w:jc w:val="both"/>
      </w:pPr>
    </w:p>
    <w:p w14:paraId="0F409B70" w14:textId="77777777" w:rsidR="00677EA8" w:rsidRDefault="00677EA8" w:rsidP="00486040">
      <w:pPr>
        <w:jc w:val="both"/>
      </w:pPr>
    </w:p>
    <w:p w14:paraId="25B8E32D" w14:textId="77777777" w:rsidR="00677EA8" w:rsidRDefault="00677EA8" w:rsidP="00486040">
      <w:pPr>
        <w:jc w:val="both"/>
      </w:pPr>
    </w:p>
    <w:p w14:paraId="4EC97811" w14:textId="77777777" w:rsidR="00677EA8" w:rsidRDefault="00677EA8" w:rsidP="00486040">
      <w:pPr>
        <w:jc w:val="both"/>
      </w:pPr>
    </w:p>
    <w:p w14:paraId="59434020" w14:textId="77777777" w:rsidR="00677EA8" w:rsidRDefault="00677EA8" w:rsidP="00486040">
      <w:pPr>
        <w:jc w:val="both"/>
      </w:pPr>
    </w:p>
    <w:p w14:paraId="0DA7FA29" w14:textId="77777777" w:rsidR="00677EA8" w:rsidRDefault="00677EA8" w:rsidP="00486040">
      <w:pPr>
        <w:jc w:val="both"/>
      </w:pPr>
    </w:p>
    <w:p w14:paraId="0116BD91" w14:textId="77777777" w:rsidR="00677EA8" w:rsidRDefault="00677EA8" w:rsidP="00486040">
      <w:pPr>
        <w:jc w:val="both"/>
      </w:pPr>
    </w:p>
    <w:p w14:paraId="3788F307" w14:textId="77777777" w:rsidR="00677EA8" w:rsidRDefault="00677EA8" w:rsidP="00486040">
      <w:pPr>
        <w:jc w:val="both"/>
      </w:pPr>
    </w:p>
    <w:p w14:paraId="022E5ACB" w14:textId="77777777" w:rsidR="00677EA8" w:rsidRDefault="00677EA8" w:rsidP="00486040">
      <w:pPr>
        <w:jc w:val="both"/>
      </w:pPr>
    </w:p>
    <w:p w14:paraId="77976DB4" w14:textId="77777777" w:rsidR="00677EA8" w:rsidRDefault="00677EA8" w:rsidP="00486040">
      <w:pPr>
        <w:jc w:val="both"/>
      </w:pPr>
    </w:p>
    <w:p w14:paraId="3D4141B2" w14:textId="475DE142" w:rsidR="00E43A4C" w:rsidRPr="00486040" w:rsidRDefault="0024330E" w:rsidP="00486040">
      <w:pPr>
        <w:jc w:val="both"/>
      </w:pPr>
      <w:r w:rsidRPr="00AB2DE4">
        <w:lastRenderedPageBreak/>
        <w:t>References</w:t>
      </w:r>
      <w:bookmarkEnd w:id="5"/>
      <w:r w:rsidR="00A47A4D">
        <w:t>:</w:t>
      </w:r>
      <w:r w:rsidRPr="00AB2DE4">
        <w:t xml:space="preserve"> </w:t>
      </w:r>
    </w:p>
    <w:p w14:paraId="71AF1503" w14:textId="77777777" w:rsidR="00806352" w:rsidRDefault="00806352" w:rsidP="00E56ADA">
      <w:pPr>
        <w:spacing w:line="360" w:lineRule="auto"/>
        <w:jc w:val="both"/>
        <w:rPr>
          <w:szCs w:val="21"/>
          <w:shd w:val="clear" w:color="auto" w:fill="FFFFFF"/>
        </w:rPr>
      </w:pPr>
      <w:r w:rsidRPr="00CE1E02">
        <w:rPr>
          <w:szCs w:val="21"/>
          <w:shd w:val="clear" w:color="auto" w:fill="FFFFFF"/>
        </w:rPr>
        <w:t xml:space="preserve">Afolabi, A., Olabisi, J., </w:t>
      </w:r>
      <w:proofErr w:type="spellStart"/>
      <w:r w:rsidRPr="00CE1E02">
        <w:rPr>
          <w:szCs w:val="21"/>
          <w:shd w:val="clear" w:color="auto" w:fill="FFFFFF"/>
        </w:rPr>
        <w:t>Kajola</w:t>
      </w:r>
      <w:proofErr w:type="spellEnd"/>
      <w:r w:rsidRPr="00CE1E02">
        <w:rPr>
          <w:szCs w:val="21"/>
          <w:shd w:val="clear" w:color="auto" w:fill="FFFFFF"/>
        </w:rPr>
        <w:t xml:space="preserve">, S. O. and </w:t>
      </w:r>
      <w:proofErr w:type="spellStart"/>
      <w:r w:rsidRPr="00CE1E02">
        <w:rPr>
          <w:szCs w:val="21"/>
          <w:shd w:val="clear" w:color="auto" w:fill="FFFFFF"/>
        </w:rPr>
        <w:t>Asaolu</w:t>
      </w:r>
      <w:proofErr w:type="spellEnd"/>
      <w:r w:rsidRPr="00CE1E02">
        <w:rPr>
          <w:szCs w:val="21"/>
          <w:shd w:val="clear" w:color="auto" w:fill="FFFFFF"/>
        </w:rPr>
        <w:t>, T. O. (2019) 'Does leverage affect the financial performance of Nigerian firms?', (2019) </w:t>
      </w:r>
      <w:r w:rsidRPr="00CE1E02">
        <w:rPr>
          <w:iCs/>
          <w:szCs w:val="21"/>
          <w:shd w:val="clear" w:color="auto" w:fill="FFFFFF"/>
        </w:rPr>
        <w:t>Journal of Economics and Management, </w:t>
      </w:r>
      <w:r w:rsidRPr="00CE1E02">
        <w:rPr>
          <w:szCs w:val="21"/>
          <w:shd w:val="clear" w:color="auto" w:fill="FFFFFF"/>
        </w:rPr>
        <w:t xml:space="preserve">37(3), pp. 5-22. </w:t>
      </w:r>
      <w:proofErr w:type="spellStart"/>
      <w:r w:rsidRPr="00CE1E02">
        <w:rPr>
          <w:szCs w:val="21"/>
          <w:shd w:val="clear" w:color="auto" w:fill="FFFFFF"/>
        </w:rPr>
        <w:t>doi</w:t>
      </w:r>
      <w:proofErr w:type="spellEnd"/>
      <w:r w:rsidRPr="00CE1E02">
        <w:rPr>
          <w:szCs w:val="21"/>
          <w:shd w:val="clear" w:color="auto" w:fill="FFFFFF"/>
        </w:rPr>
        <w:t>: 10.22367/jem.2019.37.01.</w:t>
      </w:r>
    </w:p>
    <w:p w14:paraId="64C5F86B" w14:textId="1C70CBA8" w:rsidR="00806352" w:rsidRDefault="00806352" w:rsidP="00E56ADA">
      <w:pPr>
        <w:spacing w:line="360" w:lineRule="auto"/>
        <w:jc w:val="both"/>
        <w:rPr>
          <w:rFonts w:ascii="Roboto" w:hAnsi="Roboto"/>
          <w:color w:val="53565A"/>
          <w:sz w:val="21"/>
          <w:szCs w:val="21"/>
          <w:shd w:val="clear" w:color="auto" w:fill="FFFFFF"/>
        </w:rPr>
      </w:pPr>
      <w:r w:rsidRPr="008E77B0">
        <w:rPr>
          <w:szCs w:val="21"/>
          <w:shd w:val="clear" w:color="auto" w:fill="FFFFFF"/>
        </w:rPr>
        <w:t>Atkinson, H. and Brown, J. (2001) 'Rethinking performance measures: assessing progress in U</w:t>
      </w:r>
      <w:r w:rsidR="00953D92">
        <w:rPr>
          <w:szCs w:val="21"/>
          <w:shd w:val="clear" w:color="auto" w:fill="FFFFFF"/>
        </w:rPr>
        <w:t>.K.</w:t>
      </w:r>
      <w:r w:rsidRPr="008E77B0">
        <w:rPr>
          <w:szCs w:val="21"/>
          <w:shd w:val="clear" w:color="auto" w:fill="FFFFFF"/>
        </w:rPr>
        <w:t xml:space="preserve"> hotels', </w:t>
      </w:r>
      <w:r w:rsidRPr="008E77B0">
        <w:rPr>
          <w:iCs/>
          <w:szCs w:val="21"/>
          <w:shd w:val="clear" w:color="auto" w:fill="FFFFFF"/>
        </w:rPr>
        <w:t>International journal of contemporary hospitality management, </w:t>
      </w:r>
      <w:r w:rsidRPr="008E77B0">
        <w:rPr>
          <w:szCs w:val="21"/>
          <w:shd w:val="clear" w:color="auto" w:fill="FFFFFF"/>
        </w:rPr>
        <w:t xml:space="preserve">13(3), pp. 128-136. </w:t>
      </w:r>
      <w:proofErr w:type="spellStart"/>
      <w:r w:rsidRPr="008E77B0">
        <w:rPr>
          <w:szCs w:val="21"/>
          <w:shd w:val="clear" w:color="auto" w:fill="FFFFFF"/>
        </w:rPr>
        <w:t>doi</w:t>
      </w:r>
      <w:proofErr w:type="spellEnd"/>
      <w:r w:rsidRPr="008E77B0">
        <w:rPr>
          <w:szCs w:val="21"/>
          <w:shd w:val="clear" w:color="auto" w:fill="FFFFFF"/>
        </w:rPr>
        <w:t>: 10.1108/09596110110388918</w:t>
      </w:r>
      <w:r>
        <w:rPr>
          <w:rFonts w:ascii="Roboto" w:hAnsi="Roboto"/>
          <w:color w:val="53565A"/>
          <w:sz w:val="21"/>
          <w:szCs w:val="21"/>
          <w:shd w:val="clear" w:color="auto" w:fill="FFFFFF"/>
        </w:rPr>
        <w:t>.</w:t>
      </w:r>
    </w:p>
    <w:p w14:paraId="19D8031B" w14:textId="77777777" w:rsidR="00806352" w:rsidRDefault="00806352" w:rsidP="00E56ADA">
      <w:pPr>
        <w:spacing w:line="360" w:lineRule="auto"/>
        <w:jc w:val="both"/>
        <w:rPr>
          <w:rFonts w:cstheme="minorHAnsi"/>
          <w:szCs w:val="24"/>
        </w:rPr>
      </w:pPr>
      <w:r w:rsidRPr="00A749D7">
        <w:rPr>
          <w:rFonts w:cstheme="minorHAnsi"/>
          <w:szCs w:val="24"/>
        </w:rPr>
        <w:t>Cottrell S (2010) skill for success personal</w:t>
      </w:r>
      <w:r>
        <w:rPr>
          <w:rFonts w:cstheme="minorHAnsi"/>
          <w:szCs w:val="24"/>
        </w:rPr>
        <w:t>,</w:t>
      </w:r>
      <w:r w:rsidRPr="00A749D7">
        <w:rPr>
          <w:rFonts w:cstheme="minorHAnsi"/>
          <w:szCs w:val="24"/>
        </w:rPr>
        <w:t xml:space="preserve"> development</w:t>
      </w:r>
      <w:r>
        <w:rPr>
          <w:rFonts w:cstheme="minorHAnsi"/>
          <w:szCs w:val="24"/>
        </w:rPr>
        <w:t xml:space="preserve"> and employability 2</w:t>
      </w:r>
      <w:r w:rsidRPr="003B4D22">
        <w:rPr>
          <w:rFonts w:cstheme="minorHAnsi"/>
          <w:szCs w:val="24"/>
          <w:vertAlign w:val="superscript"/>
        </w:rPr>
        <w:t>nd</w:t>
      </w:r>
      <w:r>
        <w:rPr>
          <w:rFonts w:cstheme="minorHAnsi"/>
          <w:szCs w:val="24"/>
        </w:rPr>
        <w:t xml:space="preserve"> edh Hampshire: Palgrave Macmillan.</w:t>
      </w:r>
    </w:p>
    <w:p w14:paraId="0EFBDB4F" w14:textId="346A05D6" w:rsidR="00806352" w:rsidRDefault="00806352" w:rsidP="00E56ADA">
      <w:pPr>
        <w:spacing w:line="360" w:lineRule="auto"/>
        <w:jc w:val="both"/>
        <w:rPr>
          <w:rFonts w:ascii="Source Sans Pro" w:hAnsi="Source Sans Pro"/>
          <w:color w:val="333333"/>
          <w:sz w:val="23"/>
          <w:szCs w:val="23"/>
          <w:shd w:val="clear" w:color="auto" w:fill="FFFFFF"/>
        </w:rPr>
      </w:pPr>
      <w:proofErr w:type="spellStart"/>
      <w:r w:rsidRPr="002F6D60">
        <w:rPr>
          <w:szCs w:val="23"/>
          <w:shd w:val="clear" w:color="auto" w:fill="FFFFFF"/>
        </w:rPr>
        <w:t>Fridson</w:t>
      </w:r>
      <w:proofErr w:type="spellEnd"/>
      <w:r w:rsidRPr="002F6D60">
        <w:rPr>
          <w:szCs w:val="23"/>
          <w:shd w:val="clear" w:color="auto" w:fill="FFFFFF"/>
        </w:rPr>
        <w:t>, M.S. (2011) </w:t>
      </w:r>
      <w:r w:rsidRPr="002F6D60">
        <w:rPr>
          <w:iCs/>
          <w:szCs w:val="23"/>
          <w:shd w:val="clear" w:color="auto" w:fill="FFFFFF"/>
        </w:rPr>
        <w:t>Financial Statement Analysis [electronic resource] : A Practitioner</w:t>
      </w:r>
      <w:r w:rsidR="001512FF">
        <w:rPr>
          <w:iCs/>
          <w:szCs w:val="23"/>
          <w:shd w:val="clear" w:color="auto" w:fill="FFFFFF"/>
        </w:rPr>
        <w:t>'</w:t>
      </w:r>
      <w:r w:rsidRPr="002F6D60">
        <w:rPr>
          <w:iCs/>
          <w:szCs w:val="23"/>
          <w:shd w:val="clear" w:color="auto" w:fill="FFFFFF"/>
        </w:rPr>
        <w:t>s Guide</w:t>
      </w:r>
      <w:r w:rsidRPr="002F6D60">
        <w:rPr>
          <w:szCs w:val="23"/>
          <w:shd w:val="clear" w:color="auto" w:fill="FFFFFF"/>
        </w:rPr>
        <w:t>. 4th ed. Hoboken </w:t>
      </w:r>
      <w:r>
        <w:rPr>
          <w:szCs w:val="23"/>
          <w:shd w:val="clear" w:color="auto" w:fill="FFFFFF"/>
        </w:rPr>
        <w:t>,</w:t>
      </w:r>
      <w:r w:rsidRPr="002F6D60">
        <w:rPr>
          <w:szCs w:val="23"/>
          <w:shd w:val="clear" w:color="auto" w:fill="FFFFFF"/>
        </w:rPr>
        <w:t xml:space="preserve"> Wiley</w:t>
      </w:r>
      <w:r>
        <w:rPr>
          <w:rFonts w:ascii="Source Sans Pro" w:hAnsi="Source Sans Pro"/>
          <w:color w:val="333333"/>
          <w:sz w:val="23"/>
          <w:szCs w:val="23"/>
          <w:shd w:val="clear" w:color="auto" w:fill="FFFFFF"/>
        </w:rPr>
        <w:t>.</w:t>
      </w:r>
    </w:p>
    <w:p w14:paraId="6F191786" w14:textId="77777777" w:rsidR="00806352" w:rsidRDefault="00806352" w:rsidP="00E56ADA">
      <w:pPr>
        <w:spacing w:line="360" w:lineRule="auto"/>
        <w:jc w:val="both"/>
        <w:rPr>
          <w:szCs w:val="21"/>
          <w:shd w:val="clear" w:color="auto" w:fill="FFFFFF"/>
        </w:rPr>
      </w:pPr>
      <w:r w:rsidRPr="0042713F">
        <w:rPr>
          <w:szCs w:val="21"/>
          <w:shd w:val="clear" w:color="auto" w:fill="FFFFFF"/>
        </w:rPr>
        <w:t xml:space="preserve">Girding, F., Martin, T., and </w:t>
      </w:r>
      <w:proofErr w:type="spellStart"/>
      <w:r w:rsidRPr="0042713F">
        <w:rPr>
          <w:szCs w:val="21"/>
          <w:shd w:val="clear" w:color="auto" w:fill="FFFFFF"/>
        </w:rPr>
        <w:t>Nagler</w:t>
      </w:r>
      <w:proofErr w:type="spellEnd"/>
      <w:r w:rsidRPr="0042713F">
        <w:rPr>
          <w:szCs w:val="21"/>
          <w:shd w:val="clear" w:color="auto" w:fill="FFFFFF"/>
        </w:rPr>
        <w:t xml:space="preserve">, F. (2020) 'Financial distress in the hospitality </w:t>
      </w:r>
      <w:r>
        <w:rPr>
          <w:szCs w:val="21"/>
          <w:shd w:val="clear" w:color="auto" w:fill="FFFFFF"/>
        </w:rPr>
        <w:t xml:space="preserve">industry during </w:t>
      </w:r>
      <w:r w:rsidRPr="0042713F">
        <w:rPr>
          <w:szCs w:val="21"/>
          <w:shd w:val="clear" w:color="auto" w:fill="FFFFFF"/>
        </w:rPr>
        <w:t>the</w:t>
      </w:r>
      <w:r>
        <w:rPr>
          <w:szCs w:val="21"/>
          <w:shd w:val="clear" w:color="auto" w:fill="FFFFFF"/>
        </w:rPr>
        <w:t xml:space="preserve"> </w:t>
      </w:r>
      <w:r w:rsidRPr="0042713F">
        <w:rPr>
          <w:szCs w:val="21"/>
          <w:shd w:val="clear" w:color="auto" w:fill="FFFFFF"/>
        </w:rPr>
        <w:t>Covid19</w:t>
      </w:r>
      <w:r>
        <w:rPr>
          <w:szCs w:val="21"/>
          <w:shd w:val="clear" w:color="auto" w:fill="FFFFFF"/>
        </w:rPr>
        <w:t xml:space="preserve"> </w:t>
      </w:r>
      <w:r w:rsidRPr="0042713F">
        <w:rPr>
          <w:szCs w:val="21"/>
          <w:shd w:val="clear" w:color="auto" w:fill="FFFFFF"/>
        </w:rPr>
        <w:t>disaster', </w:t>
      </w:r>
      <w:proofErr w:type="spellStart"/>
      <w:r>
        <w:rPr>
          <w:iCs/>
          <w:szCs w:val="21"/>
          <w:shd w:val="clear" w:color="auto" w:fill="FFFFFF"/>
        </w:rPr>
        <w:t>Tourismmanagement</w:t>
      </w:r>
      <w:proofErr w:type="spellEnd"/>
      <w:r w:rsidRPr="0042713F">
        <w:rPr>
          <w:iCs/>
          <w:szCs w:val="21"/>
          <w:shd w:val="clear" w:color="auto" w:fill="FFFFFF"/>
        </w:rPr>
        <w:t>(1982), </w:t>
      </w:r>
      <w:r w:rsidRPr="0042713F">
        <w:rPr>
          <w:szCs w:val="21"/>
          <w:shd w:val="clear" w:color="auto" w:fill="FFFFFF"/>
        </w:rPr>
        <w:t>85,</w:t>
      </w:r>
      <w:r>
        <w:rPr>
          <w:szCs w:val="21"/>
          <w:shd w:val="clear" w:color="auto" w:fill="FFFFFF"/>
        </w:rPr>
        <w:t xml:space="preserve"> </w:t>
      </w:r>
      <w:r w:rsidRPr="0042713F">
        <w:rPr>
          <w:szCs w:val="21"/>
          <w:shd w:val="clear" w:color="auto" w:fill="FFFFFF"/>
        </w:rPr>
        <w:t>pp.104301.doi:10.1016/j.tourman.2021</w:t>
      </w:r>
    </w:p>
    <w:p w14:paraId="30A867DE" w14:textId="77777777" w:rsidR="00806352" w:rsidRDefault="00806352" w:rsidP="00E56ADA">
      <w:pPr>
        <w:spacing w:line="360" w:lineRule="auto"/>
        <w:jc w:val="both"/>
        <w:rPr>
          <w:szCs w:val="21"/>
          <w:shd w:val="clear" w:color="auto" w:fill="FFFFFF"/>
        </w:rPr>
      </w:pPr>
      <w:r w:rsidRPr="00C27EAF">
        <w:rPr>
          <w:szCs w:val="21"/>
          <w:shd w:val="clear" w:color="auto" w:fill="FFFFFF"/>
        </w:rPr>
        <w:t>Hade, E.J. (2019) </w:t>
      </w:r>
      <w:r w:rsidRPr="00C27EAF">
        <w:rPr>
          <w:iCs/>
          <w:szCs w:val="21"/>
          <w:shd w:val="clear" w:color="auto" w:fill="FFFFFF"/>
        </w:rPr>
        <w:t>Taxpayers carry the can for Brexit; BUDGET 2020; After prices rise, average workers will have less to spend now workers</w:t>
      </w:r>
      <w:r w:rsidRPr="00C27EAF">
        <w:rPr>
          <w:szCs w:val="21"/>
          <w:shd w:val="clear" w:color="auto" w:fill="FFFFFF"/>
        </w:rPr>
        <w:t> London (UK): Solo Syndication, pp. 12.</w:t>
      </w:r>
    </w:p>
    <w:p w14:paraId="47A5709C" w14:textId="77777777" w:rsidR="00806352" w:rsidRPr="004A2DF6" w:rsidRDefault="00806352" w:rsidP="00E56ADA">
      <w:pPr>
        <w:spacing w:line="360" w:lineRule="auto"/>
        <w:jc w:val="both"/>
        <w:rPr>
          <w:szCs w:val="21"/>
          <w:shd w:val="clear" w:color="auto" w:fill="FFFFFF"/>
        </w:rPr>
      </w:pPr>
      <w:r w:rsidRPr="004A2DF6">
        <w:rPr>
          <w:szCs w:val="21"/>
          <w:shd w:val="clear" w:color="auto" w:fill="FFFFFF"/>
        </w:rPr>
        <w:t>Henderson, B.D. (1985) 'Competitive Advantage: Creating and Sustaining Superior Performance, </w:t>
      </w:r>
      <w:r w:rsidRPr="004A2DF6">
        <w:rPr>
          <w:iCs/>
          <w:szCs w:val="21"/>
          <w:shd w:val="clear" w:color="auto" w:fill="FFFFFF"/>
        </w:rPr>
        <w:t>The Journal of business strategy, </w:t>
      </w:r>
      <w:r w:rsidRPr="004A2DF6">
        <w:rPr>
          <w:szCs w:val="21"/>
          <w:shd w:val="clear" w:color="auto" w:fill="FFFFFF"/>
        </w:rPr>
        <w:t>6(1), pp. 94.</w:t>
      </w:r>
    </w:p>
    <w:p w14:paraId="30DDFD05" w14:textId="77777777" w:rsidR="00806352" w:rsidRPr="007D796A" w:rsidRDefault="00806352" w:rsidP="0048137E">
      <w:pPr>
        <w:spacing w:line="360" w:lineRule="auto"/>
        <w:rPr>
          <w:rFonts w:cstheme="minorHAnsi"/>
          <w:szCs w:val="24"/>
        </w:rPr>
      </w:pPr>
      <w:r w:rsidRPr="007D796A">
        <w:rPr>
          <w:rFonts w:cstheme="minorHAnsi"/>
          <w:szCs w:val="24"/>
        </w:rPr>
        <w:t xml:space="preserve">Hilton (2022) </w:t>
      </w:r>
      <w:r w:rsidRPr="007D796A">
        <w:rPr>
          <w:rFonts w:cstheme="minorHAnsi"/>
          <w:i/>
          <w:iCs/>
          <w:szCs w:val="24"/>
        </w:rPr>
        <w:t xml:space="preserve">Explore our brands </w:t>
      </w:r>
      <w:r w:rsidRPr="007D796A">
        <w:rPr>
          <w:rFonts w:cstheme="minorHAnsi"/>
          <w:szCs w:val="24"/>
        </w:rPr>
        <w:t xml:space="preserve">[online] available at: </w:t>
      </w:r>
      <w:hyperlink r:id="rId12" w:history="1">
        <w:r w:rsidRPr="007D796A">
          <w:rPr>
            <w:rStyle w:val="Hyperlink"/>
            <w:rFonts w:cstheme="minorHAnsi"/>
            <w:color w:val="000000" w:themeColor="text1"/>
            <w:szCs w:val="24"/>
          </w:rPr>
          <w:t>https://www.hilton.com/en/p/brands/</w:t>
        </w:r>
      </w:hyperlink>
      <w:r w:rsidRPr="007D796A">
        <w:rPr>
          <w:rFonts w:cstheme="minorHAnsi"/>
          <w:szCs w:val="24"/>
        </w:rPr>
        <w:t xml:space="preserve"> [accessed on 9</w:t>
      </w:r>
      <w:r w:rsidRPr="007D796A">
        <w:rPr>
          <w:rFonts w:cstheme="minorHAnsi"/>
          <w:szCs w:val="24"/>
          <w:vertAlign w:val="superscript"/>
        </w:rPr>
        <w:t>th</w:t>
      </w:r>
      <w:r w:rsidRPr="007D796A">
        <w:rPr>
          <w:rFonts w:cstheme="minorHAnsi"/>
          <w:szCs w:val="24"/>
        </w:rPr>
        <w:t xml:space="preserve"> August 2022] </w:t>
      </w:r>
    </w:p>
    <w:p w14:paraId="4F407551" w14:textId="77777777" w:rsidR="00806352" w:rsidRDefault="00806352" w:rsidP="00E56ADA">
      <w:pPr>
        <w:spacing w:line="360" w:lineRule="auto"/>
        <w:jc w:val="both"/>
        <w:rPr>
          <w:szCs w:val="21"/>
          <w:shd w:val="clear" w:color="auto" w:fill="FFFFFF"/>
        </w:rPr>
      </w:pPr>
      <w:r>
        <w:rPr>
          <w:rFonts w:ascii="Roboto" w:hAnsi="Roboto"/>
          <w:i/>
          <w:iCs/>
          <w:color w:val="53565A"/>
          <w:sz w:val="21"/>
          <w:szCs w:val="21"/>
          <w:shd w:val="clear" w:color="auto" w:fill="FFFFFF"/>
        </w:rPr>
        <w:t xml:space="preserve"> </w:t>
      </w:r>
      <w:r w:rsidRPr="00A87910">
        <w:rPr>
          <w:iCs/>
          <w:szCs w:val="21"/>
          <w:shd w:val="clear" w:color="auto" w:fill="FFFFFF"/>
        </w:rPr>
        <w:t>Jackson H. ( 2009) Tax Service Inc. Earnings Conference Call - Fi</w:t>
      </w:r>
      <w:r>
        <w:rPr>
          <w:iCs/>
          <w:szCs w:val="21"/>
          <w:shd w:val="clear" w:color="auto" w:fill="FFFFFF"/>
        </w:rPr>
        <w:t>scal</w:t>
      </w:r>
      <w:r w:rsidRPr="00A87910">
        <w:rPr>
          <w:szCs w:val="21"/>
          <w:shd w:val="clear" w:color="auto" w:fill="FFFFFF"/>
        </w:rPr>
        <w:t> (2008) Linthicum: CQ Roll Call.</w:t>
      </w:r>
    </w:p>
    <w:p w14:paraId="76E18FB8" w14:textId="77777777" w:rsidR="00806352" w:rsidRPr="00806352" w:rsidRDefault="00806352" w:rsidP="00E56ADA">
      <w:pPr>
        <w:spacing w:line="360" w:lineRule="auto"/>
        <w:jc w:val="both"/>
        <w:rPr>
          <w:szCs w:val="21"/>
          <w:shd w:val="clear" w:color="auto" w:fill="FFFFFF"/>
        </w:rPr>
      </w:pPr>
      <w:r w:rsidRPr="00806352">
        <w:rPr>
          <w:szCs w:val="21"/>
          <w:shd w:val="clear" w:color="auto" w:fill="FFFFFF"/>
        </w:rPr>
        <w:t>Ohlson, J.A. (2005) 'On Accounting-Based Valuation Formulae', </w:t>
      </w:r>
      <w:r w:rsidRPr="00806352">
        <w:rPr>
          <w:iCs/>
          <w:szCs w:val="21"/>
          <w:shd w:val="clear" w:color="auto" w:fill="FFFFFF"/>
        </w:rPr>
        <w:t>Review of Accounting Studies, </w:t>
      </w:r>
      <w:r w:rsidRPr="00806352">
        <w:rPr>
          <w:szCs w:val="21"/>
          <w:shd w:val="clear" w:color="auto" w:fill="FFFFFF"/>
        </w:rPr>
        <w:t xml:space="preserve">10(2-3), pp. 323-347. </w:t>
      </w:r>
      <w:proofErr w:type="spellStart"/>
      <w:r w:rsidRPr="00806352">
        <w:rPr>
          <w:szCs w:val="21"/>
          <w:shd w:val="clear" w:color="auto" w:fill="FFFFFF"/>
        </w:rPr>
        <w:t>doi</w:t>
      </w:r>
      <w:proofErr w:type="spellEnd"/>
      <w:r w:rsidRPr="00806352">
        <w:rPr>
          <w:szCs w:val="21"/>
          <w:shd w:val="clear" w:color="auto" w:fill="FFFFFF"/>
        </w:rPr>
        <w:t>: 10.1007/s11142-005-1534-4</w:t>
      </w:r>
    </w:p>
    <w:p w14:paraId="46538A3E" w14:textId="77777777" w:rsidR="00806352" w:rsidRPr="007B1387" w:rsidRDefault="00806352" w:rsidP="00E56ADA">
      <w:pPr>
        <w:spacing w:line="360" w:lineRule="auto"/>
        <w:jc w:val="both"/>
        <w:rPr>
          <w:szCs w:val="21"/>
          <w:shd w:val="clear" w:color="auto" w:fill="FFFFFF"/>
        </w:rPr>
      </w:pPr>
      <w:r w:rsidRPr="00D40929">
        <w:rPr>
          <w:szCs w:val="21"/>
          <w:shd w:val="clear" w:color="auto" w:fill="FFFFFF"/>
        </w:rPr>
        <w:t>Phillips, M. (2008) '</w:t>
      </w:r>
      <w:proofErr w:type="spellStart"/>
      <w:r w:rsidRPr="00D40929">
        <w:rPr>
          <w:szCs w:val="21"/>
          <w:shd w:val="clear" w:color="auto" w:fill="FFFFFF"/>
        </w:rPr>
        <w:t>Propinvest</w:t>
      </w:r>
      <w:proofErr w:type="spellEnd"/>
      <w:r w:rsidRPr="00D40929">
        <w:rPr>
          <w:szCs w:val="21"/>
          <w:shd w:val="clear" w:color="auto" w:fill="FFFFFF"/>
        </w:rPr>
        <w:t xml:space="preserve"> portfolio fails interest cover ratio test', </w:t>
      </w:r>
      <w:r w:rsidRPr="00D40929">
        <w:rPr>
          <w:iCs/>
          <w:szCs w:val="21"/>
          <w:shd w:val="clear" w:color="auto" w:fill="FFFFFF"/>
        </w:rPr>
        <w:t>The Estates Gazette,</w:t>
      </w:r>
      <w:r w:rsidRPr="00D40929">
        <w:rPr>
          <w:szCs w:val="21"/>
          <w:shd w:val="clear" w:color="auto" w:fill="FFFFFF"/>
        </w:rPr>
        <w:t xml:space="preserve"> pp. 30</w:t>
      </w:r>
      <w:r>
        <w:rPr>
          <w:rFonts w:ascii="Roboto" w:hAnsi="Roboto"/>
          <w:color w:val="53565A"/>
          <w:sz w:val="21"/>
          <w:szCs w:val="21"/>
          <w:shd w:val="clear" w:color="auto" w:fill="FFFFFF"/>
        </w:rPr>
        <w:t>.</w:t>
      </w:r>
    </w:p>
    <w:p w14:paraId="0DEB44DE" w14:textId="77777777" w:rsidR="00806352" w:rsidRPr="008E77B0" w:rsidRDefault="00806352" w:rsidP="00E56ADA">
      <w:pPr>
        <w:spacing w:line="360" w:lineRule="auto"/>
        <w:jc w:val="both"/>
        <w:rPr>
          <w:szCs w:val="21"/>
          <w:shd w:val="clear" w:color="auto" w:fill="FFFFFF"/>
        </w:rPr>
      </w:pPr>
      <w:r w:rsidRPr="008E77B0">
        <w:rPr>
          <w:szCs w:val="21"/>
          <w:shd w:val="clear" w:color="auto" w:fill="FFFFFF"/>
        </w:rPr>
        <w:t>Porter. (1996) 'It's a small world of management accounting practices, </w:t>
      </w:r>
      <w:r w:rsidRPr="008E77B0">
        <w:rPr>
          <w:iCs/>
          <w:szCs w:val="21"/>
          <w:shd w:val="clear" w:color="auto" w:fill="FFFFFF"/>
        </w:rPr>
        <w:t>Journal of Management Accounting Research, </w:t>
      </w:r>
      <w:r w:rsidRPr="008E77B0">
        <w:rPr>
          <w:szCs w:val="21"/>
          <w:shd w:val="clear" w:color="auto" w:fill="FFFFFF"/>
        </w:rPr>
        <w:t>10, pp. 153-179</w:t>
      </w:r>
    </w:p>
    <w:p w14:paraId="15BDB20C" w14:textId="77777777" w:rsidR="00806352" w:rsidRDefault="00806352" w:rsidP="00E56ADA">
      <w:pPr>
        <w:spacing w:line="360" w:lineRule="auto"/>
        <w:jc w:val="both"/>
        <w:rPr>
          <w:rStyle w:val="fal6plv"/>
          <w:color w:val="0E101A"/>
          <w:szCs w:val="24"/>
          <w:shd w:val="clear" w:color="auto" w:fill="FFFFFF"/>
        </w:rPr>
      </w:pPr>
      <w:r w:rsidRPr="004A2DF6">
        <w:rPr>
          <w:rStyle w:val="fal6plv"/>
          <w:color w:val="0E101A"/>
          <w:szCs w:val="24"/>
          <w:shd w:val="clear" w:color="auto" w:fill="FFFFFF"/>
        </w:rPr>
        <w:lastRenderedPageBreak/>
        <w:t>Ramelli S; and Wagner A, F.  (2021). Impact of the COVID-19 pandemic: Evidence from the U.S. restaurant industry. </w:t>
      </w:r>
      <w:r w:rsidRPr="004A2DF6">
        <w:rPr>
          <w:rStyle w:val="fal6plv"/>
          <w:i/>
          <w:iCs/>
          <w:color w:val="0E101A"/>
          <w:szCs w:val="24"/>
          <w:shd w:val="clear" w:color="auto" w:fill="FFFFFF"/>
        </w:rPr>
        <w:t>International Journal of Hospitality Management</w:t>
      </w:r>
      <w:r w:rsidRPr="004A2DF6">
        <w:rPr>
          <w:rStyle w:val="fal6plv"/>
          <w:color w:val="0E101A"/>
          <w:szCs w:val="24"/>
          <w:shd w:val="clear" w:color="auto" w:fill="FFFFFF"/>
        </w:rPr>
        <w:t>, </w:t>
      </w:r>
      <w:r w:rsidRPr="004A2DF6">
        <w:rPr>
          <w:rStyle w:val="fal6plv"/>
          <w:i/>
          <w:iCs/>
          <w:color w:val="0E101A"/>
          <w:szCs w:val="24"/>
          <w:shd w:val="clear" w:color="auto" w:fill="FFFFFF"/>
        </w:rPr>
        <w:t>92</w:t>
      </w:r>
      <w:r w:rsidRPr="004A2DF6">
        <w:rPr>
          <w:rStyle w:val="fal6plv"/>
          <w:color w:val="0E101A"/>
          <w:szCs w:val="24"/>
          <w:shd w:val="clear" w:color="auto" w:fill="FFFFFF"/>
        </w:rPr>
        <w:t>, 102702. </w:t>
      </w:r>
      <w:hyperlink r:id="rId13" w:history="1">
        <w:r w:rsidRPr="0080370D">
          <w:rPr>
            <w:rStyle w:val="Hyperlink"/>
            <w:szCs w:val="24"/>
            <w:shd w:val="clear" w:color="auto" w:fill="FFFFFF"/>
          </w:rPr>
          <w:t>https://doi.org/10.1016/j.ijhm.2020.10270</w:t>
        </w:r>
      </w:hyperlink>
    </w:p>
    <w:p w14:paraId="29642F15" w14:textId="77777777" w:rsidR="00806352" w:rsidRDefault="00806352" w:rsidP="00E56ADA">
      <w:pPr>
        <w:spacing w:line="360" w:lineRule="auto"/>
        <w:jc w:val="both"/>
        <w:rPr>
          <w:szCs w:val="21"/>
          <w:shd w:val="clear" w:color="auto" w:fill="FFFFFF"/>
        </w:rPr>
      </w:pPr>
      <w:r w:rsidRPr="00B23132">
        <w:rPr>
          <w:szCs w:val="21"/>
          <w:shd w:val="clear" w:color="auto" w:fill="FFFFFF"/>
        </w:rPr>
        <w:t>Sainaghi, R., Baggio, R., Phillips, P. and Mauri, A.G. (2020) 'Hotel performance and research streams: a network cluster analysis', </w:t>
      </w:r>
      <w:r w:rsidRPr="00B23132">
        <w:rPr>
          <w:iCs/>
          <w:szCs w:val="21"/>
          <w:shd w:val="clear" w:color="auto" w:fill="FFFFFF"/>
        </w:rPr>
        <w:t>International journal of contemporary hospitality management, </w:t>
      </w:r>
      <w:r w:rsidRPr="00B23132">
        <w:rPr>
          <w:szCs w:val="21"/>
          <w:shd w:val="clear" w:color="auto" w:fill="FFFFFF"/>
        </w:rPr>
        <w:t xml:space="preserve">32(2), pp. 425-462. </w:t>
      </w:r>
      <w:proofErr w:type="spellStart"/>
      <w:r w:rsidRPr="00B23132">
        <w:rPr>
          <w:szCs w:val="21"/>
          <w:shd w:val="clear" w:color="auto" w:fill="FFFFFF"/>
        </w:rPr>
        <w:t>doi</w:t>
      </w:r>
      <w:proofErr w:type="spellEnd"/>
      <w:r w:rsidRPr="00B23132">
        <w:rPr>
          <w:szCs w:val="21"/>
          <w:shd w:val="clear" w:color="auto" w:fill="FFFFFF"/>
        </w:rPr>
        <w:t>: 10.1108/IJCHM-05-2017-0260.</w:t>
      </w:r>
    </w:p>
    <w:p w14:paraId="036EFF5E" w14:textId="77777777" w:rsidR="00806352" w:rsidRDefault="00806352" w:rsidP="00E56ADA">
      <w:pPr>
        <w:spacing w:line="360" w:lineRule="auto"/>
        <w:jc w:val="both"/>
        <w:rPr>
          <w:szCs w:val="24"/>
          <w:shd w:val="clear" w:color="auto" w:fill="FFFFFF"/>
        </w:rPr>
      </w:pPr>
      <w:r>
        <w:rPr>
          <w:szCs w:val="24"/>
          <w:shd w:val="clear" w:color="auto" w:fill="FFFFFF"/>
        </w:rPr>
        <w:t xml:space="preserve">Stephens R. (2022) </w:t>
      </w:r>
      <w:r w:rsidRPr="00FA7AE1">
        <w:rPr>
          <w:szCs w:val="24"/>
          <w:shd w:val="clear" w:color="auto" w:fill="FFFFFF"/>
        </w:rPr>
        <w:t xml:space="preserve">'This hotels group is well placed to capitalise on a global Covid-19 recovery: Questor Stock Picks Questor Inheritance Tax Portfolio InterContinental Hotels' sound financial position and long-term growth strategy offer investors an opportunity, writes Robert Stephens Questor The Disrupters', </w:t>
      </w:r>
      <w:r w:rsidRPr="00FA7AE1">
        <w:rPr>
          <w:iCs/>
          <w:szCs w:val="24"/>
          <w:shd w:val="clear" w:color="auto" w:fill="FFFFFF"/>
        </w:rPr>
        <w:t>The Daily Telegraph, </w:t>
      </w:r>
      <w:r w:rsidRPr="00FA7AE1">
        <w:rPr>
          <w:szCs w:val="24"/>
          <w:shd w:val="clear" w:color="auto" w:fill="FFFFFF"/>
        </w:rPr>
        <w:t>6</w:t>
      </w:r>
    </w:p>
    <w:p w14:paraId="5447583E" w14:textId="77777777" w:rsidR="00806352" w:rsidRDefault="00806352" w:rsidP="00E56ADA">
      <w:pPr>
        <w:spacing w:line="360" w:lineRule="auto"/>
        <w:jc w:val="both"/>
        <w:rPr>
          <w:szCs w:val="21"/>
          <w:shd w:val="clear" w:color="auto" w:fill="FFFFFF"/>
        </w:rPr>
      </w:pPr>
      <w:r>
        <w:rPr>
          <w:szCs w:val="21"/>
          <w:shd w:val="clear" w:color="auto" w:fill="FFFFFF"/>
        </w:rPr>
        <w:t xml:space="preserve">Weeden. (2017) Competitiveness and performance in the Portuguese hotel industry costa, Vania costa, Carlos. International Conference of tourism research. </w:t>
      </w:r>
    </w:p>
    <w:p w14:paraId="50112AF9" w14:textId="77777777" w:rsidR="00806352" w:rsidRDefault="00806352" w:rsidP="00E56ADA">
      <w:pPr>
        <w:spacing w:line="360" w:lineRule="auto"/>
        <w:jc w:val="both"/>
        <w:rPr>
          <w:rFonts w:ascii="Roboto" w:hAnsi="Roboto"/>
          <w:sz w:val="21"/>
          <w:szCs w:val="21"/>
          <w:shd w:val="clear" w:color="auto" w:fill="FFFFFF"/>
        </w:rPr>
      </w:pPr>
      <w:r w:rsidRPr="007D796A">
        <w:rPr>
          <w:rFonts w:ascii="Roboto" w:hAnsi="Roboto"/>
          <w:sz w:val="21"/>
          <w:szCs w:val="21"/>
          <w:shd w:val="clear" w:color="auto" w:fill="FFFFFF"/>
        </w:rPr>
        <w:t xml:space="preserve">Zhang, D. and </w:t>
      </w:r>
      <w:proofErr w:type="spellStart"/>
      <w:r w:rsidRPr="007D796A">
        <w:rPr>
          <w:rFonts w:ascii="Roboto" w:hAnsi="Roboto"/>
          <w:sz w:val="21"/>
          <w:szCs w:val="21"/>
          <w:shd w:val="clear" w:color="auto" w:fill="FFFFFF"/>
        </w:rPr>
        <w:t>Xie</w:t>
      </w:r>
      <w:proofErr w:type="spellEnd"/>
      <w:r w:rsidRPr="007D796A">
        <w:rPr>
          <w:rFonts w:ascii="Roboto" w:hAnsi="Roboto"/>
          <w:sz w:val="21"/>
          <w:szCs w:val="21"/>
          <w:shd w:val="clear" w:color="auto" w:fill="FFFFFF"/>
        </w:rPr>
        <w:t>, J. (2021) 'Influence of Tourism Seasonality and Financial Ratios on Hotels</w:t>
      </w:r>
      <w:r>
        <w:rPr>
          <w:rFonts w:ascii="Roboto" w:hAnsi="Roboto"/>
          <w:sz w:val="21"/>
          <w:szCs w:val="21"/>
          <w:shd w:val="clear" w:color="auto" w:fill="FFFFFF"/>
        </w:rPr>
        <w:t>'</w:t>
      </w:r>
      <w:r w:rsidRPr="007D796A">
        <w:rPr>
          <w:rFonts w:ascii="Roboto" w:hAnsi="Roboto"/>
          <w:sz w:val="21"/>
          <w:szCs w:val="21"/>
          <w:shd w:val="clear" w:color="auto" w:fill="FFFFFF"/>
        </w:rPr>
        <w:t xml:space="preserve"> Exit Risk', </w:t>
      </w:r>
      <w:r w:rsidRPr="007D796A">
        <w:rPr>
          <w:rFonts w:ascii="Roboto" w:hAnsi="Roboto"/>
          <w:i/>
          <w:iCs/>
          <w:sz w:val="21"/>
          <w:szCs w:val="21"/>
          <w:shd w:val="clear" w:color="auto" w:fill="FFFFFF"/>
        </w:rPr>
        <w:t>Journal of hospitality &amp; tourism research (Washington, D.C.),</w:t>
      </w:r>
      <w:r w:rsidRPr="007D796A">
        <w:rPr>
          <w:rFonts w:ascii="Roboto" w:hAnsi="Roboto"/>
          <w:sz w:val="21"/>
          <w:szCs w:val="21"/>
          <w:shd w:val="clear" w:color="auto" w:fill="FFFFFF"/>
        </w:rPr>
        <w:t xml:space="preserve"> pp. 109634802110160. </w:t>
      </w:r>
      <w:proofErr w:type="spellStart"/>
      <w:r w:rsidRPr="007D796A">
        <w:rPr>
          <w:rFonts w:ascii="Roboto" w:hAnsi="Roboto"/>
          <w:sz w:val="21"/>
          <w:szCs w:val="21"/>
          <w:shd w:val="clear" w:color="auto" w:fill="FFFFFF"/>
        </w:rPr>
        <w:t>doi</w:t>
      </w:r>
      <w:proofErr w:type="spellEnd"/>
      <w:r w:rsidRPr="007D796A">
        <w:rPr>
          <w:rFonts w:ascii="Roboto" w:hAnsi="Roboto"/>
          <w:sz w:val="21"/>
          <w:szCs w:val="21"/>
          <w:shd w:val="clear" w:color="auto" w:fill="FFFFFF"/>
        </w:rPr>
        <w:t>: 10.1177/10963480211016038.</w:t>
      </w:r>
    </w:p>
    <w:p w14:paraId="594DA604" w14:textId="77777777" w:rsidR="0031589F" w:rsidRPr="00A97155" w:rsidRDefault="0031589F" w:rsidP="00E56ADA">
      <w:pPr>
        <w:spacing w:line="360" w:lineRule="auto"/>
        <w:jc w:val="both"/>
        <w:rPr>
          <w:szCs w:val="21"/>
          <w:shd w:val="clear" w:color="auto" w:fill="FFFFFF"/>
        </w:rPr>
      </w:pPr>
    </w:p>
    <w:p w14:paraId="32852E5C" w14:textId="2AAE3029" w:rsidR="00CF6F72" w:rsidRDefault="00995C88" w:rsidP="00E56ADA">
      <w:pPr>
        <w:spacing w:line="360" w:lineRule="auto"/>
        <w:jc w:val="both"/>
        <w:rPr>
          <w:szCs w:val="21"/>
          <w:shd w:val="clear" w:color="auto" w:fill="FFFFFF"/>
        </w:rPr>
      </w:pPr>
      <w:r>
        <w:rPr>
          <w:szCs w:val="21"/>
          <w:shd w:val="clear" w:color="auto" w:fill="FFFFFF"/>
        </w:rPr>
        <w:t xml:space="preserve"> </w:t>
      </w:r>
      <w:r w:rsidR="007A08C0">
        <w:rPr>
          <w:szCs w:val="21"/>
          <w:shd w:val="clear" w:color="auto" w:fill="FFFFFF"/>
        </w:rPr>
        <w:t xml:space="preserve"> </w:t>
      </w:r>
    </w:p>
    <w:p w14:paraId="439CF825" w14:textId="77777777" w:rsidR="00A73A7E" w:rsidRPr="00A73A7E" w:rsidRDefault="00A73A7E" w:rsidP="00E56ADA">
      <w:pPr>
        <w:spacing w:line="360" w:lineRule="auto"/>
        <w:jc w:val="both"/>
        <w:rPr>
          <w:szCs w:val="21"/>
          <w:shd w:val="clear" w:color="auto" w:fill="FFFFFF"/>
        </w:rPr>
      </w:pPr>
    </w:p>
    <w:p w14:paraId="54DC95FA" w14:textId="77777777" w:rsidR="00257B50" w:rsidRPr="00C27EAF" w:rsidRDefault="00257B50" w:rsidP="00E56ADA">
      <w:pPr>
        <w:spacing w:line="360" w:lineRule="auto"/>
        <w:jc w:val="both"/>
        <w:rPr>
          <w:rFonts w:cstheme="minorHAnsi"/>
          <w:szCs w:val="24"/>
        </w:rPr>
      </w:pPr>
    </w:p>
    <w:p w14:paraId="0C47ADE8" w14:textId="77777777" w:rsidR="0024330E" w:rsidRPr="0048137E" w:rsidRDefault="0024330E" w:rsidP="0048137E">
      <w:pPr>
        <w:spacing w:line="360" w:lineRule="auto"/>
        <w:rPr>
          <w:rFonts w:cstheme="minorHAnsi"/>
          <w:szCs w:val="24"/>
        </w:rPr>
      </w:pPr>
    </w:p>
    <w:p w14:paraId="0B823138"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1CA6E5DF"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49CD5C26"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 </w:t>
      </w:r>
    </w:p>
    <w:p w14:paraId="75B6C246" w14:textId="77777777" w:rsidR="00C34810" w:rsidRDefault="00E43A4C" w:rsidP="00C34810">
      <w:pPr>
        <w:pStyle w:val="Heading1"/>
      </w:pPr>
      <w:r w:rsidRPr="0048137E">
        <w:t> </w:t>
      </w:r>
    </w:p>
    <w:p w14:paraId="062A9CA8" w14:textId="77777777" w:rsidR="00C34810" w:rsidRDefault="00C34810" w:rsidP="00270D3A">
      <w:pPr>
        <w:jc w:val="both"/>
        <w:rPr>
          <w:rFonts w:ascii="Times New Roman" w:eastAsia="Times New Roman" w:hAnsi="Times New Roman" w:cs="Times New Roman"/>
          <w:b/>
          <w:bCs/>
          <w:kern w:val="36"/>
          <w:sz w:val="48"/>
          <w:szCs w:val="48"/>
          <w:lang w:eastAsia="en-GB"/>
        </w:rPr>
      </w:pPr>
      <w:r>
        <w:br w:type="page"/>
      </w:r>
    </w:p>
    <w:p w14:paraId="66550A39" w14:textId="7F47F262" w:rsidR="00E43A4C" w:rsidRDefault="00C34810" w:rsidP="00C34810">
      <w:pPr>
        <w:pStyle w:val="Heading1"/>
      </w:pPr>
      <w:bookmarkStart w:id="6" w:name="_Toc114650442"/>
      <w:r>
        <w:lastRenderedPageBreak/>
        <w:t>Appendix</w:t>
      </w:r>
      <w:bookmarkEnd w:id="6"/>
      <w:r>
        <w:t xml:space="preserve"> </w:t>
      </w:r>
    </w:p>
    <w:p w14:paraId="31AA29F1" w14:textId="77777777" w:rsidR="00C34810" w:rsidRPr="0048137E" w:rsidRDefault="00C34810" w:rsidP="0048137E">
      <w:pPr>
        <w:spacing w:line="360" w:lineRule="auto"/>
        <w:rPr>
          <w:rFonts w:eastAsia="Times New Roman" w:cstheme="minorHAnsi"/>
          <w:szCs w:val="24"/>
          <w:lang w:eastAsia="en-GB"/>
        </w:rPr>
      </w:pPr>
    </w:p>
    <w:p w14:paraId="6776268A"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AB1634F" w14:textId="77777777" w:rsidR="00E43A4C" w:rsidRPr="0048137E" w:rsidRDefault="00E43A4C" w:rsidP="0048137E">
      <w:pPr>
        <w:spacing w:after="0" w:line="360" w:lineRule="auto"/>
        <w:rPr>
          <w:rFonts w:eastAsia="Times New Roman" w:cstheme="minorHAnsi"/>
          <w:szCs w:val="24"/>
          <w:lang w:eastAsia="en-GB"/>
        </w:rPr>
      </w:pPr>
      <w:r w:rsidRPr="0048137E">
        <w:rPr>
          <w:rFonts w:eastAsia="Times New Roman" w:cstheme="minorHAnsi"/>
          <w:szCs w:val="24"/>
          <w:bdr w:val="none" w:sz="0" w:space="0" w:color="auto" w:frame="1"/>
          <w:lang w:eastAsia="en-GB"/>
        </w:rPr>
        <w:t>  </w:t>
      </w:r>
      <w:r w:rsidRPr="0048137E">
        <w:rPr>
          <w:rFonts w:eastAsia="Times New Roman" w:cstheme="minorHAnsi"/>
          <w:szCs w:val="24"/>
          <w:lang w:eastAsia="en-GB"/>
        </w:rPr>
        <w:t> </w:t>
      </w:r>
    </w:p>
    <w:p w14:paraId="151F9331" w14:textId="77777777" w:rsidR="00C34810"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tbl>
      <w:tblPr>
        <w:tblW w:w="7281" w:type="dxa"/>
        <w:tblLook w:val="04A0" w:firstRow="1" w:lastRow="0" w:firstColumn="1" w:lastColumn="0" w:noHBand="0" w:noVBand="1"/>
      </w:tblPr>
      <w:tblGrid>
        <w:gridCol w:w="3061"/>
        <w:gridCol w:w="1309"/>
        <w:gridCol w:w="1309"/>
        <w:gridCol w:w="1188"/>
        <w:gridCol w:w="1129"/>
      </w:tblGrid>
      <w:tr w:rsidR="00C34810" w:rsidRPr="00C34810" w14:paraId="06A647A8" w14:textId="77777777" w:rsidTr="00C34810">
        <w:trPr>
          <w:trHeight w:val="300"/>
        </w:trPr>
        <w:tc>
          <w:tcPr>
            <w:tcW w:w="5261" w:type="dxa"/>
            <w:gridSpan w:val="3"/>
            <w:tcBorders>
              <w:top w:val="nil"/>
              <w:left w:val="nil"/>
              <w:bottom w:val="nil"/>
              <w:right w:val="nil"/>
            </w:tcBorders>
            <w:shd w:val="clear" w:color="auto" w:fill="auto"/>
            <w:noWrap/>
            <w:vAlign w:val="bottom"/>
            <w:hideMark/>
          </w:tcPr>
          <w:p w14:paraId="775E757F" w14:textId="77777777" w:rsidR="00C34810" w:rsidRPr="00C34810" w:rsidRDefault="00C34810" w:rsidP="00C34810">
            <w:pPr>
              <w:spacing w:after="0" w:line="240" w:lineRule="auto"/>
              <w:jc w:val="center"/>
              <w:rPr>
                <w:rFonts w:ascii="Calibri" w:eastAsia="Times New Roman" w:hAnsi="Calibri" w:cs="Calibri"/>
                <w:color w:val="000000"/>
                <w:lang w:eastAsia="en-GB"/>
              </w:rPr>
            </w:pPr>
            <w:r w:rsidRPr="00C34810">
              <w:rPr>
                <w:rFonts w:ascii="Calibri" w:eastAsia="Times New Roman" w:hAnsi="Calibri" w:cs="Calibri"/>
                <w:color w:val="000000"/>
                <w:lang w:eastAsia="en-GB"/>
              </w:rPr>
              <w:t>Income Statement 2019 &amp; 2020</w:t>
            </w:r>
          </w:p>
        </w:tc>
        <w:tc>
          <w:tcPr>
            <w:tcW w:w="1060" w:type="dxa"/>
            <w:tcBorders>
              <w:top w:val="nil"/>
              <w:left w:val="nil"/>
              <w:bottom w:val="nil"/>
              <w:right w:val="nil"/>
            </w:tcBorders>
            <w:shd w:val="clear" w:color="auto" w:fill="auto"/>
            <w:noWrap/>
            <w:vAlign w:val="bottom"/>
            <w:hideMark/>
          </w:tcPr>
          <w:p w14:paraId="7DCE79E6" w14:textId="77777777" w:rsidR="00C34810" w:rsidRPr="00C34810" w:rsidRDefault="00C34810" w:rsidP="00C34810">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5277AFE" w14:textId="77777777" w:rsidR="00C34810" w:rsidRPr="00C34810" w:rsidRDefault="00C34810" w:rsidP="00C34810">
            <w:pPr>
              <w:spacing w:after="0" w:line="240" w:lineRule="auto"/>
              <w:rPr>
                <w:rFonts w:ascii="Times New Roman" w:eastAsia="Times New Roman" w:hAnsi="Times New Roman" w:cs="Times New Roman"/>
                <w:sz w:val="20"/>
                <w:szCs w:val="20"/>
                <w:lang w:eastAsia="en-GB"/>
              </w:rPr>
            </w:pPr>
          </w:p>
        </w:tc>
      </w:tr>
      <w:tr w:rsidR="00C34810" w:rsidRPr="00C34810" w14:paraId="0CD951C6" w14:textId="77777777" w:rsidTr="00C34810">
        <w:trPr>
          <w:trHeight w:val="300"/>
        </w:trPr>
        <w:tc>
          <w:tcPr>
            <w:tcW w:w="3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17A25E" w14:textId="77777777" w:rsidR="00C34810" w:rsidRPr="00C34810" w:rsidRDefault="00C34810" w:rsidP="00C34810">
            <w:pPr>
              <w:spacing w:after="0" w:line="240" w:lineRule="auto"/>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 xml:space="preserve">Particulars </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09BCBBAE" w14:textId="77777777" w:rsidR="00C34810" w:rsidRPr="00C34810" w:rsidRDefault="00C34810" w:rsidP="00C34810">
            <w:pPr>
              <w:spacing w:after="0" w:line="240" w:lineRule="auto"/>
              <w:jc w:val="right"/>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2020</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2878B949" w14:textId="77777777" w:rsidR="00C34810" w:rsidRPr="00C34810" w:rsidRDefault="00C34810" w:rsidP="00C34810">
            <w:pPr>
              <w:spacing w:after="0" w:line="240" w:lineRule="auto"/>
              <w:jc w:val="right"/>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2019</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A68EC67" w14:textId="77777777" w:rsidR="00C34810" w:rsidRPr="00C34810" w:rsidRDefault="00C34810" w:rsidP="00C34810">
            <w:pPr>
              <w:spacing w:after="0" w:line="240" w:lineRule="auto"/>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Change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641FED0" w14:textId="77777777" w:rsidR="00C34810" w:rsidRPr="00C34810" w:rsidRDefault="00C34810" w:rsidP="00C34810">
            <w:pPr>
              <w:spacing w:after="0" w:line="240" w:lineRule="auto"/>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%Change</w:t>
            </w:r>
          </w:p>
        </w:tc>
      </w:tr>
      <w:tr w:rsidR="00C34810" w:rsidRPr="00C34810" w14:paraId="18B5E270"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0822D51A"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Sales</w:t>
            </w:r>
          </w:p>
        </w:tc>
        <w:tc>
          <w:tcPr>
            <w:tcW w:w="1100" w:type="dxa"/>
            <w:tcBorders>
              <w:top w:val="nil"/>
              <w:left w:val="nil"/>
              <w:bottom w:val="single" w:sz="4" w:space="0" w:color="auto"/>
              <w:right w:val="single" w:sz="4" w:space="0" w:color="auto"/>
            </w:tcBorders>
            <w:shd w:val="clear" w:color="auto" w:fill="auto"/>
            <w:noWrap/>
            <w:vAlign w:val="bottom"/>
            <w:hideMark/>
          </w:tcPr>
          <w:p w14:paraId="3B55F474"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4,307,000</w:t>
            </w:r>
          </w:p>
        </w:tc>
        <w:tc>
          <w:tcPr>
            <w:tcW w:w="1100" w:type="dxa"/>
            <w:tcBorders>
              <w:top w:val="nil"/>
              <w:left w:val="nil"/>
              <w:bottom w:val="single" w:sz="4" w:space="0" w:color="auto"/>
              <w:right w:val="single" w:sz="4" w:space="0" w:color="auto"/>
            </w:tcBorders>
            <w:shd w:val="clear" w:color="auto" w:fill="auto"/>
            <w:noWrap/>
            <w:vAlign w:val="bottom"/>
            <w:hideMark/>
          </w:tcPr>
          <w:p w14:paraId="6B8FCDD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9,452,000</w:t>
            </w:r>
          </w:p>
        </w:tc>
        <w:tc>
          <w:tcPr>
            <w:tcW w:w="1060" w:type="dxa"/>
            <w:tcBorders>
              <w:top w:val="nil"/>
              <w:left w:val="nil"/>
              <w:bottom w:val="single" w:sz="4" w:space="0" w:color="auto"/>
              <w:right w:val="single" w:sz="4" w:space="0" w:color="auto"/>
            </w:tcBorders>
            <w:shd w:val="clear" w:color="auto" w:fill="auto"/>
            <w:noWrap/>
            <w:vAlign w:val="bottom"/>
            <w:hideMark/>
          </w:tcPr>
          <w:p w14:paraId="06D8D12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-5,145,000</w:t>
            </w:r>
          </w:p>
        </w:tc>
        <w:tc>
          <w:tcPr>
            <w:tcW w:w="960" w:type="dxa"/>
            <w:tcBorders>
              <w:top w:val="nil"/>
              <w:left w:val="nil"/>
              <w:bottom w:val="single" w:sz="4" w:space="0" w:color="auto"/>
              <w:right w:val="single" w:sz="4" w:space="0" w:color="auto"/>
            </w:tcBorders>
            <w:shd w:val="clear" w:color="auto" w:fill="auto"/>
            <w:noWrap/>
            <w:vAlign w:val="bottom"/>
            <w:hideMark/>
          </w:tcPr>
          <w:p w14:paraId="46DC9E6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-54.43%</w:t>
            </w:r>
          </w:p>
        </w:tc>
      </w:tr>
      <w:tr w:rsidR="00C34810" w:rsidRPr="00C34810" w14:paraId="399D6F30"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14BC9052"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Cost of goods sold</w:t>
            </w:r>
          </w:p>
        </w:tc>
        <w:tc>
          <w:tcPr>
            <w:tcW w:w="1100" w:type="dxa"/>
            <w:tcBorders>
              <w:top w:val="nil"/>
              <w:left w:val="nil"/>
              <w:bottom w:val="single" w:sz="4" w:space="0" w:color="auto"/>
              <w:right w:val="single" w:sz="4" w:space="0" w:color="auto"/>
            </w:tcBorders>
            <w:shd w:val="clear" w:color="auto" w:fill="auto"/>
            <w:noWrap/>
            <w:vAlign w:val="bottom"/>
            <w:hideMark/>
          </w:tcPr>
          <w:p w14:paraId="20F9650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3,724,000</w:t>
            </w:r>
          </w:p>
        </w:tc>
        <w:tc>
          <w:tcPr>
            <w:tcW w:w="1100" w:type="dxa"/>
            <w:tcBorders>
              <w:top w:val="nil"/>
              <w:left w:val="nil"/>
              <w:bottom w:val="single" w:sz="4" w:space="0" w:color="auto"/>
              <w:right w:val="single" w:sz="4" w:space="0" w:color="auto"/>
            </w:tcBorders>
            <w:shd w:val="clear" w:color="auto" w:fill="auto"/>
            <w:noWrap/>
            <w:vAlign w:val="bottom"/>
            <w:hideMark/>
          </w:tcPr>
          <w:p w14:paraId="1AA53262"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7,017,000</w:t>
            </w:r>
          </w:p>
        </w:tc>
        <w:tc>
          <w:tcPr>
            <w:tcW w:w="1060" w:type="dxa"/>
            <w:tcBorders>
              <w:top w:val="nil"/>
              <w:left w:val="nil"/>
              <w:bottom w:val="single" w:sz="4" w:space="0" w:color="auto"/>
              <w:right w:val="single" w:sz="4" w:space="0" w:color="auto"/>
            </w:tcBorders>
            <w:shd w:val="clear" w:color="auto" w:fill="auto"/>
            <w:noWrap/>
            <w:vAlign w:val="bottom"/>
            <w:hideMark/>
          </w:tcPr>
          <w:p w14:paraId="4E8A8A9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-3,293,000</w:t>
            </w:r>
          </w:p>
        </w:tc>
        <w:tc>
          <w:tcPr>
            <w:tcW w:w="960" w:type="dxa"/>
            <w:tcBorders>
              <w:top w:val="nil"/>
              <w:left w:val="nil"/>
              <w:bottom w:val="single" w:sz="4" w:space="0" w:color="auto"/>
              <w:right w:val="single" w:sz="4" w:space="0" w:color="auto"/>
            </w:tcBorders>
            <w:shd w:val="clear" w:color="auto" w:fill="auto"/>
            <w:noWrap/>
            <w:vAlign w:val="bottom"/>
            <w:hideMark/>
          </w:tcPr>
          <w:p w14:paraId="33F42E3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-46.93%</w:t>
            </w:r>
          </w:p>
        </w:tc>
      </w:tr>
      <w:tr w:rsidR="00C34810" w:rsidRPr="00C34810" w14:paraId="0E30BEAD"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67BF464C"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Gross Profit</w:t>
            </w:r>
          </w:p>
        </w:tc>
        <w:tc>
          <w:tcPr>
            <w:tcW w:w="1100" w:type="dxa"/>
            <w:tcBorders>
              <w:top w:val="nil"/>
              <w:left w:val="nil"/>
              <w:bottom w:val="single" w:sz="4" w:space="0" w:color="auto"/>
              <w:right w:val="single" w:sz="4" w:space="0" w:color="auto"/>
            </w:tcBorders>
            <w:shd w:val="clear" w:color="auto" w:fill="auto"/>
            <w:noWrap/>
            <w:vAlign w:val="bottom"/>
            <w:hideMark/>
          </w:tcPr>
          <w:p w14:paraId="2FF8C4DA"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583,000</w:t>
            </w:r>
          </w:p>
        </w:tc>
        <w:tc>
          <w:tcPr>
            <w:tcW w:w="1100" w:type="dxa"/>
            <w:tcBorders>
              <w:top w:val="nil"/>
              <w:left w:val="nil"/>
              <w:bottom w:val="single" w:sz="4" w:space="0" w:color="auto"/>
              <w:right w:val="single" w:sz="4" w:space="0" w:color="auto"/>
            </w:tcBorders>
            <w:shd w:val="clear" w:color="auto" w:fill="auto"/>
            <w:noWrap/>
            <w:vAlign w:val="bottom"/>
            <w:hideMark/>
          </w:tcPr>
          <w:p w14:paraId="75A4A09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2,435,000</w:t>
            </w:r>
          </w:p>
        </w:tc>
        <w:tc>
          <w:tcPr>
            <w:tcW w:w="1060" w:type="dxa"/>
            <w:tcBorders>
              <w:top w:val="nil"/>
              <w:left w:val="nil"/>
              <w:bottom w:val="single" w:sz="4" w:space="0" w:color="auto"/>
              <w:right w:val="single" w:sz="4" w:space="0" w:color="auto"/>
            </w:tcBorders>
            <w:shd w:val="clear" w:color="auto" w:fill="auto"/>
            <w:noWrap/>
            <w:vAlign w:val="bottom"/>
            <w:hideMark/>
          </w:tcPr>
          <w:p w14:paraId="47B24A1A"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-1,852,000</w:t>
            </w:r>
          </w:p>
        </w:tc>
        <w:tc>
          <w:tcPr>
            <w:tcW w:w="960" w:type="dxa"/>
            <w:tcBorders>
              <w:top w:val="nil"/>
              <w:left w:val="nil"/>
              <w:bottom w:val="single" w:sz="4" w:space="0" w:color="auto"/>
              <w:right w:val="single" w:sz="4" w:space="0" w:color="auto"/>
            </w:tcBorders>
            <w:shd w:val="clear" w:color="auto" w:fill="auto"/>
            <w:noWrap/>
            <w:vAlign w:val="bottom"/>
            <w:hideMark/>
          </w:tcPr>
          <w:p w14:paraId="1DD1A196"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-76.06%</w:t>
            </w:r>
          </w:p>
        </w:tc>
      </w:tr>
      <w:tr w:rsidR="00C34810" w:rsidRPr="00C34810" w14:paraId="7EA6A315"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7F0FBBC0"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Operating Expenses</w:t>
            </w:r>
          </w:p>
        </w:tc>
        <w:tc>
          <w:tcPr>
            <w:tcW w:w="1100" w:type="dxa"/>
            <w:tcBorders>
              <w:top w:val="nil"/>
              <w:left w:val="nil"/>
              <w:bottom w:val="single" w:sz="4" w:space="0" w:color="auto"/>
              <w:right w:val="single" w:sz="4" w:space="0" w:color="auto"/>
            </w:tcBorders>
            <w:shd w:val="clear" w:color="auto" w:fill="auto"/>
            <w:noWrap/>
            <w:vAlign w:val="bottom"/>
            <w:hideMark/>
          </w:tcPr>
          <w:p w14:paraId="19A2AAD7"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702,000</w:t>
            </w:r>
          </w:p>
        </w:tc>
        <w:tc>
          <w:tcPr>
            <w:tcW w:w="1100" w:type="dxa"/>
            <w:tcBorders>
              <w:top w:val="nil"/>
              <w:left w:val="nil"/>
              <w:bottom w:val="single" w:sz="4" w:space="0" w:color="auto"/>
              <w:right w:val="single" w:sz="4" w:space="0" w:color="auto"/>
            </w:tcBorders>
            <w:shd w:val="clear" w:color="auto" w:fill="auto"/>
            <w:noWrap/>
            <w:vAlign w:val="bottom"/>
            <w:hideMark/>
          </w:tcPr>
          <w:p w14:paraId="1080B7C6"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859,000</w:t>
            </w:r>
          </w:p>
        </w:tc>
        <w:tc>
          <w:tcPr>
            <w:tcW w:w="1060" w:type="dxa"/>
            <w:tcBorders>
              <w:top w:val="nil"/>
              <w:left w:val="nil"/>
              <w:bottom w:val="single" w:sz="4" w:space="0" w:color="auto"/>
              <w:right w:val="single" w:sz="4" w:space="0" w:color="auto"/>
            </w:tcBorders>
            <w:shd w:val="clear" w:color="auto" w:fill="auto"/>
            <w:noWrap/>
            <w:vAlign w:val="bottom"/>
            <w:hideMark/>
          </w:tcPr>
          <w:p w14:paraId="3516ED37"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-157,000</w:t>
            </w:r>
          </w:p>
        </w:tc>
        <w:tc>
          <w:tcPr>
            <w:tcW w:w="960" w:type="dxa"/>
            <w:tcBorders>
              <w:top w:val="nil"/>
              <w:left w:val="nil"/>
              <w:bottom w:val="single" w:sz="4" w:space="0" w:color="auto"/>
              <w:right w:val="single" w:sz="4" w:space="0" w:color="auto"/>
            </w:tcBorders>
            <w:shd w:val="clear" w:color="auto" w:fill="auto"/>
            <w:noWrap/>
            <w:vAlign w:val="bottom"/>
            <w:hideMark/>
          </w:tcPr>
          <w:p w14:paraId="4B9718FE"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-18.28%</w:t>
            </w:r>
          </w:p>
        </w:tc>
      </w:tr>
      <w:tr w:rsidR="00C34810" w:rsidRPr="00C34810" w14:paraId="09900675"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59CB6286"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Operating Income</w:t>
            </w:r>
          </w:p>
        </w:tc>
        <w:tc>
          <w:tcPr>
            <w:tcW w:w="1100" w:type="dxa"/>
            <w:tcBorders>
              <w:top w:val="nil"/>
              <w:left w:val="nil"/>
              <w:bottom w:val="single" w:sz="4" w:space="0" w:color="auto"/>
              <w:right w:val="single" w:sz="4" w:space="0" w:color="auto"/>
            </w:tcBorders>
            <w:shd w:val="clear" w:color="auto" w:fill="auto"/>
            <w:noWrap/>
            <w:vAlign w:val="bottom"/>
            <w:hideMark/>
          </w:tcPr>
          <w:p w14:paraId="6A8F9F4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-119,000</w:t>
            </w:r>
          </w:p>
        </w:tc>
        <w:tc>
          <w:tcPr>
            <w:tcW w:w="1100" w:type="dxa"/>
            <w:tcBorders>
              <w:top w:val="nil"/>
              <w:left w:val="nil"/>
              <w:bottom w:val="single" w:sz="4" w:space="0" w:color="auto"/>
              <w:right w:val="single" w:sz="4" w:space="0" w:color="auto"/>
            </w:tcBorders>
            <w:shd w:val="clear" w:color="auto" w:fill="auto"/>
            <w:noWrap/>
            <w:vAlign w:val="bottom"/>
            <w:hideMark/>
          </w:tcPr>
          <w:p w14:paraId="22DF00AD"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1,576,000</w:t>
            </w:r>
          </w:p>
        </w:tc>
        <w:tc>
          <w:tcPr>
            <w:tcW w:w="1060" w:type="dxa"/>
            <w:tcBorders>
              <w:top w:val="nil"/>
              <w:left w:val="nil"/>
              <w:bottom w:val="single" w:sz="4" w:space="0" w:color="auto"/>
              <w:right w:val="single" w:sz="4" w:space="0" w:color="auto"/>
            </w:tcBorders>
            <w:shd w:val="clear" w:color="auto" w:fill="auto"/>
            <w:noWrap/>
            <w:vAlign w:val="bottom"/>
            <w:hideMark/>
          </w:tcPr>
          <w:p w14:paraId="6029AD0F"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-1,695,000</w:t>
            </w:r>
          </w:p>
        </w:tc>
        <w:tc>
          <w:tcPr>
            <w:tcW w:w="960" w:type="dxa"/>
            <w:tcBorders>
              <w:top w:val="nil"/>
              <w:left w:val="nil"/>
              <w:bottom w:val="single" w:sz="4" w:space="0" w:color="auto"/>
              <w:right w:val="single" w:sz="4" w:space="0" w:color="auto"/>
            </w:tcBorders>
            <w:shd w:val="clear" w:color="auto" w:fill="auto"/>
            <w:noWrap/>
            <w:vAlign w:val="bottom"/>
            <w:hideMark/>
          </w:tcPr>
          <w:p w14:paraId="39E10BD7"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-107.55%</w:t>
            </w:r>
          </w:p>
        </w:tc>
      </w:tr>
      <w:tr w:rsidR="00C34810" w:rsidRPr="00C34810" w14:paraId="02568A76"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755477B0"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Interest Expense</w:t>
            </w:r>
          </w:p>
        </w:tc>
        <w:tc>
          <w:tcPr>
            <w:tcW w:w="1100" w:type="dxa"/>
            <w:tcBorders>
              <w:top w:val="nil"/>
              <w:left w:val="nil"/>
              <w:bottom w:val="single" w:sz="4" w:space="0" w:color="auto"/>
              <w:right w:val="single" w:sz="4" w:space="0" w:color="auto"/>
            </w:tcBorders>
            <w:shd w:val="clear" w:color="auto" w:fill="auto"/>
            <w:noWrap/>
            <w:vAlign w:val="bottom"/>
            <w:hideMark/>
          </w:tcPr>
          <w:p w14:paraId="44809C30"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429,000</w:t>
            </w:r>
          </w:p>
        </w:tc>
        <w:tc>
          <w:tcPr>
            <w:tcW w:w="1100" w:type="dxa"/>
            <w:tcBorders>
              <w:top w:val="nil"/>
              <w:left w:val="nil"/>
              <w:bottom w:val="single" w:sz="4" w:space="0" w:color="auto"/>
              <w:right w:val="single" w:sz="4" w:space="0" w:color="auto"/>
            </w:tcBorders>
            <w:shd w:val="clear" w:color="auto" w:fill="auto"/>
            <w:noWrap/>
            <w:vAlign w:val="bottom"/>
            <w:hideMark/>
          </w:tcPr>
          <w:p w14:paraId="14F4C404"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414,000</w:t>
            </w:r>
          </w:p>
        </w:tc>
        <w:tc>
          <w:tcPr>
            <w:tcW w:w="1060" w:type="dxa"/>
            <w:tcBorders>
              <w:top w:val="nil"/>
              <w:left w:val="nil"/>
              <w:bottom w:val="single" w:sz="4" w:space="0" w:color="auto"/>
              <w:right w:val="single" w:sz="4" w:space="0" w:color="auto"/>
            </w:tcBorders>
            <w:shd w:val="clear" w:color="auto" w:fill="auto"/>
            <w:noWrap/>
            <w:vAlign w:val="bottom"/>
            <w:hideMark/>
          </w:tcPr>
          <w:p w14:paraId="0D109A7C"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15,000</w:t>
            </w:r>
          </w:p>
        </w:tc>
        <w:tc>
          <w:tcPr>
            <w:tcW w:w="960" w:type="dxa"/>
            <w:tcBorders>
              <w:top w:val="nil"/>
              <w:left w:val="nil"/>
              <w:bottom w:val="single" w:sz="4" w:space="0" w:color="auto"/>
              <w:right w:val="single" w:sz="4" w:space="0" w:color="auto"/>
            </w:tcBorders>
            <w:shd w:val="clear" w:color="auto" w:fill="auto"/>
            <w:noWrap/>
            <w:vAlign w:val="bottom"/>
            <w:hideMark/>
          </w:tcPr>
          <w:p w14:paraId="5103300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3.62%</w:t>
            </w:r>
          </w:p>
        </w:tc>
      </w:tr>
      <w:tr w:rsidR="00C34810" w:rsidRPr="00C34810" w14:paraId="1F34F16A"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4D0A8564"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Total Other income</w:t>
            </w:r>
          </w:p>
        </w:tc>
        <w:tc>
          <w:tcPr>
            <w:tcW w:w="1100" w:type="dxa"/>
            <w:tcBorders>
              <w:top w:val="nil"/>
              <w:left w:val="nil"/>
              <w:bottom w:val="single" w:sz="4" w:space="0" w:color="auto"/>
              <w:right w:val="single" w:sz="4" w:space="0" w:color="auto"/>
            </w:tcBorders>
            <w:shd w:val="clear" w:color="auto" w:fill="auto"/>
            <w:noWrap/>
            <w:vAlign w:val="bottom"/>
            <w:hideMark/>
          </w:tcPr>
          <w:p w14:paraId="27AC33D6"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-376,000</w:t>
            </w:r>
          </w:p>
        </w:tc>
        <w:tc>
          <w:tcPr>
            <w:tcW w:w="1100" w:type="dxa"/>
            <w:tcBorders>
              <w:top w:val="nil"/>
              <w:left w:val="nil"/>
              <w:bottom w:val="single" w:sz="4" w:space="0" w:color="auto"/>
              <w:right w:val="single" w:sz="4" w:space="0" w:color="auto"/>
            </w:tcBorders>
            <w:shd w:val="clear" w:color="auto" w:fill="auto"/>
            <w:noWrap/>
            <w:vAlign w:val="bottom"/>
            <w:hideMark/>
          </w:tcPr>
          <w:p w14:paraId="144D4F71"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82,000</w:t>
            </w:r>
          </w:p>
        </w:tc>
        <w:tc>
          <w:tcPr>
            <w:tcW w:w="1060" w:type="dxa"/>
            <w:tcBorders>
              <w:top w:val="nil"/>
              <w:left w:val="nil"/>
              <w:bottom w:val="single" w:sz="4" w:space="0" w:color="auto"/>
              <w:right w:val="single" w:sz="4" w:space="0" w:color="auto"/>
            </w:tcBorders>
            <w:shd w:val="clear" w:color="auto" w:fill="auto"/>
            <w:noWrap/>
            <w:vAlign w:val="bottom"/>
            <w:hideMark/>
          </w:tcPr>
          <w:p w14:paraId="74ED6C74"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-458,000</w:t>
            </w:r>
          </w:p>
        </w:tc>
        <w:tc>
          <w:tcPr>
            <w:tcW w:w="960" w:type="dxa"/>
            <w:tcBorders>
              <w:top w:val="nil"/>
              <w:left w:val="nil"/>
              <w:bottom w:val="single" w:sz="4" w:space="0" w:color="auto"/>
              <w:right w:val="single" w:sz="4" w:space="0" w:color="auto"/>
            </w:tcBorders>
            <w:shd w:val="clear" w:color="auto" w:fill="auto"/>
            <w:noWrap/>
            <w:vAlign w:val="bottom"/>
            <w:hideMark/>
          </w:tcPr>
          <w:p w14:paraId="53668624"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-558.54%</w:t>
            </w:r>
          </w:p>
        </w:tc>
      </w:tr>
      <w:tr w:rsidR="00C34810" w:rsidRPr="00C34810" w14:paraId="6B712476" w14:textId="77777777" w:rsidTr="00C34810">
        <w:trPr>
          <w:trHeight w:val="300"/>
        </w:trPr>
        <w:tc>
          <w:tcPr>
            <w:tcW w:w="3061" w:type="dxa"/>
            <w:tcBorders>
              <w:top w:val="nil"/>
              <w:left w:val="single" w:sz="4" w:space="0" w:color="auto"/>
              <w:bottom w:val="nil"/>
              <w:right w:val="single" w:sz="4" w:space="0" w:color="auto"/>
            </w:tcBorders>
            <w:shd w:val="clear" w:color="auto" w:fill="auto"/>
            <w:noWrap/>
            <w:vAlign w:val="bottom"/>
            <w:hideMark/>
          </w:tcPr>
          <w:p w14:paraId="4D1E3D48"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Income Before Taxes</w:t>
            </w:r>
          </w:p>
        </w:tc>
        <w:tc>
          <w:tcPr>
            <w:tcW w:w="1100" w:type="dxa"/>
            <w:tcBorders>
              <w:top w:val="nil"/>
              <w:left w:val="nil"/>
              <w:bottom w:val="single" w:sz="4" w:space="0" w:color="auto"/>
              <w:right w:val="single" w:sz="4" w:space="0" w:color="auto"/>
            </w:tcBorders>
            <w:shd w:val="clear" w:color="auto" w:fill="auto"/>
            <w:noWrap/>
            <w:vAlign w:val="bottom"/>
            <w:hideMark/>
          </w:tcPr>
          <w:p w14:paraId="1C21E1D4"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-924,000</w:t>
            </w:r>
          </w:p>
        </w:tc>
        <w:tc>
          <w:tcPr>
            <w:tcW w:w="1100" w:type="dxa"/>
            <w:tcBorders>
              <w:top w:val="nil"/>
              <w:left w:val="nil"/>
              <w:bottom w:val="single" w:sz="4" w:space="0" w:color="auto"/>
              <w:right w:val="single" w:sz="4" w:space="0" w:color="auto"/>
            </w:tcBorders>
            <w:shd w:val="clear" w:color="auto" w:fill="auto"/>
            <w:noWrap/>
            <w:vAlign w:val="bottom"/>
            <w:hideMark/>
          </w:tcPr>
          <w:p w14:paraId="5AE1405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1,244,000</w:t>
            </w:r>
          </w:p>
        </w:tc>
        <w:tc>
          <w:tcPr>
            <w:tcW w:w="1060" w:type="dxa"/>
            <w:tcBorders>
              <w:top w:val="nil"/>
              <w:left w:val="nil"/>
              <w:bottom w:val="single" w:sz="4" w:space="0" w:color="auto"/>
              <w:right w:val="single" w:sz="4" w:space="0" w:color="auto"/>
            </w:tcBorders>
            <w:shd w:val="clear" w:color="auto" w:fill="auto"/>
            <w:noWrap/>
            <w:vAlign w:val="bottom"/>
            <w:hideMark/>
          </w:tcPr>
          <w:p w14:paraId="0E6EC1B2"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-2,168,000</w:t>
            </w:r>
          </w:p>
        </w:tc>
        <w:tc>
          <w:tcPr>
            <w:tcW w:w="960" w:type="dxa"/>
            <w:tcBorders>
              <w:top w:val="nil"/>
              <w:left w:val="nil"/>
              <w:bottom w:val="single" w:sz="4" w:space="0" w:color="auto"/>
              <w:right w:val="single" w:sz="4" w:space="0" w:color="auto"/>
            </w:tcBorders>
            <w:shd w:val="clear" w:color="auto" w:fill="auto"/>
            <w:noWrap/>
            <w:vAlign w:val="bottom"/>
            <w:hideMark/>
          </w:tcPr>
          <w:p w14:paraId="4A098CF3"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-174.28%</w:t>
            </w:r>
          </w:p>
        </w:tc>
      </w:tr>
      <w:tr w:rsidR="00C34810" w:rsidRPr="00C34810" w14:paraId="11932415" w14:textId="77777777" w:rsidTr="00C34810">
        <w:trPr>
          <w:trHeight w:val="300"/>
        </w:trPr>
        <w:tc>
          <w:tcPr>
            <w:tcW w:w="3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90A911"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Net income</w:t>
            </w:r>
          </w:p>
        </w:tc>
        <w:tc>
          <w:tcPr>
            <w:tcW w:w="1100" w:type="dxa"/>
            <w:tcBorders>
              <w:top w:val="nil"/>
              <w:left w:val="nil"/>
              <w:bottom w:val="single" w:sz="4" w:space="0" w:color="auto"/>
              <w:right w:val="single" w:sz="4" w:space="0" w:color="auto"/>
            </w:tcBorders>
            <w:shd w:val="clear" w:color="auto" w:fill="auto"/>
            <w:noWrap/>
            <w:vAlign w:val="bottom"/>
            <w:hideMark/>
          </w:tcPr>
          <w:p w14:paraId="3EB2E816"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-715,000</w:t>
            </w:r>
          </w:p>
        </w:tc>
        <w:tc>
          <w:tcPr>
            <w:tcW w:w="1100" w:type="dxa"/>
            <w:tcBorders>
              <w:top w:val="nil"/>
              <w:left w:val="nil"/>
              <w:bottom w:val="single" w:sz="4" w:space="0" w:color="auto"/>
              <w:right w:val="single" w:sz="4" w:space="0" w:color="auto"/>
            </w:tcBorders>
            <w:shd w:val="clear" w:color="auto" w:fill="auto"/>
            <w:noWrap/>
            <w:vAlign w:val="bottom"/>
            <w:hideMark/>
          </w:tcPr>
          <w:p w14:paraId="707E780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881,000</w:t>
            </w:r>
          </w:p>
        </w:tc>
        <w:tc>
          <w:tcPr>
            <w:tcW w:w="1060" w:type="dxa"/>
            <w:tcBorders>
              <w:top w:val="nil"/>
              <w:left w:val="nil"/>
              <w:bottom w:val="single" w:sz="4" w:space="0" w:color="auto"/>
              <w:right w:val="single" w:sz="4" w:space="0" w:color="auto"/>
            </w:tcBorders>
            <w:shd w:val="clear" w:color="auto" w:fill="auto"/>
            <w:noWrap/>
            <w:vAlign w:val="bottom"/>
            <w:hideMark/>
          </w:tcPr>
          <w:p w14:paraId="3ECF4476"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-1,596,000</w:t>
            </w:r>
          </w:p>
        </w:tc>
        <w:tc>
          <w:tcPr>
            <w:tcW w:w="960" w:type="dxa"/>
            <w:tcBorders>
              <w:top w:val="nil"/>
              <w:left w:val="nil"/>
              <w:bottom w:val="single" w:sz="4" w:space="0" w:color="auto"/>
              <w:right w:val="single" w:sz="4" w:space="0" w:color="auto"/>
            </w:tcBorders>
            <w:shd w:val="clear" w:color="auto" w:fill="auto"/>
            <w:noWrap/>
            <w:vAlign w:val="bottom"/>
            <w:hideMark/>
          </w:tcPr>
          <w:p w14:paraId="30824B6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-181.16%</w:t>
            </w:r>
          </w:p>
        </w:tc>
      </w:tr>
      <w:tr w:rsidR="00C34810" w:rsidRPr="00C34810" w14:paraId="54DB682E" w14:textId="77777777" w:rsidTr="00C34810">
        <w:trPr>
          <w:trHeight w:val="885"/>
        </w:trPr>
        <w:tc>
          <w:tcPr>
            <w:tcW w:w="3061" w:type="dxa"/>
            <w:tcBorders>
              <w:top w:val="nil"/>
              <w:left w:val="nil"/>
              <w:bottom w:val="nil"/>
              <w:right w:val="nil"/>
            </w:tcBorders>
            <w:shd w:val="clear" w:color="auto" w:fill="auto"/>
            <w:noWrap/>
            <w:vAlign w:val="bottom"/>
            <w:hideMark/>
          </w:tcPr>
          <w:p w14:paraId="54DBEA8E" w14:textId="77777777" w:rsidR="00C34810" w:rsidRPr="00C34810" w:rsidRDefault="00C34810" w:rsidP="00C34810">
            <w:pPr>
              <w:spacing w:after="0" w:line="240" w:lineRule="auto"/>
              <w:jc w:val="right"/>
              <w:rPr>
                <w:rFonts w:ascii="Calibri" w:eastAsia="Times New Roman" w:hAnsi="Calibri" w:cs="Calibri"/>
                <w:color w:val="000000"/>
                <w:lang w:eastAsia="en-GB"/>
              </w:rPr>
            </w:pPr>
          </w:p>
        </w:tc>
        <w:tc>
          <w:tcPr>
            <w:tcW w:w="1100" w:type="dxa"/>
            <w:tcBorders>
              <w:top w:val="nil"/>
              <w:left w:val="nil"/>
              <w:bottom w:val="nil"/>
              <w:right w:val="nil"/>
            </w:tcBorders>
            <w:shd w:val="clear" w:color="auto" w:fill="auto"/>
            <w:noWrap/>
            <w:vAlign w:val="bottom"/>
            <w:hideMark/>
          </w:tcPr>
          <w:p w14:paraId="13C23AE1" w14:textId="77777777" w:rsidR="00C34810" w:rsidRPr="00C34810" w:rsidRDefault="00C34810" w:rsidP="00C34810">
            <w:pPr>
              <w:spacing w:after="0" w:line="240" w:lineRule="auto"/>
              <w:rPr>
                <w:rFonts w:ascii="Times New Roman" w:eastAsia="Times New Roman" w:hAnsi="Times New Roman" w:cs="Times New Roman"/>
                <w:sz w:val="20"/>
                <w:szCs w:val="20"/>
                <w:lang w:eastAsia="en-GB"/>
              </w:rPr>
            </w:pPr>
          </w:p>
        </w:tc>
        <w:tc>
          <w:tcPr>
            <w:tcW w:w="1100" w:type="dxa"/>
            <w:tcBorders>
              <w:top w:val="nil"/>
              <w:left w:val="nil"/>
              <w:bottom w:val="nil"/>
              <w:right w:val="nil"/>
            </w:tcBorders>
            <w:shd w:val="clear" w:color="auto" w:fill="auto"/>
            <w:noWrap/>
            <w:vAlign w:val="bottom"/>
            <w:hideMark/>
          </w:tcPr>
          <w:p w14:paraId="1D5995CB" w14:textId="77777777" w:rsidR="00C34810" w:rsidRPr="00C34810" w:rsidRDefault="00C34810" w:rsidP="00C34810">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0D44E3D" w14:textId="77777777" w:rsidR="00C34810" w:rsidRPr="00C34810" w:rsidRDefault="00C34810" w:rsidP="00C34810">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CA2432" w14:textId="77777777" w:rsidR="00C34810" w:rsidRPr="00C34810" w:rsidRDefault="00C34810" w:rsidP="00C34810">
            <w:pPr>
              <w:spacing w:after="0" w:line="240" w:lineRule="auto"/>
              <w:rPr>
                <w:rFonts w:ascii="Times New Roman" w:eastAsia="Times New Roman" w:hAnsi="Times New Roman" w:cs="Times New Roman"/>
                <w:sz w:val="20"/>
                <w:szCs w:val="20"/>
                <w:lang w:eastAsia="en-GB"/>
              </w:rPr>
            </w:pPr>
          </w:p>
        </w:tc>
      </w:tr>
      <w:tr w:rsidR="00C34810" w:rsidRPr="00C34810" w14:paraId="7681090F" w14:textId="77777777" w:rsidTr="00C34810">
        <w:trPr>
          <w:trHeight w:val="300"/>
        </w:trPr>
        <w:tc>
          <w:tcPr>
            <w:tcW w:w="5261" w:type="dxa"/>
            <w:gridSpan w:val="3"/>
            <w:tcBorders>
              <w:top w:val="nil"/>
              <w:left w:val="nil"/>
              <w:bottom w:val="nil"/>
              <w:right w:val="nil"/>
            </w:tcBorders>
            <w:shd w:val="clear" w:color="auto" w:fill="auto"/>
            <w:noWrap/>
            <w:vAlign w:val="bottom"/>
            <w:hideMark/>
          </w:tcPr>
          <w:p w14:paraId="00389AA3" w14:textId="77777777" w:rsidR="00C34810" w:rsidRPr="00C34810" w:rsidRDefault="00C34810" w:rsidP="00C34810">
            <w:pPr>
              <w:spacing w:after="0" w:line="240" w:lineRule="auto"/>
              <w:jc w:val="center"/>
              <w:rPr>
                <w:rFonts w:ascii="Calibri" w:eastAsia="Times New Roman" w:hAnsi="Calibri" w:cs="Calibri"/>
                <w:color w:val="000000"/>
                <w:lang w:eastAsia="en-GB"/>
              </w:rPr>
            </w:pPr>
            <w:r w:rsidRPr="00C34810">
              <w:rPr>
                <w:rFonts w:ascii="Calibri" w:eastAsia="Times New Roman" w:hAnsi="Calibri" w:cs="Calibri"/>
                <w:color w:val="000000"/>
                <w:lang w:eastAsia="en-GB"/>
              </w:rPr>
              <w:t>Balance Sheet 2019 &amp; 2020</w:t>
            </w:r>
          </w:p>
        </w:tc>
        <w:tc>
          <w:tcPr>
            <w:tcW w:w="1060" w:type="dxa"/>
            <w:tcBorders>
              <w:top w:val="nil"/>
              <w:left w:val="nil"/>
              <w:bottom w:val="nil"/>
              <w:right w:val="nil"/>
            </w:tcBorders>
            <w:shd w:val="clear" w:color="auto" w:fill="auto"/>
            <w:noWrap/>
            <w:vAlign w:val="bottom"/>
            <w:hideMark/>
          </w:tcPr>
          <w:p w14:paraId="1690FE3D" w14:textId="77777777" w:rsidR="00C34810" w:rsidRPr="00C34810" w:rsidRDefault="00C34810" w:rsidP="00C34810">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3762547" w14:textId="77777777" w:rsidR="00C34810" w:rsidRPr="00C34810" w:rsidRDefault="00C34810" w:rsidP="00C34810">
            <w:pPr>
              <w:spacing w:after="0" w:line="240" w:lineRule="auto"/>
              <w:rPr>
                <w:rFonts w:ascii="Times New Roman" w:eastAsia="Times New Roman" w:hAnsi="Times New Roman" w:cs="Times New Roman"/>
                <w:sz w:val="20"/>
                <w:szCs w:val="20"/>
                <w:lang w:eastAsia="en-GB"/>
              </w:rPr>
            </w:pPr>
          </w:p>
        </w:tc>
      </w:tr>
      <w:tr w:rsidR="00C34810" w:rsidRPr="00C34810" w14:paraId="7D694D46" w14:textId="77777777" w:rsidTr="00C34810">
        <w:trPr>
          <w:trHeight w:val="300"/>
        </w:trPr>
        <w:tc>
          <w:tcPr>
            <w:tcW w:w="30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4588EC" w14:textId="77777777" w:rsidR="00C34810" w:rsidRPr="00C34810" w:rsidRDefault="00C34810" w:rsidP="00C34810">
            <w:pPr>
              <w:spacing w:after="0" w:line="240" w:lineRule="auto"/>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 xml:space="preserve">Particulars </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39A2A4F8" w14:textId="77777777" w:rsidR="00C34810" w:rsidRPr="00C34810" w:rsidRDefault="00C34810" w:rsidP="00C34810">
            <w:pPr>
              <w:spacing w:after="0" w:line="240" w:lineRule="auto"/>
              <w:jc w:val="right"/>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2020</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2F9F92C4" w14:textId="77777777" w:rsidR="00C34810" w:rsidRPr="00C34810" w:rsidRDefault="00C34810" w:rsidP="00C34810">
            <w:pPr>
              <w:spacing w:after="0" w:line="240" w:lineRule="auto"/>
              <w:jc w:val="right"/>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2019</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7CE266C" w14:textId="77777777" w:rsidR="00C34810" w:rsidRPr="00C34810" w:rsidRDefault="00C34810" w:rsidP="00C34810">
            <w:pPr>
              <w:spacing w:after="0" w:line="240" w:lineRule="auto"/>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Change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AA4C012" w14:textId="77777777" w:rsidR="00C34810" w:rsidRPr="00C34810" w:rsidRDefault="00C34810" w:rsidP="00C34810">
            <w:pPr>
              <w:spacing w:after="0" w:line="240" w:lineRule="auto"/>
              <w:rPr>
                <w:rFonts w:ascii="Calibri" w:eastAsia="Times New Roman" w:hAnsi="Calibri" w:cs="Calibri"/>
                <w:b/>
                <w:bCs/>
                <w:color w:val="000000"/>
                <w:lang w:eastAsia="en-GB"/>
              </w:rPr>
            </w:pPr>
            <w:r w:rsidRPr="00C34810">
              <w:rPr>
                <w:rFonts w:ascii="Calibri" w:eastAsia="Times New Roman" w:hAnsi="Calibri" w:cs="Calibri"/>
                <w:b/>
                <w:bCs/>
                <w:color w:val="000000"/>
                <w:lang w:eastAsia="en-GB"/>
              </w:rPr>
              <w:t>%Change</w:t>
            </w:r>
          </w:p>
        </w:tc>
      </w:tr>
      <w:tr w:rsidR="00C34810" w:rsidRPr="00C34810" w14:paraId="45C9FE4F"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4BC6755C"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Current Asset</w:t>
            </w:r>
          </w:p>
        </w:tc>
        <w:tc>
          <w:tcPr>
            <w:tcW w:w="1100" w:type="dxa"/>
            <w:tcBorders>
              <w:top w:val="nil"/>
              <w:left w:val="nil"/>
              <w:bottom w:val="single" w:sz="4" w:space="0" w:color="auto"/>
              <w:right w:val="single" w:sz="4" w:space="0" w:color="auto"/>
            </w:tcBorders>
            <w:shd w:val="clear" w:color="auto" w:fill="auto"/>
            <w:noWrap/>
            <w:vAlign w:val="bottom"/>
            <w:hideMark/>
          </w:tcPr>
          <w:p w14:paraId="179118E0"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4,202,000</w:t>
            </w:r>
          </w:p>
        </w:tc>
        <w:tc>
          <w:tcPr>
            <w:tcW w:w="1100" w:type="dxa"/>
            <w:tcBorders>
              <w:top w:val="nil"/>
              <w:left w:val="nil"/>
              <w:bottom w:val="single" w:sz="4" w:space="0" w:color="auto"/>
              <w:right w:val="single" w:sz="4" w:space="0" w:color="auto"/>
            </w:tcBorders>
            <w:shd w:val="clear" w:color="auto" w:fill="auto"/>
            <w:noWrap/>
            <w:vAlign w:val="bottom"/>
            <w:hideMark/>
          </w:tcPr>
          <w:p w14:paraId="347403AC"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2,093,000</w:t>
            </w:r>
          </w:p>
        </w:tc>
        <w:tc>
          <w:tcPr>
            <w:tcW w:w="1060" w:type="dxa"/>
            <w:tcBorders>
              <w:top w:val="nil"/>
              <w:left w:val="nil"/>
              <w:bottom w:val="single" w:sz="4" w:space="0" w:color="auto"/>
              <w:right w:val="single" w:sz="4" w:space="0" w:color="auto"/>
            </w:tcBorders>
            <w:shd w:val="clear" w:color="auto" w:fill="auto"/>
            <w:noWrap/>
            <w:vAlign w:val="bottom"/>
            <w:hideMark/>
          </w:tcPr>
          <w:p w14:paraId="61BD9D19"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2,109,000</w:t>
            </w:r>
          </w:p>
        </w:tc>
        <w:tc>
          <w:tcPr>
            <w:tcW w:w="960" w:type="dxa"/>
            <w:tcBorders>
              <w:top w:val="nil"/>
              <w:left w:val="nil"/>
              <w:bottom w:val="single" w:sz="4" w:space="0" w:color="auto"/>
              <w:right w:val="single" w:sz="4" w:space="0" w:color="auto"/>
            </w:tcBorders>
            <w:shd w:val="clear" w:color="auto" w:fill="auto"/>
            <w:noWrap/>
            <w:vAlign w:val="bottom"/>
            <w:hideMark/>
          </w:tcPr>
          <w:p w14:paraId="4240AA17"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100.76%</w:t>
            </w:r>
          </w:p>
        </w:tc>
      </w:tr>
      <w:tr w:rsidR="00C34810" w:rsidRPr="00C34810" w14:paraId="762E3AA8"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712E0140"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Non Current Asset</w:t>
            </w:r>
          </w:p>
        </w:tc>
        <w:tc>
          <w:tcPr>
            <w:tcW w:w="1100" w:type="dxa"/>
            <w:tcBorders>
              <w:top w:val="nil"/>
              <w:left w:val="nil"/>
              <w:bottom w:val="single" w:sz="4" w:space="0" w:color="auto"/>
              <w:right w:val="single" w:sz="4" w:space="0" w:color="auto"/>
            </w:tcBorders>
            <w:shd w:val="clear" w:color="auto" w:fill="auto"/>
            <w:noWrap/>
            <w:vAlign w:val="bottom"/>
            <w:hideMark/>
          </w:tcPr>
          <w:p w14:paraId="0CF2EB51"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15,810,000</w:t>
            </w:r>
          </w:p>
        </w:tc>
        <w:tc>
          <w:tcPr>
            <w:tcW w:w="1100" w:type="dxa"/>
            <w:tcBorders>
              <w:top w:val="nil"/>
              <w:left w:val="nil"/>
              <w:bottom w:val="single" w:sz="4" w:space="0" w:color="auto"/>
              <w:right w:val="single" w:sz="4" w:space="0" w:color="auto"/>
            </w:tcBorders>
            <w:shd w:val="clear" w:color="auto" w:fill="auto"/>
            <w:noWrap/>
            <w:vAlign w:val="bottom"/>
            <w:hideMark/>
          </w:tcPr>
          <w:p w14:paraId="5E3A27AA"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12,552,000</w:t>
            </w:r>
          </w:p>
        </w:tc>
        <w:tc>
          <w:tcPr>
            <w:tcW w:w="1060" w:type="dxa"/>
            <w:tcBorders>
              <w:top w:val="nil"/>
              <w:left w:val="nil"/>
              <w:bottom w:val="single" w:sz="4" w:space="0" w:color="auto"/>
              <w:right w:val="single" w:sz="4" w:space="0" w:color="auto"/>
            </w:tcBorders>
            <w:shd w:val="clear" w:color="auto" w:fill="auto"/>
            <w:noWrap/>
            <w:vAlign w:val="bottom"/>
            <w:hideMark/>
          </w:tcPr>
          <w:p w14:paraId="78108929"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3,258,000</w:t>
            </w:r>
          </w:p>
        </w:tc>
        <w:tc>
          <w:tcPr>
            <w:tcW w:w="960" w:type="dxa"/>
            <w:tcBorders>
              <w:top w:val="nil"/>
              <w:left w:val="nil"/>
              <w:bottom w:val="single" w:sz="4" w:space="0" w:color="auto"/>
              <w:right w:val="single" w:sz="4" w:space="0" w:color="auto"/>
            </w:tcBorders>
            <w:shd w:val="clear" w:color="auto" w:fill="auto"/>
            <w:noWrap/>
            <w:vAlign w:val="bottom"/>
            <w:hideMark/>
          </w:tcPr>
          <w:p w14:paraId="2D6AD30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25.96%</w:t>
            </w:r>
          </w:p>
        </w:tc>
      </w:tr>
      <w:tr w:rsidR="00C34810" w:rsidRPr="00C34810" w14:paraId="58ED7B08"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668D490C"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Total Asset</w:t>
            </w:r>
          </w:p>
        </w:tc>
        <w:tc>
          <w:tcPr>
            <w:tcW w:w="1100" w:type="dxa"/>
            <w:tcBorders>
              <w:top w:val="nil"/>
              <w:left w:val="nil"/>
              <w:bottom w:val="single" w:sz="4" w:space="0" w:color="auto"/>
              <w:right w:val="single" w:sz="4" w:space="0" w:color="auto"/>
            </w:tcBorders>
            <w:shd w:val="clear" w:color="auto" w:fill="auto"/>
            <w:noWrap/>
            <w:vAlign w:val="bottom"/>
            <w:hideMark/>
          </w:tcPr>
          <w:p w14:paraId="553841AD"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16,755,000</w:t>
            </w:r>
          </w:p>
        </w:tc>
        <w:tc>
          <w:tcPr>
            <w:tcW w:w="1100" w:type="dxa"/>
            <w:tcBorders>
              <w:top w:val="nil"/>
              <w:left w:val="nil"/>
              <w:bottom w:val="single" w:sz="4" w:space="0" w:color="auto"/>
              <w:right w:val="single" w:sz="4" w:space="0" w:color="auto"/>
            </w:tcBorders>
            <w:shd w:val="clear" w:color="auto" w:fill="auto"/>
            <w:noWrap/>
            <w:vAlign w:val="bottom"/>
            <w:hideMark/>
          </w:tcPr>
          <w:p w14:paraId="6A3C6E66"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14,957,000</w:t>
            </w:r>
          </w:p>
        </w:tc>
        <w:tc>
          <w:tcPr>
            <w:tcW w:w="1060" w:type="dxa"/>
            <w:tcBorders>
              <w:top w:val="nil"/>
              <w:left w:val="nil"/>
              <w:bottom w:val="single" w:sz="4" w:space="0" w:color="auto"/>
              <w:right w:val="single" w:sz="4" w:space="0" w:color="auto"/>
            </w:tcBorders>
            <w:shd w:val="clear" w:color="auto" w:fill="auto"/>
            <w:noWrap/>
            <w:vAlign w:val="bottom"/>
            <w:hideMark/>
          </w:tcPr>
          <w:p w14:paraId="2B64361E"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1,798,000</w:t>
            </w:r>
          </w:p>
        </w:tc>
        <w:tc>
          <w:tcPr>
            <w:tcW w:w="960" w:type="dxa"/>
            <w:tcBorders>
              <w:top w:val="nil"/>
              <w:left w:val="nil"/>
              <w:bottom w:val="single" w:sz="4" w:space="0" w:color="auto"/>
              <w:right w:val="single" w:sz="4" w:space="0" w:color="auto"/>
            </w:tcBorders>
            <w:shd w:val="clear" w:color="auto" w:fill="auto"/>
            <w:noWrap/>
            <w:vAlign w:val="bottom"/>
            <w:hideMark/>
          </w:tcPr>
          <w:p w14:paraId="3E7CE86D"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12.02%</w:t>
            </w:r>
          </w:p>
        </w:tc>
      </w:tr>
      <w:tr w:rsidR="00C34810" w:rsidRPr="00C34810" w14:paraId="2D22B999"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2995CF27"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Current Liabilities</w:t>
            </w:r>
          </w:p>
        </w:tc>
        <w:tc>
          <w:tcPr>
            <w:tcW w:w="1100" w:type="dxa"/>
            <w:tcBorders>
              <w:top w:val="nil"/>
              <w:left w:val="nil"/>
              <w:bottom w:val="single" w:sz="4" w:space="0" w:color="auto"/>
              <w:right w:val="single" w:sz="4" w:space="0" w:color="auto"/>
            </w:tcBorders>
            <w:shd w:val="clear" w:color="auto" w:fill="auto"/>
            <w:noWrap/>
            <w:vAlign w:val="bottom"/>
            <w:hideMark/>
          </w:tcPr>
          <w:p w14:paraId="7338DE8F"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2,431,000</w:t>
            </w:r>
          </w:p>
        </w:tc>
        <w:tc>
          <w:tcPr>
            <w:tcW w:w="1100" w:type="dxa"/>
            <w:tcBorders>
              <w:top w:val="nil"/>
              <w:left w:val="nil"/>
              <w:bottom w:val="single" w:sz="4" w:space="0" w:color="auto"/>
              <w:right w:val="single" w:sz="4" w:space="0" w:color="auto"/>
            </w:tcBorders>
            <w:shd w:val="clear" w:color="auto" w:fill="auto"/>
            <w:noWrap/>
            <w:vAlign w:val="bottom"/>
            <w:hideMark/>
          </w:tcPr>
          <w:p w14:paraId="67BF1A8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2,871,000</w:t>
            </w:r>
          </w:p>
        </w:tc>
        <w:tc>
          <w:tcPr>
            <w:tcW w:w="1060" w:type="dxa"/>
            <w:tcBorders>
              <w:top w:val="nil"/>
              <w:left w:val="nil"/>
              <w:bottom w:val="single" w:sz="4" w:space="0" w:color="auto"/>
              <w:right w:val="single" w:sz="4" w:space="0" w:color="auto"/>
            </w:tcBorders>
            <w:shd w:val="clear" w:color="auto" w:fill="auto"/>
            <w:noWrap/>
            <w:vAlign w:val="bottom"/>
            <w:hideMark/>
          </w:tcPr>
          <w:p w14:paraId="296942D9"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-440,000</w:t>
            </w:r>
          </w:p>
        </w:tc>
        <w:tc>
          <w:tcPr>
            <w:tcW w:w="960" w:type="dxa"/>
            <w:tcBorders>
              <w:top w:val="nil"/>
              <w:left w:val="nil"/>
              <w:bottom w:val="single" w:sz="4" w:space="0" w:color="auto"/>
              <w:right w:val="single" w:sz="4" w:space="0" w:color="auto"/>
            </w:tcBorders>
            <w:shd w:val="clear" w:color="auto" w:fill="auto"/>
            <w:noWrap/>
            <w:vAlign w:val="bottom"/>
            <w:hideMark/>
          </w:tcPr>
          <w:p w14:paraId="46365334"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-15.33%</w:t>
            </w:r>
          </w:p>
        </w:tc>
      </w:tr>
      <w:tr w:rsidR="00C34810" w:rsidRPr="00C34810" w14:paraId="5C4D17FF"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2836F5E7"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 xml:space="preserve">Non current Liabilities </w:t>
            </w:r>
          </w:p>
        </w:tc>
        <w:tc>
          <w:tcPr>
            <w:tcW w:w="1100" w:type="dxa"/>
            <w:tcBorders>
              <w:top w:val="nil"/>
              <w:left w:val="nil"/>
              <w:bottom w:val="single" w:sz="4" w:space="0" w:color="auto"/>
              <w:right w:val="single" w:sz="4" w:space="0" w:color="auto"/>
            </w:tcBorders>
            <w:shd w:val="clear" w:color="auto" w:fill="auto"/>
            <w:noWrap/>
            <w:vAlign w:val="bottom"/>
            <w:hideMark/>
          </w:tcPr>
          <w:p w14:paraId="5F84782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15,810,000</w:t>
            </w:r>
          </w:p>
        </w:tc>
        <w:tc>
          <w:tcPr>
            <w:tcW w:w="1100" w:type="dxa"/>
            <w:tcBorders>
              <w:top w:val="nil"/>
              <w:left w:val="nil"/>
              <w:bottom w:val="single" w:sz="4" w:space="0" w:color="auto"/>
              <w:right w:val="single" w:sz="4" w:space="0" w:color="auto"/>
            </w:tcBorders>
            <w:shd w:val="clear" w:color="auto" w:fill="auto"/>
            <w:noWrap/>
            <w:vAlign w:val="bottom"/>
            <w:hideMark/>
          </w:tcPr>
          <w:p w14:paraId="78027D2E"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12,558,000</w:t>
            </w:r>
          </w:p>
        </w:tc>
        <w:tc>
          <w:tcPr>
            <w:tcW w:w="1060" w:type="dxa"/>
            <w:tcBorders>
              <w:top w:val="nil"/>
              <w:left w:val="nil"/>
              <w:bottom w:val="single" w:sz="4" w:space="0" w:color="auto"/>
              <w:right w:val="single" w:sz="4" w:space="0" w:color="auto"/>
            </w:tcBorders>
            <w:shd w:val="clear" w:color="auto" w:fill="auto"/>
            <w:noWrap/>
            <w:vAlign w:val="bottom"/>
            <w:hideMark/>
          </w:tcPr>
          <w:p w14:paraId="12894812"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3,252,000</w:t>
            </w:r>
          </w:p>
        </w:tc>
        <w:tc>
          <w:tcPr>
            <w:tcW w:w="960" w:type="dxa"/>
            <w:tcBorders>
              <w:top w:val="nil"/>
              <w:left w:val="nil"/>
              <w:bottom w:val="single" w:sz="4" w:space="0" w:color="auto"/>
              <w:right w:val="single" w:sz="4" w:space="0" w:color="auto"/>
            </w:tcBorders>
            <w:shd w:val="clear" w:color="auto" w:fill="auto"/>
            <w:noWrap/>
            <w:vAlign w:val="bottom"/>
            <w:hideMark/>
          </w:tcPr>
          <w:p w14:paraId="379EA5D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25.90%</w:t>
            </w:r>
          </w:p>
        </w:tc>
      </w:tr>
      <w:tr w:rsidR="00C34810" w:rsidRPr="00C34810" w14:paraId="3B3DDD48"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149E8B40"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Total Liabilities</w:t>
            </w:r>
          </w:p>
        </w:tc>
        <w:tc>
          <w:tcPr>
            <w:tcW w:w="1100" w:type="dxa"/>
            <w:tcBorders>
              <w:top w:val="nil"/>
              <w:left w:val="nil"/>
              <w:bottom w:val="single" w:sz="4" w:space="0" w:color="auto"/>
              <w:right w:val="single" w:sz="4" w:space="0" w:color="auto"/>
            </w:tcBorders>
            <w:shd w:val="clear" w:color="auto" w:fill="auto"/>
            <w:noWrap/>
            <w:vAlign w:val="bottom"/>
            <w:hideMark/>
          </w:tcPr>
          <w:p w14:paraId="2150C229"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18,241,000</w:t>
            </w:r>
          </w:p>
        </w:tc>
        <w:tc>
          <w:tcPr>
            <w:tcW w:w="1100" w:type="dxa"/>
            <w:tcBorders>
              <w:top w:val="nil"/>
              <w:left w:val="nil"/>
              <w:bottom w:val="single" w:sz="4" w:space="0" w:color="auto"/>
              <w:right w:val="single" w:sz="4" w:space="0" w:color="auto"/>
            </w:tcBorders>
            <w:shd w:val="clear" w:color="auto" w:fill="auto"/>
            <w:noWrap/>
            <w:vAlign w:val="bottom"/>
            <w:hideMark/>
          </w:tcPr>
          <w:p w14:paraId="3235634E"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15,429,000</w:t>
            </w:r>
          </w:p>
        </w:tc>
        <w:tc>
          <w:tcPr>
            <w:tcW w:w="1060" w:type="dxa"/>
            <w:tcBorders>
              <w:top w:val="nil"/>
              <w:left w:val="nil"/>
              <w:bottom w:val="single" w:sz="4" w:space="0" w:color="auto"/>
              <w:right w:val="single" w:sz="4" w:space="0" w:color="auto"/>
            </w:tcBorders>
            <w:shd w:val="clear" w:color="auto" w:fill="auto"/>
            <w:noWrap/>
            <w:vAlign w:val="bottom"/>
            <w:hideMark/>
          </w:tcPr>
          <w:p w14:paraId="452F7AF5"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2,812,000</w:t>
            </w:r>
          </w:p>
        </w:tc>
        <w:tc>
          <w:tcPr>
            <w:tcW w:w="960" w:type="dxa"/>
            <w:tcBorders>
              <w:top w:val="nil"/>
              <w:left w:val="nil"/>
              <w:bottom w:val="single" w:sz="4" w:space="0" w:color="auto"/>
              <w:right w:val="single" w:sz="4" w:space="0" w:color="auto"/>
            </w:tcBorders>
            <w:shd w:val="clear" w:color="auto" w:fill="auto"/>
            <w:noWrap/>
            <w:vAlign w:val="bottom"/>
            <w:hideMark/>
          </w:tcPr>
          <w:p w14:paraId="498CD7C1"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18.23%</w:t>
            </w:r>
          </w:p>
        </w:tc>
      </w:tr>
      <w:tr w:rsidR="00C34810" w:rsidRPr="00C34810" w14:paraId="7B6F7881"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4F5EE8A6"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Common Stock</w:t>
            </w:r>
          </w:p>
        </w:tc>
        <w:tc>
          <w:tcPr>
            <w:tcW w:w="1100" w:type="dxa"/>
            <w:tcBorders>
              <w:top w:val="nil"/>
              <w:left w:val="nil"/>
              <w:bottom w:val="single" w:sz="4" w:space="0" w:color="auto"/>
              <w:right w:val="single" w:sz="4" w:space="0" w:color="auto"/>
            </w:tcBorders>
            <w:shd w:val="clear" w:color="auto" w:fill="auto"/>
            <w:noWrap/>
            <w:vAlign w:val="bottom"/>
            <w:hideMark/>
          </w:tcPr>
          <w:p w14:paraId="07100BD0"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3,000</w:t>
            </w:r>
          </w:p>
        </w:tc>
        <w:tc>
          <w:tcPr>
            <w:tcW w:w="1100" w:type="dxa"/>
            <w:tcBorders>
              <w:top w:val="nil"/>
              <w:left w:val="nil"/>
              <w:bottom w:val="single" w:sz="4" w:space="0" w:color="auto"/>
              <w:right w:val="single" w:sz="4" w:space="0" w:color="auto"/>
            </w:tcBorders>
            <w:shd w:val="clear" w:color="auto" w:fill="auto"/>
            <w:noWrap/>
            <w:vAlign w:val="bottom"/>
            <w:hideMark/>
          </w:tcPr>
          <w:p w14:paraId="0DA1E66F"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3,000</w:t>
            </w:r>
          </w:p>
        </w:tc>
        <w:tc>
          <w:tcPr>
            <w:tcW w:w="1060" w:type="dxa"/>
            <w:tcBorders>
              <w:top w:val="nil"/>
              <w:left w:val="nil"/>
              <w:bottom w:val="single" w:sz="4" w:space="0" w:color="auto"/>
              <w:right w:val="single" w:sz="4" w:space="0" w:color="auto"/>
            </w:tcBorders>
            <w:shd w:val="clear" w:color="auto" w:fill="auto"/>
            <w:noWrap/>
            <w:vAlign w:val="bottom"/>
            <w:hideMark/>
          </w:tcPr>
          <w:p w14:paraId="1711E8D3"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51D987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0.00%</w:t>
            </w:r>
          </w:p>
        </w:tc>
      </w:tr>
      <w:tr w:rsidR="00C34810" w:rsidRPr="00C34810" w14:paraId="6648B644"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7E6ED430"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Retained Earnings</w:t>
            </w:r>
          </w:p>
        </w:tc>
        <w:tc>
          <w:tcPr>
            <w:tcW w:w="1100" w:type="dxa"/>
            <w:tcBorders>
              <w:top w:val="nil"/>
              <w:left w:val="nil"/>
              <w:bottom w:val="single" w:sz="4" w:space="0" w:color="auto"/>
              <w:right w:val="single" w:sz="4" w:space="0" w:color="auto"/>
            </w:tcBorders>
            <w:shd w:val="clear" w:color="auto" w:fill="auto"/>
            <w:noWrap/>
            <w:vAlign w:val="bottom"/>
            <w:hideMark/>
          </w:tcPr>
          <w:p w14:paraId="7CCF21D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-6,732,000</w:t>
            </w:r>
          </w:p>
        </w:tc>
        <w:tc>
          <w:tcPr>
            <w:tcW w:w="1100" w:type="dxa"/>
            <w:tcBorders>
              <w:top w:val="nil"/>
              <w:left w:val="nil"/>
              <w:bottom w:val="single" w:sz="4" w:space="0" w:color="auto"/>
              <w:right w:val="single" w:sz="4" w:space="0" w:color="auto"/>
            </w:tcBorders>
            <w:shd w:val="clear" w:color="auto" w:fill="auto"/>
            <w:noWrap/>
            <w:vAlign w:val="bottom"/>
            <w:hideMark/>
          </w:tcPr>
          <w:p w14:paraId="3152C87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-5,965,000</w:t>
            </w:r>
          </w:p>
        </w:tc>
        <w:tc>
          <w:tcPr>
            <w:tcW w:w="1060" w:type="dxa"/>
            <w:tcBorders>
              <w:top w:val="nil"/>
              <w:left w:val="nil"/>
              <w:bottom w:val="single" w:sz="4" w:space="0" w:color="auto"/>
              <w:right w:val="single" w:sz="4" w:space="0" w:color="auto"/>
            </w:tcBorders>
            <w:shd w:val="clear" w:color="auto" w:fill="auto"/>
            <w:noWrap/>
            <w:vAlign w:val="bottom"/>
            <w:hideMark/>
          </w:tcPr>
          <w:p w14:paraId="4FE16B73"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-767,000</w:t>
            </w:r>
          </w:p>
        </w:tc>
        <w:tc>
          <w:tcPr>
            <w:tcW w:w="960" w:type="dxa"/>
            <w:tcBorders>
              <w:top w:val="nil"/>
              <w:left w:val="nil"/>
              <w:bottom w:val="single" w:sz="4" w:space="0" w:color="auto"/>
              <w:right w:val="single" w:sz="4" w:space="0" w:color="auto"/>
            </w:tcBorders>
            <w:shd w:val="clear" w:color="auto" w:fill="auto"/>
            <w:noWrap/>
            <w:vAlign w:val="bottom"/>
            <w:hideMark/>
          </w:tcPr>
          <w:p w14:paraId="15E3FC0A"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12.86%</w:t>
            </w:r>
          </w:p>
        </w:tc>
      </w:tr>
      <w:tr w:rsidR="00C34810" w:rsidRPr="00C34810" w14:paraId="2232BFA0"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0E85361C"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Total Stockholders' Equity</w:t>
            </w:r>
          </w:p>
        </w:tc>
        <w:tc>
          <w:tcPr>
            <w:tcW w:w="1100" w:type="dxa"/>
            <w:tcBorders>
              <w:top w:val="nil"/>
              <w:left w:val="nil"/>
              <w:bottom w:val="single" w:sz="4" w:space="0" w:color="auto"/>
              <w:right w:val="single" w:sz="4" w:space="0" w:color="auto"/>
            </w:tcBorders>
            <w:shd w:val="clear" w:color="auto" w:fill="auto"/>
            <w:noWrap/>
            <w:vAlign w:val="bottom"/>
            <w:hideMark/>
          </w:tcPr>
          <w:p w14:paraId="277976C3"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-1,490,000</w:t>
            </w:r>
          </w:p>
        </w:tc>
        <w:tc>
          <w:tcPr>
            <w:tcW w:w="1100" w:type="dxa"/>
            <w:tcBorders>
              <w:top w:val="nil"/>
              <w:left w:val="nil"/>
              <w:bottom w:val="single" w:sz="4" w:space="0" w:color="auto"/>
              <w:right w:val="single" w:sz="4" w:space="0" w:color="auto"/>
            </w:tcBorders>
            <w:shd w:val="clear" w:color="auto" w:fill="auto"/>
            <w:noWrap/>
            <w:vAlign w:val="bottom"/>
            <w:hideMark/>
          </w:tcPr>
          <w:p w14:paraId="79CDDF3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-482,000</w:t>
            </w:r>
          </w:p>
        </w:tc>
        <w:tc>
          <w:tcPr>
            <w:tcW w:w="1060" w:type="dxa"/>
            <w:tcBorders>
              <w:top w:val="nil"/>
              <w:left w:val="nil"/>
              <w:bottom w:val="single" w:sz="4" w:space="0" w:color="auto"/>
              <w:right w:val="single" w:sz="4" w:space="0" w:color="auto"/>
            </w:tcBorders>
            <w:shd w:val="clear" w:color="auto" w:fill="auto"/>
            <w:noWrap/>
            <w:vAlign w:val="bottom"/>
            <w:hideMark/>
          </w:tcPr>
          <w:p w14:paraId="69F95303"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-1,008,000</w:t>
            </w:r>
          </w:p>
        </w:tc>
        <w:tc>
          <w:tcPr>
            <w:tcW w:w="960" w:type="dxa"/>
            <w:tcBorders>
              <w:top w:val="nil"/>
              <w:left w:val="nil"/>
              <w:bottom w:val="single" w:sz="4" w:space="0" w:color="auto"/>
              <w:right w:val="single" w:sz="4" w:space="0" w:color="auto"/>
            </w:tcBorders>
            <w:shd w:val="clear" w:color="auto" w:fill="auto"/>
            <w:noWrap/>
            <w:vAlign w:val="bottom"/>
            <w:hideMark/>
          </w:tcPr>
          <w:p w14:paraId="1CF29B0B"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209.13%</w:t>
            </w:r>
          </w:p>
        </w:tc>
      </w:tr>
      <w:tr w:rsidR="00C34810" w:rsidRPr="00C34810" w14:paraId="2E90BBCA" w14:textId="77777777" w:rsidTr="00C34810">
        <w:trPr>
          <w:trHeight w:val="300"/>
        </w:trPr>
        <w:tc>
          <w:tcPr>
            <w:tcW w:w="3061" w:type="dxa"/>
            <w:tcBorders>
              <w:top w:val="nil"/>
              <w:left w:val="single" w:sz="4" w:space="0" w:color="auto"/>
              <w:bottom w:val="single" w:sz="4" w:space="0" w:color="auto"/>
              <w:right w:val="single" w:sz="4" w:space="0" w:color="auto"/>
            </w:tcBorders>
            <w:shd w:val="clear" w:color="auto" w:fill="auto"/>
            <w:noWrap/>
            <w:vAlign w:val="bottom"/>
            <w:hideMark/>
          </w:tcPr>
          <w:p w14:paraId="0FEE33AC" w14:textId="77777777" w:rsidR="00C34810" w:rsidRPr="00C34810" w:rsidRDefault="00C34810" w:rsidP="00C34810">
            <w:pPr>
              <w:spacing w:after="0" w:line="240" w:lineRule="auto"/>
              <w:rPr>
                <w:rFonts w:ascii="Calibri" w:eastAsia="Times New Roman" w:hAnsi="Calibri" w:cs="Calibri"/>
                <w:color w:val="000000"/>
                <w:lang w:eastAsia="en-GB"/>
              </w:rPr>
            </w:pPr>
            <w:r w:rsidRPr="00C34810">
              <w:rPr>
                <w:rFonts w:ascii="Calibri" w:eastAsia="Times New Roman" w:hAnsi="Calibri" w:cs="Calibri"/>
                <w:color w:val="000000"/>
                <w:lang w:eastAsia="en-GB"/>
              </w:rPr>
              <w:t>Total Liabilities and Stockholder</w:t>
            </w:r>
          </w:p>
        </w:tc>
        <w:tc>
          <w:tcPr>
            <w:tcW w:w="1100" w:type="dxa"/>
            <w:tcBorders>
              <w:top w:val="nil"/>
              <w:left w:val="nil"/>
              <w:bottom w:val="single" w:sz="4" w:space="0" w:color="auto"/>
              <w:right w:val="single" w:sz="4" w:space="0" w:color="auto"/>
            </w:tcBorders>
            <w:shd w:val="clear" w:color="auto" w:fill="auto"/>
            <w:noWrap/>
            <w:vAlign w:val="bottom"/>
            <w:hideMark/>
          </w:tcPr>
          <w:p w14:paraId="4040F918"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16,755,000</w:t>
            </w:r>
          </w:p>
        </w:tc>
        <w:tc>
          <w:tcPr>
            <w:tcW w:w="1100" w:type="dxa"/>
            <w:tcBorders>
              <w:top w:val="nil"/>
              <w:left w:val="nil"/>
              <w:bottom w:val="single" w:sz="4" w:space="0" w:color="auto"/>
              <w:right w:val="single" w:sz="4" w:space="0" w:color="auto"/>
            </w:tcBorders>
            <w:shd w:val="clear" w:color="auto" w:fill="auto"/>
            <w:noWrap/>
            <w:vAlign w:val="bottom"/>
            <w:hideMark/>
          </w:tcPr>
          <w:p w14:paraId="17A0DC9F"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14,957,000</w:t>
            </w:r>
          </w:p>
        </w:tc>
        <w:tc>
          <w:tcPr>
            <w:tcW w:w="1060" w:type="dxa"/>
            <w:tcBorders>
              <w:top w:val="nil"/>
              <w:left w:val="nil"/>
              <w:bottom w:val="single" w:sz="4" w:space="0" w:color="auto"/>
              <w:right w:val="single" w:sz="4" w:space="0" w:color="auto"/>
            </w:tcBorders>
            <w:shd w:val="clear" w:color="auto" w:fill="auto"/>
            <w:noWrap/>
            <w:vAlign w:val="bottom"/>
            <w:hideMark/>
          </w:tcPr>
          <w:p w14:paraId="113C7D81"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1,798,000</w:t>
            </w:r>
          </w:p>
        </w:tc>
        <w:tc>
          <w:tcPr>
            <w:tcW w:w="960" w:type="dxa"/>
            <w:tcBorders>
              <w:top w:val="nil"/>
              <w:left w:val="nil"/>
              <w:bottom w:val="single" w:sz="4" w:space="0" w:color="auto"/>
              <w:right w:val="single" w:sz="4" w:space="0" w:color="auto"/>
            </w:tcBorders>
            <w:shd w:val="clear" w:color="auto" w:fill="auto"/>
            <w:noWrap/>
            <w:vAlign w:val="bottom"/>
            <w:hideMark/>
          </w:tcPr>
          <w:p w14:paraId="58A78B1D" w14:textId="77777777" w:rsidR="00C34810" w:rsidRPr="00C34810" w:rsidRDefault="00C34810" w:rsidP="00C34810">
            <w:pPr>
              <w:spacing w:after="0" w:line="240" w:lineRule="auto"/>
              <w:jc w:val="right"/>
              <w:rPr>
                <w:rFonts w:ascii="Calibri" w:eastAsia="Times New Roman" w:hAnsi="Calibri" w:cs="Calibri"/>
                <w:color w:val="000000"/>
                <w:lang w:eastAsia="en-GB"/>
              </w:rPr>
            </w:pPr>
            <w:r w:rsidRPr="00C34810">
              <w:rPr>
                <w:rFonts w:ascii="Calibri" w:eastAsia="Times New Roman" w:hAnsi="Calibri" w:cs="Calibri"/>
                <w:color w:val="000000"/>
                <w:lang w:eastAsia="en-GB"/>
              </w:rPr>
              <w:t>12.02%</w:t>
            </w:r>
          </w:p>
        </w:tc>
      </w:tr>
    </w:tbl>
    <w:p w14:paraId="423BAC1C" w14:textId="210D4512" w:rsidR="00E43A4C" w:rsidRPr="0048137E" w:rsidRDefault="00E43A4C" w:rsidP="0048137E">
      <w:pPr>
        <w:spacing w:line="360" w:lineRule="auto"/>
        <w:rPr>
          <w:rFonts w:eastAsia="Times New Roman" w:cstheme="minorHAnsi"/>
          <w:szCs w:val="24"/>
          <w:lang w:eastAsia="en-GB"/>
        </w:rPr>
      </w:pPr>
    </w:p>
    <w:p w14:paraId="064682E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lastRenderedPageBreak/>
        <w:t> </w:t>
      </w:r>
    </w:p>
    <w:p w14:paraId="5A19358E"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14286DAB"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6E03EDDE"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27C9590F"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26A4E37"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734795E7" w14:textId="77777777" w:rsidR="00E43A4C" w:rsidRPr="0048137E" w:rsidRDefault="00E43A4C" w:rsidP="0048137E">
      <w:pPr>
        <w:spacing w:line="360" w:lineRule="auto"/>
        <w:rPr>
          <w:rFonts w:eastAsia="Times New Roman" w:cstheme="minorHAnsi"/>
          <w:szCs w:val="24"/>
          <w:lang w:eastAsia="en-GB"/>
        </w:rPr>
      </w:pPr>
      <w:r w:rsidRPr="0048137E">
        <w:rPr>
          <w:rFonts w:eastAsia="Times New Roman" w:cstheme="minorHAnsi"/>
          <w:szCs w:val="24"/>
          <w:lang w:eastAsia="en-GB"/>
        </w:rPr>
        <w:t> </w:t>
      </w:r>
    </w:p>
    <w:p w14:paraId="3ED695FD" w14:textId="77777777" w:rsidR="002706B5" w:rsidRPr="0048137E" w:rsidRDefault="002706B5" w:rsidP="0048137E">
      <w:pPr>
        <w:spacing w:line="360" w:lineRule="auto"/>
        <w:rPr>
          <w:rFonts w:cstheme="minorHAnsi"/>
          <w:szCs w:val="24"/>
        </w:rPr>
      </w:pPr>
    </w:p>
    <w:sectPr w:rsidR="002706B5" w:rsidRPr="0048137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73035" w14:textId="77777777" w:rsidR="00313E35" w:rsidRDefault="00313E35" w:rsidP="00A348EE">
      <w:pPr>
        <w:spacing w:after="0" w:line="240" w:lineRule="auto"/>
      </w:pPr>
      <w:r>
        <w:separator/>
      </w:r>
    </w:p>
  </w:endnote>
  <w:endnote w:type="continuationSeparator" w:id="0">
    <w:p w14:paraId="0390F036" w14:textId="77777777" w:rsidR="00313E35" w:rsidRDefault="00313E35" w:rsidP="00A34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4FF43" w14:textId="77777777" w:rsidR="00781C86" w:rsidRDefault="00781C86">
    <w:pPr>
      <w:pStyle w:val="Footer"/>
    </w:pPr>
  </w:p>
  <w:p w14:paraId="7E9C243D" w14:textId="77777777" w:rsidR="00781C86" w:rsidRDefault="00781C8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EF47A" w14:textId="77777777" w:rsidR="00313E35" w:rsidRDefault="00313E35" w:rsidP="00A348EE">
      <w:pPr>
        <w:spacing w:after="0" w:line="240" w:lineRule="auto"/>
      </w:pPr>
      <w:r>
        <w:separator/>
      </w:r>
    </w:p>
  </w:footnote>
  <w:footnote w:type="continuationSeparator" w:id="0">
    <w:p w14:paraId="65F6718E" w14:textId="77777777" w:rsidR="00313E35" w:rsidRDefault="00313E35" w:rsidP="00A34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5B33F" w14:textId="77777777" w:rsidR="00A348EE" w:rsidRPr="000536A3" w:rsidRDefault="00A348EE" w:rsidP="001F7E3A">
    <w:pP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yMLEwNDU2tbC0sDRX0lEKTi0uzszPAykwMqgFAOSh5bEtAAAA"/>
  </w:docVars>
  <w:rsids>
    <w:rsidRoot w:val="00E43A4C"/>
    <w:rsid w:val="00004107"/>
    <w:rsid w:val="00004410"/>
    <w:rsid w:val="0000495E"/>
    <w:rsid w:val="000117C3"/>
    <w:rsid w:val="00016726"/>
    <w:rsid w:val="000264A5"/>
    <w:rsid w:val="00033F73"/>
    <w:rsid w:val="000358C0"/>
    <w:rsid w:val="00047D44"/>
    <w:rsid w:val="00051EF1"/>
    <w:rsid w:val="000536A3"/>
    <w:rsid w:val="00055E31"/>
    <w:rsid w:val="0006373E"/>
    <w:rsid w:val="00075C55"/>
    <w:rsid w:val="00082CCA"/>
    <w:rsid w:val="000842E4"/>
    <w:rsid w:val="00085D8F"/>
    <w:rsid w:val="000921D5"/>
    <w:rsid w:val="00093F97"/>
    <w:rsid w:val="000A2AF3"/>
    <w:rsid w:val="000A5C9F"/>
    <w:rsid w:val="000A6201"/>
    <w:rsid w:val="000B1B42"/>
    <w:rsid w:val="000B1EF3"/>
    <w:rsid w:val="000B3C1F"/>
    <w:rsid w:val="000B3D3D"/>
    <w:rsid w:val="000B7352"/>
    <w:rsid w:val="000C01D8"/>
    <w:rsid w:val="000C0C31"/>
    <w:rsid w:val="000C68EB"/>
    <w:rsid w:val="000D4948"/>
    <w:rsid w:val="000E0571"/>
    <w:rsid w:val="000E3A15"/>
    <w:rsid w:val="000E4FB9"/>
    <w:rsid w:val="000E7D14"/>
    <w:rsid w:val="000F0977"/>
    <w:rsid w:val="000F2BE1"/>
    <w:rsid w:val="000F41F8"/>
    <w:rsid w:val="000F5558"/>
    <w:rsid w:val="000F6A78"/>
    <w:rsid w:val="000F6FCE"/>
    <w:rsid w:val="00107468"/>
    <w:rsid w:val="00110896"/>
    <w:rsid w:val="00110F86"/>
    <w:rsid w:val="00114FA1"/>
    <w:rsid w:val="001158C2"/>
    <w:rsid w:val="00116D73"/>
    <w:rsid w:val="00122BE8"/>
    <w:rsid w:val="001233F0"/>
    <w:rsid w:val="00124A19"/>
    <w:rsid w:val="00125D8D"/>
    <w:rsid w:val="00132024"/>
    <w:rsid w:val="0013541A"/>
    <w:rsid w:val="0013793A"/>
    <w:rsid w:val="00144649"/>
    <w:rsid w:val="001512FF"/>
    <w:rsid w:val="001564A1"/>
    <w:rsid w:val="00156A7A"/>
    <w:rsid w:val="0016049B"/>
    <w:rsid w:val="00162004"/>
    <w:rsid w:val="0016627C"/>
    <w:rsid w:val="00171C7F"/>
    <w:rsid w:val="0017413F"/>
    <w:rsid w:val="0017711B"/>
    <w:rsid w:val="00177945"/>
    <w:rsid w:val="00180A39"/>
    <w:rsid w:val="00182CD7"/>
    <w:rsid w:val="00184587"/>
    <w:rsid w:val="0018699C"/>
    <w:rsid w:val="00190776"/>
    <w:rsid w:val="00191855"/>
    <w:rsid w:val="00191B04"/>
    <w:rsid w:val="001925E5"/>
    <w:rsid w:val="00195668"/>
    <w:rsid w:val="001A3920"/>
    <w:rsid w:val="001A7CC2"/>
    <w:rsid w:val="001B1204"/>
    <w:rsid w:val="001B1B18"/>
    <w:rsid w:val="001B4808"/>
    <w:rsid w:val="001B59F2"/>
    <w:rsid w:val="001B75A7"/>
    <w:rsid w:val="001C29F6"/>
    <w:rsid w:val="001C2DBF"/>
    <w:rsid w:val="001C411F"/>
    <w:rsid w:val="001E3440"/>
    <w:rsid w:val="001F24AA"/>
    <w:rsid w:val="001F593E"/>
    <w:rsid w:val="001F5FCA"/>
    <w:rsid w:val="001F7E3A"/>
    <w:rsid w:val="001F7EA8"/>
    <w:rsid w:val="002050AA"/>
    <w:rsid w:val="00210704"/>
    <w:rsid w:val="002157C4"/>
    <w:rsid w:val="002259B0"/>
    <w:rsid w:val="00225F31"/>
    <w:rsid w:val="00227353"/>
    <w:rsid w:val="00230A03"/>
    <w:rsid w:val="002323DB"/>
    <w:rsid w:val="002351F8"/>
    <w:rsid w:val="002424DE"/>
    <w:rsid w:val="0024330E"/>
    <w:rsid w:val="002468CF"/>
    <w:rsid w:val="002470AD"/>
    <w:rsid w:val="00247E82"/>
    <w:rsid w:val="00255B16"/>
    <w:rsid w:val="00257B50"/>
    <w:rsid w:val="002706B5"/>
    <w:rsid w:val="002706C8"/>
    <w:rsid w:val="00270D3A"/>
    <w:rsid w:val="00273F9C"/>
    <w:rsid w:val="00274C28"/>
    <w:rsid w:val="00275CD4"/>
    <w:rsid w:val="00276A40"/>
    <w:rsid w:val="0028321B"/>
    <w:rsid w:val="00290DA8"/>
    <w:rsid w:val="00291409"/>
    <w:rsid w:val="00295BB4"/>
    <w:rsid w:val="002A0342"/>
    <w:rsid w:val="002A0594"/>
    <w:rsid w:val="002A7671"/>
    <w:rsid w:val="002B3F83"/>
    <w:rsid w:val="002B4856"/>
    <w:rsid w:val="002B4B08"/>
    <w:rsid w:val="002B5D4A"/>
    <w:rsid w:val="002C6342"/>
    <w:rsid w:val="002C695D"/>
    <w:rsid w:val="002D4F43"/>
    <w:rsid w:val="002E0ACC"/>
    <w:rsid w:val="002E0D8E"/>
    <w:rsid w:val="002E2604"/>
    <w:rsid w:val="002E3027"/>
    <w:rsid w:val="002E4253"/>
    <w:rsid w:val="002E7E82"/>
    <w:rsid w:val="002F2A77"/>
    <w:rsid w:val="002F6D60"/>
    <w:rsid w:val="002F70AA"/>
    <w:rsid w:val="00303AEB"/>
    <w:rsid w:val="003043EE"/>
    <w:rsid w:val="00313E35"/>
    <w:rsid w:val="0031589F"/>
    <w:rsid w:val="00320BE9"/>
    <w:rsid w:val="0032215D"/>
    <w:rsid w:val="00323E89"/>
    <w:rsid w:val="00324C92"/>
    <w:rsid w:val="003306F8"/>
    <w:rsid w:val="00346F58"/>
    <w:rsid w:val="0035002D"/>
    <w:rsid w:val="00354523"/>
    <w:rsid w:val="00355B8E"/>
    <w:rsid w:val="003567FD"/>
    <w:rsid w:val="0036361F"/>
    <w:rsid w:val="00363900"/>
    <w:rsid w:val="00371D1A"/>
    <w:rsid w:val="0037691F"/>
    <w:rsid w:val="00380531"/>
    <w:rsid w:val="00383F1A"/>
    <w:rsid w:val="00386215"/>
    <w:rsid w:val="003916C7"/>
    <w:rsid w:val="00394C0F"/>
    <w:rsid w:val="00395877"/>
    <w:rsid w:val="00396F91"/>
    <w:rsid w:val="003A5629"/>
    <w:rsid w:val="003A6A0B"/>
    <w:rsid w:val="003A761C"/>
    <w:rsid w:val="003B18AE"/>
    <w:rsid w:val="003B4D22"/>
    <w:rsid w:val="003B536B"/>
    <w:rsid w:val="003B687C"/>
    <w:rsid w:val="003B6D85"/>
    <w:rsid w:val="003B7D5D"/>
    <w:rsid w:val="003C1163"/>
    <w:rsid w:val="003C2636"/>
    <w:rsid w:val="003C285B"/>
    <w:rsid w:val="003D209A"/>
    <w:rsid w:val="003D7283"/>
    <w:rsid w:val="003E0222"/>
    <w:rsid w:val="003E0DD6"/>
    <w:rsid w:val="003E55CF"/>
    <w:rsid w:val="003E6863"/>
    <w:rsid w:val="003F1968"/>
    <w:rsid w:val="003F6E70"/>
    <w:rsid w:val="004166E3"/>
    <w:rsid w:val="004258D6"/>
    <w:rsid w:val="0042713F"/>
    <w:rsid w:val="004338E3"/>
    <w:rsid w:val="004344FE"/>
    <w:rsid w:val="00434637"/>
    <w:rsid w:val="00436A18"/>
    <w:rsid w:val="00436A84"/>
    <w:rsid w:val="00440096"/>
    <w:rsid w:val="00447D07"/>
    <w:rsid w:val="004543C2"/>
    <w:rsid w:val="00460A95"/>
    <w:rsid w:val="00466ED9"/>
    <w:rsid w:val="00472D81"/>
    <w:rsid w:val="00480878"/>
    <w:rsid w:val="0048137E"/>
    <w:rsid w:val="00486040"/>
    <w:rsid w:val="00490718"/>
    <w:rsid w:val="00490C5A"/>
    <w:rsid w:val="00492200"/>
    <w:rsid w:val="0049371E"/>
    <w:rsid w:val="004A04FB"/>
    <w:rsid w:val="004A14A0"/>
    <w:rsid w:val="004A1F7D"/>
    <w:rsid w:val="004A2DF6"/>
    <w:rsid w:val="004B3A92"/>
    <w:rsid w:val="004C1506"/>
    <w:rsid w:val="004C1EA1"/>
    <w:rsid w:val="004C2D5E"/>
    <w:rsid w:val="004C4F91"/>
    <w:rsid w:val="004C51A6"/>
    <w:rsid w:val="004E109C"/>
    <w:rsid w:val="004E2D5C"/>
    <w:rsid w:val="004E3E8D"/>
    <w:rsid w:val="004E580C"/>
    <w:rsid w:val="004F41B3"/>
    <w:rsid w:val="004F4DC8"/>
    <w:rsid w:val="004F76B0"/>
    <w:rsid w:val="00500D9C"/>
    <w:rsid w:val="005069C5"/>
    <w:rsid w:val="00507D5A"/>
    <w:rsid w:val="00511F48"/>
    <w:rsid w:val="00515299"/>
    <w:rsid w:val="00520777"/>
    <w:rsid w:val="00526369"/>
    <w:rsid w:val="00540F1E"/>
    <w:rsid w:val="00541EB7"/>
    <w:rsid w:val="00547FF4"/>
    <w:rsid w:val="005546DF"/>
    <w:rsid w:val="00554C8F"/>
    <w:rsid w:val="005636A2"/>
    <w:rsid w:val="0056413F"/>
    <w:rsid w:val="005767D5"/>
    <w:rsid w:val="00576984"/>
    <w:rsid w:val="00582F57"/>
    <w:rsid w:val="005854AB"/>
    <w:rsid w:val="00586C18"/>
    <w:rsid w:val="005878BF"/>
    <w:rsid w:val="0059624F"/>
    <w:rsid w:val="005973F8"/>
    <w:rsid w:val="005A74FB"/>
    <w:rsid w:val="005C0875"/>
    <w:rsid w:val="005C0F3C"/>
    <w:rsid w:val="005C5115"/>
    <w:rsid w:val="005C5D19"/>
    <w:rsid w:val="005D191B"/>
    <w:rsid w:val="005D36D8"/>
    <w:rsid w:val="005D554E"/>
    <w:rsid w:val="005D603C"/>
    <w:rsid w:val="005D6E87"/>
    <w:rsid w:val="005D6F22"/>
    <w:rsid w:val="005E0B4E"/>
    <w:rsid w:val="005E3D26"/>
    <w:rsid w:val="005F2F1D"/>
    <w:rsid w:val="005F4246"/>
    <w:rsid w:val="005F5D3D"/>
    <w:rsid w:val="00600567"/>
    <w:rsid w:val="0060335B"/>
    <w:rsid w:val="00604546"/>
    <w:rsid w:val="00610030"/>
    <w:rsid w:val="0061078E"/>
    <w:rsid w:val="0061601C"/>
    <w:rsid w:val="006231CC"/>
    <w:rsid w:val="00624D09"/>
    <w:rsid w:val="0063316A"/>
    <w:rsid w:val="00635738"/>
    <w:rsid w:val="006445FD"/>
    <w:rsid w:val="0064527A"/>
    <w:rsid w:val="006506BF"/>
    <w:rsid w:val="006531DA"/>
    <w:rsid w:val="00654E8E"/>
    <w:rsid w:val="0065519A"/>
    <w:rsid w:val="006632F1"/>
    <w:rsid w:val="00667E2D"/>
    <w:rsid w:val="00674239"/>
    <w:rsid w:val="00677987"/>
    <w:rsid w:val="00677EA8"/>
    <w:rsid w:val="00682FE6"/>
    <w:rsid w:val="006846D2"/>
    <w:rsid w:val="00686C27"/>
    <w:rsid w:val="006966A0"/>
    <w:rsid w:val="006A3CDD"/>
    <w:rsid w:val="006A55B9"/>
    <w:rsid w:val="006B1C67"/>
    <w:rsid w:val="006B3190"/>
    <w:rsid w:val="006B3A76"/>
    <w:rsid w:val="006C172B"/>
    <w:rsid w:val="006C20AD"/>
    <w:rsid w:val="006C3DF3"/>
    <w:rsid w:val="006C7949"/>
    <w:rsid w:val="006D30DF"/>
    <w:rsid w:val="006D3F7B"/>
    <w:rsid w:val="006D719F"/>
    <w:rsid w:val="006E018B"/>
    <w:rsid w:val="006E6777"/>
    <w:rsid w:val="006F01A8"/>
    <w:rsid w:val="006F7E55"/>
    <w:rsid w:val="0070090C"/>
    <w:rsid w:val="00707417"/>
    <w:rsid w:val="007105DE"/>
    <w:rsid w:val="00710996"/>
    <w:rsid w:val="007226FD"/>
    <w:rsid w:val="00725A0D"/>
    <w:rsid w:val="00732E86"/>
    <w:rsid w:val="00742843"/>
    <w:rsid w:val="0074619D"/>
    <w:rsid w:val="007511B8"/>
    <w:rsid w:val="007570FA"/>
    <w:rsid w:val="00757DF5"/>
    <w:rsid w:val="007625CE"/>
    <w:rsid w:val="007627E0"/>
    <w:rsid w:val="007654CC"/>
    <w:rsid w:val="007657C2"/>
    <w:rsid w:val="00767A8F"/>
    <w:rsid w:val="007734F4"/>
    <w:rsid w:val="00777642"/>
    <w:rsid w:val="00781349"/>
    <w:rsid w:val="00781C86"/>
    <w:rsid w:val="0078461C"/>
    <w:rsid w:val="0078555D"/>
    <w:rsid w:val="00795DFB"/>
    <w:rsid w:val="007A0642"/>
    <w:rsid w:val="007A08C0"/>
    <w:rsid w:val="007A48A4"/>
    <w:rsid w:val="007B1387"/>
    <w:rsid w:val="007B64F7"/>
    <w:rsid w:val="007C4B9C"/>
    <w:rsid w:val="007D204A"/>
    <w:rsid w:val="007D42E8"/>
    <w:rsid w:val="007D5678"/>
    <w:rsid w:val="007D68D9"/>
    <w:rsid w:val="007D796A"/>
    <w:rsid w:val="007D7F7F"/>
    <w:rsid w:val="007E131B"/>
    <w:rsid w:val="007E238A"/>
    <w:rsid w:val="007E712B"/>
    <w:rsid w:val="007F3E2E"/>
    <w:rsid w:val="007F7C76"/>
    <w:rsid w:val="00801F94"/>
    <w:rsid w:val="00804BAF"/>
    <w:rsid w:val="00806352"/>
    <w:rsid w:val="00807B8F"/>
    <w:rsid w:val="0081090F"/>
    <w:rsid w:val="00810E06"/>
    <w:rsid w:val="008224A0"/>
    <w:rsid w:val="00823175"/>
    <w:rsid w:val="00827B41"/>
    <w:rsid w:val="00830DBB"/>
    <w:rsid w:val="00836811"/>
    <w:rsid w:val="00837DED"/>
    <w:rsid w:val="008400C8"/>
    <w:rsid w:val="0084398A"/>
    <w:rsid w:val="008544A1"/>
    <w:rsid w:val="00857914"/>
    <w:rsid w:val="00861AF0"/>
    <w:rsid w:val="00863C55"/>
    <w:rsid w:val="00864E59"/>
    <w:rsid w:val="00872E0F"/>
    <w:rsid w:val="0087309E"/>
    <w:rsid w:val="00883B41"/>
    <w:rsid w:val="008848ED"/>
    <w:rsid w:val="008874C6"/>
    <w:rsid w:val="008A00FA"/>
    <w:rsid w:val="008A1381"/>
    <w:rsid w:val="008A7D30"/>
    <w:rsid w:val="008B2227"/>
    <w:rsid w:val="008B660B"/>
    <w:rsid w:val="008B6BF8"/>
    <w:rsid w:val="008C13BE"/>
    <w:rsid w:val="008D0613"/>
    <w:rsid w:val="008D2748"/>
    <w:rsid w:val="008D3319"/>
    <w:rsid w:val="008D74D9"/>
    <w:rsid w:val="008E4396"/>
    <w:rsid w:val="008E5E0A"/>
    <w:rsid w:val="008E77B0"/>
    <w:rsid w:val="008F40E5"/>
    <w:rsid w:val="008F4FD5"/>
    <w:rsid w:val="008F754E"/>
    <w:rsid w:val="009010C3"/>
    <w:rsid w:val="00904A0F"/>
    <w:rsid w:val="00907C8B"/>
    <w:rsid w:val="00911947"/>
    <w:rsid w:val="00912535"/>
    <w:rsid w:val="009134AB"/>
    <w:rsid w:val="00925D5B"/>
    <w:rsid w:val="0092620A"/>
    <w:rsid w:val="00927662"/>
    <w:rsid w:val="009307CA"/>
    <w:rsid w:val="00931B7B"/>
    <w:rsid w:val="00936DE2"/>
    <w:rsid w:val="00942D55"/>
    <w:rsid w:val="00943371"/>
    <w:rsid w:val="00946908"/>
    <w:rsid w:val="00953D92"/>
    <w:rsid w:val="009759CF"/>
    <w:rsid w:val="00975A7A"/>
    <w:rsid w:val="00980387"/>
    <w:rsid w:val="0098431F"/>
    <w:rsid w:val="0098590A"/>
    <w:rsid w:val="00991830"/>
    <w:rsid w:val="009919F6"/>
    <w:rsid w:val="00995C88"/>
    <w:rsid w:val="00997F43"/>
    <w:rsid w:val="009A4115"/>
    <w:rsid w:val="009A4BD7"/>
    <w:rsid w:val="009B03D2"/>
    <w:rsid w:val="009B6340"/>
    <w:rsid w:val="009B79B0"/>
    <w:rsid w:val="009C05F3"/>
    <w:rsid w:val="009D48E1"/>
    <w:rsid w:val="009D6ABC"/>
    <w:rsid w:val="009E1361"/>
    <w:rsid w:val="009E43C0"/>
    <w:rsid w:val="009E4429"/>
    <w:rsid w:val="009E4C48"/>
    <w:rsid w:val="009E784F"/>
    <w:rsid w:val="009E7C5D"/>
    <w:rsid w:val="009F3763"/>
    <w:rsid w:val="009F46BC"/>
    <w:rsid w:val="00A02B1C"/>
    <w:rsid w:val="00A12643"/>
    <w:rsid w:val="00A12C64"/>
    <w:rsid w:val="00A149FD"/>
    <w:rsid w:val="00A20805"/>
    <w:rsid w:val="00A208DF"/>
    <w:rsid w:val="00A27D85"/>
    <w:rsid w:val="00A318FC"/>
    <w:rsid w:val="00A348EE"/>
    <w:rsid w:val="00A479C2"/>
    <w:rsid w:val="00A47A4D"/>
    <w:rsid w:val="00A51194"/>
    <w:rsid w:val="00A52FDA"/>
    <w:rsid w:val="00A538AE"/>
    <w:rsid w:val="00A557E1"/>
    <w:rsid w:val="00A5651D"/>
    <w:rsid w:val="00A604D8"/>
    <w:rsid w:val="00A651A4"/>
    <w:rsid w:val="00A66A05"/>
    <w:rsid w:val="00A67DC3"/>
    <w:rsid w:val="00A7292C"/>
    <w:rsid w:val="00A73A7E"/>
    <w:rsid w:val="00A749D7"/>
    <w:rsid w:val="00A763FC"/>
    <w:rsid w:val="00A8270E"/>
    <w:rsid w:val="00A87910"/>
    <w:rsid w:val="00A87D78"/>
    <w:rsid w:val="00A916DD"/>
    <w:rsid w:val="00A9231F"/>
    <w:rsid w:val="00A93BB8"/>
    <w:rsid w:val="00A955AE"/>
    <w:rsid w:val="00A97155"/>
    <w:rsid w:val="00AA2E71"/>
    <w:rsid w:val="00AA335B"/>
    <w:rsid w:val="00AB2B89"/>
    <w:rsid w:val="00AB2DE4"/>
    <w:rsid w:val="00AC1CB0"/>
    <w:rsid w:val="00AC5C52"/>
    <w:rsid w:val="00AD28D4"/>
    <w:rsid w:val="00AD7E0B"/>
    <w:rsid w:val="00AE0A72"/>
    <w:rsid w:val="00AE1B4F"/>
    <w:rsid w:val="00AE6078"/>
    <w:rsid w:val="00AF3D8E"/>
    <w:rsid w:val="00AF7BAB"/>
    <w:rsid w:val="00B161BD"/>
    <w:rsid w:val="00B16505"/>
    <w:rsid w:val="00B20901"/>
    <w:rsid w:val="00B23132"/>
    <w:rsid w:val="00B2335E"/>
    <w:rsid w:val="00B27FCF"/>
    <w:rsid w:val="00B34B0C"/>
    <w:rsid w:val="00B408D1"/>
    <w:rsid w:val="00B42994"/>
    <w:rsid w:val="00B42E72"/>
    <w:rsid w:val="00B46021"/>
    <w:rsid w:val="00B53D87"/>
    <w:rsid w:val="00B550E9"/>
    <w:rsid w:val="00B60B03"/>
    <w:rsid w:val="00B60E7F"/>
    <w:rsid w:val="00B63FAB"/>
    <w:rsid w:val="00B64875"/>
    <w:rsid w:val="00B701CF"/>
    <w:rsid w:val="00B93169"/>
    <w:rsid w:val="00B94E03"/>
    <w:rsid w:val="00B960F3"/>
    <w:rsid w:val="00B9777C"/>
    <w:rsid w:val="00B97F39"/>
    <w:rsid w:val="00BA0A95"/>
    <w:rsid w:val="00BA2904"/>
    <w:rsid w:val="00BA4AE7"/>
    <w:rsid w:val="00BB0D7A"/>
    <w:rsid w:val="00BC55AA"/>
    <w:rsid w:val="00BC73FC"/>
    <w:rsid w:val="00BD5F50"/>
    <w:rsid w:val="00BE0F62"/>
    <w:rsid w:val="00BF0444"/>
    <w:rsid w:val="00BF0DC1"/>
    <w:rsid w:val="00BF4936"/>
    <w:rsid w:val="00C00260"/>
    <w:rsid w:val="00C05879"/>
    <w:rsid w:val="00C07A5D"/>
    <w:rsid w:val="00C12831"/>
    <w:rsid w:val="00C15C0D"/>
    <w:rsid w:val="00C204EE"/>
    <w:rsid w:val="00C27EAF"/>
    <w:rsid w:val="00C31F5C"/>
    <w:rsid w:val="00C32B2B"/>
    <w:rsid w:val="00C32C60"/>
    <w:rsid w:val="00C34810"/>
    <w:rsid w:val="00C34EC8"/>
    <w:rsid w:val="00C40DDC"/>
    <w:rsid w:val="00C414D5"/>
    <w:rsid w:val="00C41829"/>
    <w:rsid w:val="00C459E1"/>
    <w:rsid w:val="00C464C0"/>
    <w:rsid w:val="00C474C8"/>
    <w:rsid w:val="00C50E4D"/>
    <w:rsid w:val="00C60B25"/>
    <w:rsid w:val="00C63AE5"/>
    <w:rsid w:val="00C70202"/>
    <w:rsid w:val="00C729DA"/>
    <w:rsid w:val="00C753AC"/>
    <w:rsid w:val="00C75B80"/>
    <w:rsid w:val="00C82467"/>
    <w:rsid w:val="00C83665"/>
    <w:rsid w:val="00C85DC7"/>
    <w:rsid w:val="00C87D7C"/>
    <w:rsid w:val="00C87DD1"/>
    <w:rsid w:val="00C956B0"/>
    <w:rsid w:val="00C97BFD"/>
    <w:rsid w:val="00CB501F"/>
    <w:rsid w:val="00CC4D61"/>
    <w:rsid w:val="00CC5B98"/>
    <w:rsid w:val="00CC75E2"/>
    <w:rsid w:val="00CD1E0D"/>
    <w:rsid w:val="00CD2C01"/>
    <w:rsid w:val="00CE1E02"/>
    <w:rsid w:val="00CE5CBA"/>
    <w:rsid w:val="00CF30C3"/>
    <w:rsid w:val="00CF3F21"/>
    <w:rsid w:val="00CF419A"/>
    <w:rsid w:val="00CF5568"/>
    <w:rsid w:val="00CF5930"/>
    <w:rsid w:val="00CF6F72"/>
    <w:rsid w:val="00D026BF"/>
    <w:rsid w:val="00D0294F"/>
    <w:rsid w:val="00D0746E"/>
    <w:rsid w:val="00D07DCA"/>
    <w:rsid w:val="00D12038"/>
    <w:rsid w:val="00D124DF"/>
    <w:rsid w:val="00D131F5"/>
    <w:rsid w:val="00D2021E"/>
    <w:rsid w:val="00D23CBA"/>
    <w:rsid w:val="00D258E5"/>
    <w:rsid w:val="00D30345"/>
    <w:rsid w:val="00D34AB9"/>
    <w:rsid w:val="00D40929"/>
    <w:rsid w:val="00D476EB"/>
    <w:rsid w:val="00D54935"/>
    <w:rsid w:val="00D559CF"/>
    <w:rsid w:val="00D56A39"/>
    <w:rsid w:val="00D60FC7"/>
    <w:rsid w:val="00D63FEB"/>
    <w:rsid w:val="00D672E8"/>
    <w:rsid w:val="00D700F4"/>
    <w:rsid w:val="00D708C4"/>
    <w:rsid w:val="00D75306"/>
    <w:rsid w:val="00D813E8"/>
    <w:rsid w:val="00D82D82"/>
    <w:rsid w:val="00D83713"/>
    <w:rsid w:val="00D916EA"/>
    <w:rsid w:val="00D9395F"/>
    <w:rsid w:val="00D944CB"/>
    <w:rsid w:val="00D95C54"/>
    <w:rsid w:val="00D974AC"/>
    <w:rsid w:val="00DA0791"/>
    <w:rsid w:val="00DA5D6B"/>
    <w:rsid w:val="00DB1391"/>
    <w:rsid w:val="00DB4524"/>
    <w:rsid w:val="00DC4091"/>
    <w:rsid w:val="00DC7F78"/>
    <w:rsid w:val="00DD0D56"/>
    <w:rsid w:val="00DD3C39"/>
    <w:rsid w:val="00DD752C"/>
    <w:rsid w:val="00DE3A08"/>
    <w:rsid w:val="00DE75E0"/>
    <w:rsid w:val="00DF2CB0"/>
    <w:rsid w:val="00DF398B"/>
    <w:rsid w:val="00DF4EE4"/>
    <w:rsid w:val="00DF5B36"/>
    <w:rsid w:val="00E002C2"/>
    <w:rsid w:val="00E11CDA"/>
    <w:rsid w:val="00E21DE3"/>
    <w:rsid w:val="00E2617C"/>
    <w:rsid w:val="00E3157A"/>
    <w:rsid w:val="00E33AC9"/>
    <w:rsid w:val="00E353B6"/>
    <w:rsid w:val="00E36917"/>
    <w:rsid w:val="00E43A4C"/>
    <w:rsid w:val="00E461CA"/>
    <w:rsid w:val="00E54582"/>
    <w:rsid w:val="00E56060"/>
    <w:rsid w:val="00E56ADA"/>
    <w:rsid w:val="00E57E1A"/>
    <w:rsid w:val="00E6556A"/>
    <w:rsid w:val="00E66F31"/>
    <w:rsid w:val="00E67D17"/>
    <w:rsid w:val="00E72A1F"/>
    <w:rsid w:val="00E7776A"/>
    <w:rsid w:val="00E77C9D"/>
    <w:rsid w:val="00E80E8C"/>
    <w:rsid w:val="00E825E8"/>
    <w:rsid w:val="00E830A7"/>
    <w:rsid w:val="00E936A8"/>
    <w:rsid w:val="00E93F44"/>
    <w:rsid w:val="00E96E5F"/>
    <w:rsid w:val="00EA326C"/>
    <w:rsid w:val="00EA5FA1"/>
    <w:rsid w:val="00EB08E9"/>
    <w:rsid w:val="00EB0C43"/>
    <w:rsid w:val="00EB18EF"/>
    <w:rsid w:val="00EB1E1B"/>
    <w:rsid w:val="00EC5AE1"/>
    <w:rsid w:val="00EC6373"/>
    <w:rsid w:val="00ED0CD8"/>
    <w:rsid w:val="00ED0D59"/>
    <w:rsid w:val="00ED256B"/>
    <w:rsid w:val="00EE22B5"/>
    <w:rsid w:val="00EE2CDD"/>
    <w:rsid w:val="00EE40C9"/>
    <w:rsid w:val="00EF1AEF"/>
    <w:rsid w:val="00F01D13"/>
    <w:rsid w:val="00F037E3"/>
    <w:rsid w:val="00F07802"/>
    <w:rsid w:val="00F130F6"/>
    <w:rsid w:val="00F2365B"/>
    <w:rsid w:val="00F25CBC"/>
    <w:rsid w:val="00F275AC"/>
    <w:rsid w:val="00F340B2"/>
    <w:rsid w:val="00F37C63"/>
    <w:rsid w:val="00F43106"/>
    <w:rsid w:val="00F47B89"/>
    <w:rsid w:val="00F50B79"/>
    <w:rsid w:val="00F52BC0"/>
    <w:rsid w:val="00F536B6"/>
    <w:rsid w:val="00F54752"/>
    <w:rsid w:val="00F54D6C"/>
    <w:rsid w:val="00F57E76"/>
    <w:rsid w:val="00F6073D"/>
    <w:rsid w:val="00F61A50"/>
    <w:rsid w:val="00F63E0A"/>
    <w:rsid w:val="00F643F9"/>
    <w:rsid w:val="00F65D19"/>
    <w:rsid w:val="00F675FF"/>
    <w:rsid w:val="00F67B8F"/>
    <w:rsid w:val="00F719A7"/>
    <w:rsid w:val="00F73D2D"/>
    <w:rsid w:val="00F748A4"/>
    <w:rsid w:val="00F767B6"/>
    <w:rsid w:val="00F80135"/>
    <w:rsid w:val="00F8703E"/>
    <w:rsid w:val="00F9188E"/>
    <w:rsid w:val="00FA0BA3"/>
    <w:rsid w:val="00FA7AE1"/>
    <w:rsid w:val="00FB4334"/>
    <w:rsid w:val="00FB5077"/>
    <w:rsid w:val="00FB775C"/>
    <w:rsid w:val="00FE0591"/>
    <w:rsid w:val="00FF61EC"/>
    <w:rsid w:val="00FF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14718"/>
  <w15:chartTrackingRefBased/>
  <w15:docId w15:val="{88B0A6EC-7918-4252-90FF-0B391E24F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3A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433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A4C"/>
    <w:rPr>
      <w:rFonts w:ascii="Times New Roman" w:eastAsia="Times New Roman" w:hAnsi="Times New Roman" w:cs="Times New Roman"/>
      <w:b/>
      <w:bCs/>
      <w:kern w:val="36"/>
      <w:sz w:val="48"/>
      <w:szCs w:val="48"/>
      <w:lang w:eastAsia="en-GB"/>
    </w:rPr>
  </w:style>
  <w:style w:type="paragraph" w:customStyle="1" w:styleId="xmsonospacing">
    <w:name w:val="x_msonospacing"/>
    <w:basedOn w:val="Normal"/>
    <w:rsid w:val="00E43A4C"/>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xmsonormal">
    <w:name w:val="x_msonormal"/>
    <w:basedOn w:val="Normal"/>
    <w:rsid w:val="00E43A4C"/>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xmsotocheading">
    <w:name w:val="x_msotocheading"/>
    <w:basedOn w:val="Normal"/>
    <w:rsid w:val="00E43A4C"/>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xmsotoc1">
    <w:name w:val="x_msotoc1"/>
    <w:basedOn w:val="Normal"/>
    <w:rsid w:val="00E43A4C"/>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43A4C"/>
    <w:rPr>
      <w:color w:val="0000FF"/>
      <w:u w:val="single"/>
    </w:rPr>
  </w:style>
  <w:style w:type="paragraph" w:customStyle="1" w:styleId="xmsolistparagraph">
    <w:name w:val="x_msolistparagraph"/>
    <w:basedOn w:val="Normal"/>
    <w:rsid w:val="00E43A4C"/>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EC5AE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EC5AE1"/>
    <w:pPr>
      <w:spacing w:after="100"/>
    </w:pPr>
  </w:style>
  <w:style w:type="character" w:customStyle="1" w:styleId="Heading2Char">
    <w:name w:val="Heading 2 Char"/>
    <w:basedOn w:val="DefaultParagraphFont"/>
    <w:link w:val="Heading2"/>
    <w:uiPriority w:val="9"/>
    <w:semiHidden/>
    <w:rsid w:val="0024330E"/>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4330E"/>
    <w:rPr>
      <w:color w:val="605E5C"/>
      <w:shd w:val="clear" w:color="auto" w:fill="E1DFDD"/>
    </w:rPr>
  </w:style>
  <w:style w:type="table" w:styleId="TableGrid">
    <w:name w:val="Table Grid"/>
    <w:basedOn w:val="TableNormal"/>
    <w:uiPriority w:val="39"/>
    <w:rsid w:val="007627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al6plv">
    <w:name w:val="fal6plv"/>
    <w:basedOn w:val="DefaultParagraphFont"/>
    <w:rsid w:val="007D204A"/>
  </w:style>
  <w:style w:type="paragraph" w:styleId="Header">
    <w:name w:val="header"/>
    <w:basedOn w:val="Normal"/>
    <w:link w:val="HeaderChar"/>
    <w:uiPriority w:val="99"/>
    <w:unhideWhenUsed/>
    <w:rsid w:val="00A34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8EE"/>
  </w:style>
  <w:style w:type="paragraph" w:styleId="Footer">
    <w:name w:val="footer"/>
    <w:basedOn w:val="Normal"/>
    <w:link w:val="FooterChar"/>
    <w:uiPriority w:val="99"/>
    <w:unhideWhenUsed/>
    <w:rsid w:val="00A34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50802">
      <w:bodyDiv w:val="1"/>
      <w:marLeft w:val="0"/>
      <w:marRight w:val="0"/>
      <w:marTop w:val="0"/>
      <w:marBottom w:val="0"/>
      <w:divBdr>
        <w:top w:val="none" w:sz="0" w:space="0" w:color="auto"/>
        <w:left w:val="none" w:sz="0" w:space="0" w:color="auto"/>
        <w:bottom w:val="none" w:sz="0" w:space="0" w:color="auto"/>
        <w:right w:val="none" w:sz="0" w:space="0" w:color="auto"/>
      </w:divBdr>
    </w:div>
    <w:div w:id="203640643">
      <w:bodyDiv w:val="1"/>
      <w:marLeft w:val="0"/>
      <w:marRight w:val="0"/>
      <w:marTop w:val="0"/>
      <w:marBottom w:val="0"/>
      <w:divBdr>
        <w:top w:val="none" w:sz="0" w:space="0" w:color="auto"/>
        <w:left w:val="none" w:sz="0" w:space="0" w:color="auto"/>
        <w:bottom w:val="none" w:sz="0" w:space="0" w:color="auto"/>
        <w:right w:val="none" w:sz="0" w:space="0" w:color="auto"/>
      </w:divBdr>
    </w:div>
    <w:div w:id="217016943">
      <w:bodyDiv w:val="1"/>
      <w:marLeft w:val="0"/>
      <w:marRight w:val="0"/>
      <w:marTop w:val="0"/>
      <w:marBottom w:val="0"/>
      <w:divBdr>
        <w:top w:val="none" w:sz="0" w:space="0" w:color="auto"/>
        <w:left w:val="none" w:sz="0" w:space="0" w:color="auto"/>
        <w:bottom w:val="none" w:sz="0" w:space="0" w:color="auto"/>
        <w:right w:val="none" w:sz="0" w:space="0" w:color="auto"/>
      </w:divBdr>
    </w:div>
    <w:div w:id="432096930">
      <w:bodyDiv w:val="1"/>
      <w:marLeft w:val="0"/>
      <w:marRight w:val="0"/>
      <w:marTop w:val="0"/>
      <w:marBottom w:val="0"/>
      <w:divBdr>
        <w:top w:val="none" w:sz="0" w:space="0" w:color="auto"/>
        <w:left w:val="none" w:sz="0" w:space="0" w:color="auto"/>
        <w:bottom w:val="none" w:sz="0" w:space="0" w:color="auto"/>
        <w:right w:val="none" w:sz="0" w:space="0" w:color="auto"/>
      </w:divBdr>
    </w:div>
    <w:div w:id="543907324">
      <w:bodyDiv w:val="1"/>
      <w:marLeft w:val="0"/>
      <w:marRight w:val="0"/>
      <w:marTop w:val="0"/>
      <w:marBottom w:val="0"/>
      <w:divBdr>
        <w:top w:val="none" w:sz="0" w:space="0" w:color="auto"/>
        <w:left w:val="none" w:sz="0" w:space="0" w:color="auto"/>
        <w:bottom w:val="none" w:sz="0" w:space="0" w:color="auto"/>
        <w:right w:val="none" w:sz="0" w:space="0" w:color="auto"/>
      </w:divBdr>
    </w:div>
    <w:div w:id="548105550">
      <w:bodyDiv w:val="1"/>
      <w:marLeft w:val="0"/>
      <w:marRight w:val="0"/>
      <w:marTop w:val="0"/>
      <w:marBottom w:val="0"/>
      <w:divBdr>
        <w:top w:val="none" w:sz="0" w:space="0" w:color="auto"/>
        <w:left w:val="none" w:sz="0" w:space="0" w:color="auto"/>
        <w:bottom w:val="none" w:sz="0" w:space="0" w:color="auto"/>
        <w:right w:val="none" w:sz="0" w:space="0" w:color="auto"/>
      </w:divBdr>
      <w:divsChild>
        <w:div w:id="1126771889">
          <w:marLeft w:val="0"/>
          <w:marRight w:val="0"/>
          <w:marTop w:val="0"/>
          <w:marBottom w:val="0"/>
          <w:divBdr>
            <w:top w:val="none" w:sz="0" w:space="0" w:color="auto"/>
            <w:left w:val="none" w:sz="0" w:space="0" w:color="auto"/>
            <w:bottom w:val="none" w:sz="0" w:space="0" w:color="auto"/>
            <w:right w:val="none" w:sz="0" w:space="0" w:color="auto"/>
          </w:divBdr>
        </w:div>
      </w:divsChild>
    </w:div>
    <w:div w:id="648678490">
      <w:bodyDiv w:val="1"/>
      <w:marLeft w:val="0"/>
      <w:marRight w:val="0"/>
      <w:marTop w:val="0"/>
      <w:marBottom w:val="0"/>
      <w:divBdr>
        <w:top w:val="none" w:sz="0" w:space="0" w:color="auto"/>
        <w:left w:val="none" w:sz="0" w:space="0" w:color="auto"/>
        <w:bottom w:val="none" w:sz="0" w:space="0" w:color="auto"/>
        <w:right w:val="none" w:sz="0" w:space="0" w:color="auto"/>
      </w:divBdr>
    </w:div>
    <w:div w:id="780149218">
      <w:bodyDiv w:val="1"/>
      <w:marLeft w:val="0"/>
      <w:marRight w:val="0"/>
      <w:marTop w:val="0"/>
      <w:marBottom w:val="0"/>
      <w:divBdr>
        <w:top w:val="none" w:sz="0" w:space="0" w:color="auto"/>
        <w:left w:val="none" w:sz="0" w:space="0" w:color="auto"/>
        <w:bottom w:val="none" w:sz="0" w:space="0" w:color="auto"/>
        <w:right w:val="none" w:sz="0" w:space="0" w:color="auto"/>
      </w:divBdr>
    </w:div>
    <w:div w:id="850336266">
      <w:bodyDiv w:val="1"/>
      <w:marLeft w:val="0"/>
      <w:marRight w:val="0"/>
      <w:marTop w:val="0"/>
      <w:marBottom w:val="0"/>
      <w:divBdr>
        <w:top w:val="none" w:sz="0" w:space="0" w:color="auto"/>
        <w:left w:val="none" w:sz="0" w:space="0" w:color="auto"/>
        <w:bottom w:val="none" w:sz="0" w:space="0" w:color="auto"/>
        <w:right w:val="none" w:sz="0" w:space="0" w:color="auto"/>
      </w:divBdr>
    </w:div>
    <w:div w:id="964310047">
      <w:bodyDiv w:val="1"/>
      <w:marLeft w:val="0"/>
      <w:marRight w:val="0"/>
      <w:marTop w:val="0"/>
      <w:marBottom w:val="0"/>
      <w:divBdr>
        <w:top w:val="none" w:sz="0" w:space="0" w:color="auto"/>
        <w:left w:val="none" w:sz="0" w:space="0" w:color="auto"/>
        <w:bottom w:val="none" w:sz="0" w:space="0" w:color="auto"/>
        <w:right w:val="none" w:sz="0" w:space="0" w:color="auto"/>
      </w:divBdr>
    </w:div>
    <w:div w:id="1128159240">
      <w:bodyDiv w:val="1"/>
      <w:marLeft w:val="0"/>
      <w:marRight w:val="0"/>
      <w:marTop w:val="0"/>
      <w:marBottom w:val="0"/>
      <w:divBdr>
        <w:top w:val="none" w:sz="0" w:space="0" w:color="auto"/>
        <w:left w:val="none" w:sz="0" w:space="0" w:color="auto"/>
        <w:bottom w:val="none" w:sz="0" w:space="0" w:color="auto"/>
        <w:right w:val="none" w:sz="0" w:space="0" w:color="auto"/>
      </w:divBdr>
    </w:div>
    <w:div w:id="1227836196">
      <w:bodyDiv w:val="1"/>
      <w:marLeft w:val="0"/>
      <w:marRight w:val="0"/>
      <w:marTop w:val="0"/>
      <w:marBottom w:val="0"/>
      <w:divBdr>
        <w:top w:val="none" w:sz="0" w:space="0" w:color="auto"/>
        <w:left w:val="none" w:sz="0" w:space="0" w:color="auto"/>
        <w:bottom w:val="none" w:sz="0" w:space="0" w:color="auto"/>
        <w:right w:val="none" w:sz="0" w:space="0" w:color="auto"/>
      </w:divBdr>
      <w:divsChild>
        <w:div w:id="862128641">
          <w:marLeft w:val="0"/>
          <w:marRight w:val="0"/>
          <w:marTop w:val="0"/>
          <w:marBottom w:val="0"/>
          <w:divBdr>
            <w:top w:val="single" w:sz="8" w:space="6" w:color="5B9BD5"/>
            <w:left w:val="none" w:sz="0" w:space="0" w:color="auto"/>
            <w:bottom w:val="single" w:sz="8" w:space="6" w:color="5B9BD5"/>
            <w:right w:val="none" w:sz="0" w:space="0" w:color="auto"/>
          </w:divBdr>
        </w:div>
        <w:div w:id="1535195353">
          <w:marLeft w:val="0"/>
          <w:marRight w:val="0"/>
          <w:marTop w:val="0"/>
          <w:marBottom w:val="0"/>
          <w:divBdr>
            <w:top w:val="none" w:sz="0" w:space="0" w:color="auto"/>
            <w:left w:val="none" w:sz="0" w:space="0" w:color="auto"/>
            <w:bottom w:val="none" w:sz="0" w:space="0" w:color="auto"/>
            <w:right w:val="none" w:sz="0" w:space="0" w:color="auto"/>
          </w:divBdr>
        </w:div>
      </w:divsChild>
    </w:div>
    <w:div w:id="1901400149">
      <w:bodyDiv w:val="1"/>
      <w:marLeft w:val="0"/>
      <w:marRight w:val="0"/>
      <w:marTop w:val="0"/>
      <w:marBottom w:val="0"/>
      <w:divBdr>
        <w:top w:val="none" w:sz="0" w:space="0" w:color="auto"/>
        <w:left w:val="none" w:sz="0" w:space="0" w:color="auto"/>
        <w:bottom w:val="none" w:sz="0" w:space="0" w:color="auto"/>
        <w:right w:val="none" w:sz="0" w:space="0" w:color="auto"/>
      </w:divBdr>
    </w:div>
    <w:div w:id="1908614334">
      <w:bodyDiv w:val="1"/>
      <w:marLeft w:val="0"/>
      <w:marRight w:val="0"/>
      <w:marTop w:val="0"/>
      <w:marBottom w:val="0"/>
      <w:divBdr>
        <w:top w:val="none" w:sz="0" w:space="0" w:color="auto"/>
        <w:left w:val="none" w:sz="0" w:space="0" w:color="auto"/>
        <w:bottom w:val="none" w:sz="0" w:space="0" w:color="auto"/>
        <w:right w:val="none" w:sz="0" w:space="0" w:color="auto"/>
      </w:divBdr>
    </w:div>
    <w:div w:id="197880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doi.org/10.1016/j.ijhm.2020.10270"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hilton.com/en/p/bran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D:\Student%20services\Study%20Skills%20classes\William%20Thopre%20line%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Student%20services\Study%20Skills%20classes\William%20Thopre%20line%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Student%20services\Study%20Skills%20classes\William%20Thopre%20line%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Student%20services\Study%20Skills%20classes\William%20Thopre%20line%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Student%20services\Study%20Skills%20classes\William%20Thopre%20line%20graph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Sheet1!$K$3</c:f>
              <c:strCache>
                <c:ptCount val="1"/>
                <c:pt idx="0">
                  <c:v>Gross profit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Sheet1!$L$2:$M$2</c:f>
              <c:numCache>
                <c:formatCode>General</c:formatCode>
                <c:ptCount val="2"/>
                <c:pt idx="0">
                  <c:v>2020</c:v>
                </c:pt>
                <c:pt idx="1">
                  <c:v>2019</c:v>
                </c:pt>
              </c:numCache>
            </c:numRef>
          </c:cat>
          <c:val>
            <c:numRef>
              <c:f>Sheet1!$L$3:$M$3</c:f>
              <c:numCache>
                <c:formatCode>#,##0</c:formatCode>
                <c:ptCount val="2"/>
                <c:pt idx="0">
                  <c:v>583000</c:v>
                </c:pt>
                <c:pt idx="1">
                  <c:v>2435000</c:v>
                </c:pt>
              </c:numCache>
            </c:numRef>
          </c:val>
          <c:extLst>
            <c:ext xmlns:c16="http://schemas.microsoft.com/office/drawing/2014/chart" uri="{C3380CC4-5D6E-409C-BE32-E72D297353CC}">
              <c16:uniqueId val="{00000000-E2A9-4145-A9FF-F20AF5C66A6C}"/>
            </c:ext>
          </c:extLst>
        </c:ser>
        <c:ser>
          <c:idx val="1"/>
          <c:order val="1"/>
          <c:tx>
            <c:strRef>
              <c:f>Sheet1!$K$4</c:f>
              <c:strCache>
                <c:ptCount val="1"/>
                <c:pt idx="0">
                  <c:v>Net Income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Sheet1!$L$2:$M$2</c:f>
              <c:numCache>
                <c:formatCode>General</c:formatCode>
                <c:ptCount val="2"/>
                <c:pt idx="0">
                  <c:v>2020</c:v>
                </c:pt>
                <c:pt idx="1">
                  <c:v>2019</c:v>
                </c:pt>
              </c:numCache>
            </c:numRef>
          </c:cat>
          <c:val>
            <c:numRef>
              <c:f>Sheet1!$L$4:$M$4</c:f>
              <c:numCache>
                <c:formatCode>#,##0</c:formatCode>
                <c:ptCount val="2"/>
                <c:pt idx="0">
                  <c:v>-715000</c:v>
                </c:pt>
                <c:pt idx="1">
                  <c:v>881000</c:v>
                </c:pt>
              </c:numCache>
            </c:numRef>
          </c:val>
          <c:extLst>
            <c:ext xmlns:c16="http://schemas.microsoft.com/office/drawing/2014/chart" uri="{C3380CC4-5D6E-409C-BE32-E72D297353CC}">
              <c16:uniqueId val="{00000001-E2A9-4145-A9FF-F20AF5C66A6C}"/>
            </c:ext>
          </c:extLst>
        </c:ser>
        <c:dLbls>
          <c:dLblPos val="inEnd"/>
          <c:showLegendKey val="0"/>
          <c:showVal val="1"/>
          <c:showCatName val="0"/>
          <c:showSerName val="0"/>
          <c:showPercent val="0"/>
          <c:showBubbleSize val="0"/>
        </c:dLbls>
        <c:gapWidth val="65"/>
        <c:axId val="87777119"/>
        <c:axId val="124969871"/>
      </c:barChart>
      <c:catAx>
        <c:axId val="877771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4969871"/>
        <c:crosses val="autoZero"/>
        <c:auto val="1"/>
        <c:lblAlgn val="ctr"/>
        <c:lblOffset val="100"/>
        <c:noMultiLvlLbl val="0"/>
      </c:catAx>
      <c:valAx>
        <c:axId val="12496987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87777119"/>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Income Before Taxes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v>2020</c:v>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Sheet1!#REF!</c:f>
              <c:numCache>
                <c:formatCode>General</c:formatCode>
                <c:ptCount val="1"/>
                <c:pt idx="0">
                  <c:v>1</c:v>
                </c:pt>
              </c:numCache>
            </c:numRef>
          </c:val>
          <c:extLst>
            <c:ext xmlns:c16="http://schemas.microsoft.com/office/drawing/2014/chart" uri="{C3380CC4-5D6E-409C-BE32-E72D297353CC}">
              <c16:uniqueId val="{00000000-A1F9-4D72-9958-44F3FE87AAFD}"/>
            </c:ext>
          </c:extLst>
        </c:ser>
        <c:ser>
          <c:idx val="1"/>
          <c:order val="1"/>
          <c:tx>
            <c:v>2019</c:v>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Sheet1!#REF!</c:f>
              <c:numCache>
                <c:formatCode>General</c:formatCode>
                <c:ptCount val="1"/>
                <c:pt idx="0">
                  <c:v>1</c:v>
                </c:pt>
              </c:numCache>
            </c:numRef>
          </c:val>
          <c:extLst>
            <c:ext xmlns:c16="http://schemas.microsoft.com/office/drawing/2014/chart" uri="{C3380CC4-5D6E-409C-BE32-E72D297353CC}">
              <c16:uniqueId val="{00000001-A1F9-4D72-9958-44F3FE87AAFD}"/>
            </c:ext>
          </c:extLst>
        </c:ser>
        <c:dLbls>
          <c:dLblPos val="inEnd"/>
          <c:showLegendKey val="0"/>
          <c:showVal val="1"/>
          <c:showCatName val="0"/>
          <c:showSerName val="0"/>
          <c:showPercent val="0"/>
          <c:showBubbleSize val="0"/>
        </c:dLbls>
        <c:gapWidth val="65"/>
        <c:axId val="211813359"/>
        <c:axId val="211812527"/>
      </c:barChart>
      <c:catAx>
        <c:axId val="211813359"/>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1812527"/>
        <c:crosses val="autoZero"/>
        <c:auto val="1"/>
        <c:lblAlgn val="ctr"/>
        <c:lblOffset val="100"/>
        <c:noMultiLvlLbl val="0"/>
      </c:catAx>
      <c:valAx>
        <c:axId val="21181252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11813359"/>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Liquid Ratio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v>2020</c:v>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Sheet1!$C$51</c:f>
              <c:numCache>
                <c:formatCode>#,##0</c:formatCode>
                <c:ptCount val="1"/>
                <c:pt idx="0">
                  <c:v>3014000</c:v>
                </c:pt>
              </c:numCache>
            </c:numRef>
          </c:val>
          <c:extLst>
            <c:ext xmlns:c16="http://schemas.microsoft.com/office/drawing/2014/chart" uri="{C3380CC4-5D6E-409C-BE32-E72D297353CC}">
              <c16:uniqueId val="{00000000-5FE3-4FC8-8F1B-3C7A6C631A19}"/>
            </c:ext>
          </c:extLst>
        </c:ser>
        <c:ser>
          <c:idx val="1"/>
          <c:order val="1"/>
          <c:tx>
            <c:v>2019</c:v>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Sheet1!$C$52</c:f>
              <c:numCache>
                <c:formatCode>#,##0</c:formatCode>
                <c:ptCount val="1"/>
                <c:pt idx="0">
                  <c:v>4866000</c:v>
                </c:pt>
              </c:numCache>
            </c:numRef>
          </c:val>
          <c:extLst>
            <c:ext xmlns:c16="http://schemas.microsoft.com/office/drawing/2014/chart" uri="{C3380CC4-5D6E-409C-BE32-E72D297353CC}">
              <c16:uniqueId val="{00000001-5FE3-4FC8-8F1B-3C7A6C631A19}"/>
            </c:ext>
          </c:extLst>
        </c:ser>
        <c:dLbls>
          <c:dLblPos val="inEnd"/>
          <c:showLegendKey val="0"/>
          <c:showVal val="1"/>
          <c:showCatName val="0"/>
          <c:showSerName val="0"/>
          <c:showPercent val="0"/>
          <c:showBubbleSize val="0"/>
        </c:dLbls>
        <c:gapWidth val="65"/>
        <c:axId val="365712927"/>
        <c:axId val="365713759"/>
      </c:barChart>
      <c:catAx>
        <c:axId val="365712927"/>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65713759"/>
        <c:crosses val="autoZero"/>
        <c:auto val="1"/>
        <c:lblAlgn val="ctr"/>
        <c:lblOffset val="100"/>
        <c:noMultiLvlLbl val="0"/>
      </c:catAx>
      <c:valAx>
        <c:axId val="36571375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365712927"/>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areaChart>
        <c:grouping val="standard"/>
        <c:varyColors val="0"/>
        <c:ser>
          <c:idx val="0"/>
          <c:order val="0"/>
          <c:tx>
            <c:strRef>
              <c:f>Sheet1!$E$87</c:f>
              <c:strCache>
                <c:ptCount val="1"/>
                <c:pt idx="0">
                  <c:v>Interest Cover Ratio</c:v>
                </c:pt>
              </c:strCache>
            </c:strRef>
          </c:tx>
          <c:spPr>
            <a:solidFill>
              <a:schemeClr val="accent1">
                <a:alpha val="85000"/>
              </a:schemeClr>
            </a:solidFill>
            <a:ln>
              <a:noFill/>
            </a:ln>
            <a:effectLst>
              <a:innerShdw dist="12700" dir="16200000">
                <a:schemeClr val="lt1"/>
              </a:innerShdw>
            </a:effectLst>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Sheet1!$F$86:$G$86</c:f>
              <c:numCache>
                <c:formatCode>General</c:formatCode>
                <c:ptCount val="2"/>
                <c:pt idx="0">
                  <c:v>2020</c:v>
                </c:pt>
                <c:pt idx="1">
                  <c:v>2019</c:v>
                </c:pt>
              </c:numCache>
            </c:numRef>
          </c:cat>
          <c:val>
            <c:numRef>
              <c:f>Sheet1!$F$87:$G$87</c:f>
              <c:numCache>
                <c:formatCode>0%</c:formatCode>
                <c:ptCount val="2"/>
                <c:pt idx="0" formatCode="0.00%">
                  <c:v>-2.1499999999999998E-2</c:v>
                </c:pt>
                <c:pt idx="1">
                  <c:v>0.03</c:v>
                </c:pt>
              </c:numCache>
            </c:numRef>
          </c:val>
          <c:extLst>
            <c:ext xmlns:c16="http://schemas.microsoft.com/office/drawing/2014/chart" uri="{C3380CC4-5D6E-409C-BE32-E72D297353CC}">
              <c16:uniqueId val="{00000000-BA8E-4147-AACD-F16176D30CBE}"/>
            </c:ext>
          </c:extLst>
        </c:ser>
        <c:dLbls>
          <c:showLegendKey val="0"/>
          <c:showVal val="1"/>
          <c:showCatName val="0"/>
          <c:showSerName val="0"/>
          <c:showPercent val="0"/>
          <c:showBubbleSize val="0"/>
        </c:dLbls>
        <c:axId val="384125535"/>
        <c:axId val="384122207"/>
      </c:areaChart>
      <c:catAx>
        <c:axId val="38412553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84122207"/>
        <c:crosses val="autoZero"/>
        <c:auto val="1"/>
        <c:lblAlgn val="ctr"/>
        <c:lblOffset val="100"/>
        <c:noMultiLvlLbl val="0"/>
      </c:catAx>
      <c:valAx>
        <c:axId val="38412220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84125535"/>
        <c:crosses val="autoZero"/>
        <c:crossBetween val="midCat"/>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Working</a:t>
            </a:r>
            <a:r>
              <a:rPr lang="en-GB" baseline="0"/>
              <a:t> Capital Turnover Index</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Sheet1!$B$99</c:f>
              <c:strCache>
                <c:ptCount val="1"/>
                <c:pt idx="0">
                  <c:v>2019</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Sheet1!$A$100:$A$109</c:f>
              <c:strCache>
                <c:ptCount val="8"/>
                <c:pt idx="0">
                  <c:v>Working Capital turnover </c:v>
                </c:pt>
                <c:pt idx="4">
                  <c:v>Total Assets Turnover</c:v>
                </c:pt>
                <c:pt idx="7">
                  <c:v>Stock Turnover Ratio</c:v>
                </c:pt>
              </c:strCache>
            </c:strRef>
          </c:cat>
          <c:val>
            <c:numRef>
              <c:f>Sheet1!$B$100:$B$109</c:f>
              <c:numCache>
                <c:formatCode>General</c:formatCode>
                <c:ptCount val="10"/>
                <c:pt idx="0">
                  <c:v>4.5199999999999996</c:v>
                </c:pt>
                <c:pt idx="4">
                  <c:v>0.78</c:v>
                </c:pt>
                <c:pt idx="7">
                  <c:v>0</c:v>
                </c:pt>
              </c:numCache>
            </c:numRef>
          </c:val>
          <c:extLst>
            <c:ext xmlns:c16="http://schemas.microsoft.com/office/drawing/2014/chart" uri="{C3380CC4-5D6E-409C-BE32-E72D297353CC}">
              <c16:uniqueId val="{00000000-4C98-4A59-AA50-9510B663FFB1}"/>
            </c:ext>
          </c:extLst>
        </c:ser>
        <c:ser>
          <c:idx val="1"/>
          <c:order val="1"/>
          <c:tx>
            <c:strRef>
              <c:f>Sheet1!$C$99</c:f>
              <c:strCache>
                <c:ptCount val="1"/>
                <c:pt idx="0">
                  <c:v>2020</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Sheet1!$A$100:$A$109</c:f>
              <c:strCache>
                <c:ptCount val="8"/>
                <c:pt idx="0">
                  <c:v>Working Capital turnover </c:v>
                </c:pt>
                <c:pt idx="4">
                  <c:v>Total Assets Turnover</c:v>
                </c:pt>
                <c:pt idx="7">
                  <c:v>Stock Turnover Ratio</c:v>
                </c:pt>
              </c:strCache>
            </c:strRef>
          </c:cat>
          <c:val>
            <c:numRef>
              <c:f>Sheet1!$C$100:$C$109</c:f>
              <c:numCache>
                <c:formatCode>General</c:formatCode>
                <c:ptCount val="10"/>
                <c:pt idx="0">
                  <c:v>1.02</c:v>
                </c:pt>
                <c:pt idx="4">
                  <c:v>0.3</c:v>
                </c:pt>
                <c:pt idx="7">
                  <c:v>0</c:v>
                </c:pt>
              </c:numCache>
            </c:numRef>
          </c:val>
          <c:extLst>
            <c:ext xmlns:c16="http://schemas.microsoft.com/office/drawing/2014/chart" uri="{C3380CC4-5D6E-409C-BE32-E72D297353CC}">
              <c16:uniqueId val="{00000001-4C98-4A59-AA50-9510B663FFB1}"/>
            </c:ext>
          </c:extLst>
        </c:ser>
        <c:dLbls>
          <c:dLblPos val="outEnd"/>
          <c:showLegendKey val="0"/>
          <c:showVal val="1"/>
          <c:showCatName val="0"/>
          <c:showSerName val="0"/>
          <c:showPercent val="0"/>
          <c:showBubbleSize val="0"/>
        </c:dLbls>
        <c:gapWidth val="65"/>
        <c:axId val="384117631"/>
        <c:axId val="384107231"/>
      </c:barChart>
      <c:catAx>
        <c:axId val="384117631"/>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84107231"/>
        <c:crosses val="autoZero"/>
        <c:auto val="1"/>
        <c:lblAlgn val="ctr"/>
        <c:lblOffset val="100"/>
        <c:noMultiLvlLbl val="0"/>
      </c:catAx>
      <c:valAx>
        <c:axId val="384107231"/>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84117631"/>
        <c:crosses val="autoZero"/>
        <c:crossBetween val="between"/>
      </c:valAx>
      <c:spPr>
        <a:noFill/>
        <a:ln>
          <a:solidFill>
            <a:schemeClr val="tx1"/>
          </a:solid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79">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65000"/>
        <a:lumOff val="35000"/>
      </a:schemeClr>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
  <cs:dataPoint3D>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0E31D4-B03A-474F-9811-D96EFF5E2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19</Pages>
  <Words>3007</Words>
  <Characters>17142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William Thorpe</cp:lastModifiedBy>
  <cp:revision>631</cp:revision>
  <dcterms:created xsi:type="dcterms:W3CDTF">2022-09-27T17:41:00Z</dcterms:created>
  <dcterms:modified xsi:type="dcterms:W3CDTF">2022-11-18T13:06:00Z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471d517981f1c058c68373788f021257a6d8bc03df6e8feb4f8e2b7a21f1bda2</vt:lpwstr>
  </property>
</Properties>
</file>