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LEVEL 6 ASSESSMENT SPECIFICATION</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Alina Radoi</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ID number:2126976</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 International Hotel Management</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Managing Food &amp; Beverage Operations</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code: BMIH6002 </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Lecturer: Ka Po Chong</w:t>
      </w: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Assignment Title: Student Learning Log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48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Food and Beverage (F&amp;B) department of the Mercure Hotel in Bedford is well-managed and very robust in catering to different guests ranging from business travellers, families, and tourists(all.accor.com, 2024). The rooms are catered for by a big operation of this hotel, including a full-service restaurant with a mixture of both local and international dishes. The elegant bar offers beverages and light snacks, plus comprehensive room service that ensures quality dining experience for guests from the confines of their rooms. Regarding these factors, this would mean that the service standards of the department were stern but with proper detail for easy exchange between the staff and guests. The team was prepared and geared up to serve at the highest capacity during the peak times but was very personable and efficient about it. Quality and service cannot be compromised; they remain a very important characteristic that can be used in defending why a hotel may offer great experiences to their guests (Walker, 2021). </w:t>
      </w:r>
    </w:p>
    <w:p>
      <w:pPr>
        <w:keepNext w:val="true"/>
        <w:keepLines w:val="true"/>
        <w:spacing w:before="48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Learning Objectives for the Placement</w:t>
      </w:r>
    </w:p>
    <w:p>
      <w:pPr>
        <w:numPr>
          <w:ilvl w:val="0"/>
          <w:numId w:val="6"/>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Prepare for practice in management and operations.</w:t>
      </w:r>
    </w:p>
    <w:p>
      <w:pPr>
        <w:numPr>
          <w:ilvl w:val="0"/>
          <w:numId w:val="6"/>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Understand the supervisor role and responsibility in F&amp;B.</w:t>
      </w:r>
    </w:p>
    <w:p>
      <w:pPr>
        <w:numPr>
          <w:ilvl w:val="0"/>
          <w:numId w:val="6"/>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Good communication, team working, and problem solving skills.</w:t>
      </w:r>
    </w:p>
    <w:p>
      <w:pPr>
        <w:numPr>
          <w:ilvl w:val="0"/>
          <w:numId w:val="6"/>
        </w:numPr>
        <w:spacing w:before="0" w:after="160" w:line="360"/>
        <w:ind w:right="0" w:left="36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Technical knowledge regarding food service standards as well as guest interaction.</w:t>
      </w:r>
    </w:p>
    <w:p>
      <w:pPr>
        <w:keepNext w:val="true"/>
        <w:keepLines w:val="true"/>
        <w:spacing w:before="48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Gibbs Reflective Cycle</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Gibbs Reflective Cycle is a reflection format adapted by Graham Gibbs in 1988. It has six stages: Description in which the happening is described, Feelings which look at reactions emotionally, Evaluation that reflects on what was good or difficult about the experience, Analysis, where learning takes place, Conclusion, which summarises the learning points and then an Action Plan, explaining how to improve or handle the situation in the next attempt (The University of Edinburgh, 2020). The importance of this cycle lies on the fact that is applied to have an all-inclusive approach toward the learning process, teaching people not only to count their experiences but also to involve themselves in a critical process that brings professional and personal development. Learners then can understand their reactions during the movement of each cycle, identify learning points in them, and make their plans for future improvement (Adeani, Febriani and Syafryadin, 2020). Using Gibbs' model, the reflection log can correctly and appropriately analyse experiences at Mercure Hotel for a greater understanding and applicable insight in relation to future roles in the hospitality sector.</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Description</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Outline of Supervisory Shadowing Experience</w:t>
      </w:r>
    </w:p>
    <w:p>
      <w:pPr>
        <w:spacing w:before="100" w:after="10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working at the Mercure Hotel, I was allowed to follow the evening supervisor. This is an important aspect of the management of dinner services. It begins with pre-service meetings where the supervisor gives the goals for the shift, assigns tasks to the members of staff, and predicts any issues that may come up during service. The meetings give the team a direction and emphasise communication and cohesion. I noted with keen interest how the supervisor accomplishes this effortless continuation of service flow with coordination of the right food preparation time with the kitchen and any bottleneck hastily adjusted. During the changeover process, I saw how the manager could work with the members of the team, motivate employees, and solve real-time issues about seating and special guest requests. An analysis of post-service consisted of opinions of operations reviews: what worked well and what did not. This broad-based observation allows me to delve so much deeper into leadership, task management, and guest service (Cousins and Weekes, 2020).</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Feelings</w:t>
      </w:r>
    </w:p>
    <w:p>
      <w:pPr>
        <w:keepNext w:val="true"/>
        <w:keepLines w:val="true"/>
        <w:spacing w:before="40" w:after="0" w:line="360"/>
        <w:ind w:right="0" w:left="0" w:firstLine="0"/>
        <w:jc w:val="both"/>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Initial Emotions and Reactions to the Experience</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the beginning of my placement, I was nervous yet excited to be exposed to an environment that would put me to the test regarding quick thinking and the necessity for high adaptability. The dinner service, at times, was highly dynamic, with sudden changes in orders at times that created bottlenecks in workflow, testing my composure at times. The very first stage tested my urgency of response, thinking and reflection in ensuring that customer needs were met without diminished service quality. This pressured setting was challenging and daunting for most times, forcing one to be observant but also proactive. It was possible to get quite familiar with the routines and dynamics of the team over time. That helped me gain confidence by understanding the nuances of communication and task management, being able to anticipate issues, and respond more effectively. This grew my ability to handle more complex situations with poise and strategic problem-solving-abilities that I could take and apply to support the team (Hagg, 2013).</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Evaluation</w:t>
      </w:r>
    </w:p>
    <w:p>
      <w:pPr>
        <w:keepNext w:val="true"/>
        <w:keepLines w:val="true"/>
        <w:spacing w:before="40" w:after="0" w:line="360"/>
        <w:ind w:right="0" w:left="0" w:firstLine="0"/>
        <w:jc w:val="both"/>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Positive Aspects of the Experience</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Seeing how the result of good communication and teamwork can be the most rewarding was a highlight of my placement experience. The supervisor held pre-service meetings, which were very important in setting expectations and preparing the team for potential challenges during service. That preparedness ensured there was no room for miscommunication about service or its scope. The supervisor was moving the team to higher levels of motivation during peak times, which stayed inspiring. They provided clear directives at the same time that they were espousing teamwork and mutual supporting of teammates. Observing this scenario only deepened my opinion that superior service is based on efficient teamwork and effective communication. Service was improved as well as giving a culture of trust and cooperation to employees (Cousins and Weekes, 2020).</w:t>
      </w:r>
    </w:p>
    <w:p>
      <w:pPr>
        <w:keepNext w:val="true"/>
        <w:keepLines w:val="true"/>
        <w:spacing w:before="40" w:after="0" w:line="360"/>
        <w:ind w:right="0" w:left="0" w:firstLine="0"/>
        <w:jc w:val="both"/>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Challenges Faced</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Learning to understand the entire depth of the SOPs that have been provided was highly challenging. The coordination of staff, shift management, and high standard guest service were highly challenge multitasks requiring situational awareness. It became complicated to balance the delivery against established protocols especially when sometimes unpredictable issues like a complaint by a guest popped-up. Handling such complaints entails a lot of effort on my part, while professionally and composedly maintaining and upholding professionalism and composure is what tested my endurance and adaptability. The experience and strategic thinking required in managing such complex F&amp;B operations became apparent through the supervisor's ability to rapidly resolve these issues while still keeping the service running effectively (Vallen and Vallen, 2013).</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Analysis</w:t>
      </w:r>
    </w:p>
    <w:p>
      <w:pPr>
        <w:keepNext w:val="true"/>
        <w:keepLines w:val="true"/>
        <w:spacing w:before="40" w:after="0" w:line="360"/>
        <w:ind w:right="0" w:left="0" w:firstLine="0"/>
        <w:jc w:val="both"/>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Insights Gained About Work-Based Skills and Technical Knowledge</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my placement, I concluded that good communication between units plays an important role, especially during operations. Efficient management of special requests takes place within the kitchen unit and F&amp;B as service is not delayed for particular requests. Adaptability along with swift thinking characterise this experience. For example, when a VVIP guest asked for a specific dish that was not on the menu, the coordinator's prompt arrangement with the chef to have an alternative prepared was the epitome of problem-solving skills (Cousins and Weekes, 2020).</w:t>
      </w:r>
    </w:p>
    <w:p>
      <w:pPr>
        <w:keepNext w:val="true"/>
        <w:keepLines w:val="true"/>
        <w:spacing w:before="40" w:after="0" w:line="360"/>
        <w:ind w:right="0" w:left="0" w:firstLine="0"/>
        <w:jc w:val="both"/>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Connection to Guest Service Standards and Theoretical Frameworks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placement re-iterated the work-based skills that comprise task management, active listening, and clear communication to meet guest service standards. Walker (2021) states that good service is founded on proactive coordination and team synergy, which really resonated with me. Herzberg's Two-Factor Theory also comes to mind when thinking about the requirement for adequate support from staff; good working conditions and team morale greatly influence performance (Taylor, 1969).</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Conclusion</w:t>
      </w:r>
    </w:p>
    <w:p>
      <w:pPr>
        <w:keepNext w:val="true"/>
        <w:keepLines w:val="true"/>
        <w:spacing w:before="40" w:after="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Summary of Key Learnings and Overall Reflections</w:t>
      </w:r>
    </w:p>
    <w:p>
      <w:pPr>
        <w:spacing w:before="0" w:after="16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placement experience gave me the entire perspective of how F&amp;B operations are run in the supervisory level. It brought out the fact that good communication and task management coupled with adaptability are necessary to maintain service quality. This exposure to routine activities and the unexpected twist made me understand leadership in the hospitality industry better. I also learned that building strong relationships within the team created a supportive environment that can directly be translated into better guest experiences (O’fallon and Rutherford, 2020). </w:t>
      </w:r>
    </w:p>
    <w:p>
      <w:pPr>
        <w:keepNext w:val="true"/>
        <w:keepLines w:val="true"/>
        <w:spacing w:before="360" w:after="80" w:line="240"/>
        <w:ind w:right="0" w:left="0" w:firstLine="0"/>
        <w:jc w:val="left"/>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Action Plan</w:t>
      </w:r>
    </w:p>
    <w:p>
      <w:pPr>
        <w:keepNext w:val="true"/>
        <w:keepLines w:val="true"/>
        <w:spacing w:before="40" w:after="0" w:line="360"/>
        <w:ind w:right="0" w:left="0" w:firstLine="0"/>
        <w:jc w:val="both"/>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Steps for Future Professional Practice</w:t>
      </w:r>
    </w:p>
    <w:p>
      <w:pPr>
        <w:spacing w:before="100" w:after="10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these experiences, I will focus on developing my leadership skills by attending workshops on the resolution of conflicts and the effective communication that should prevail among team members. Familiarity with scheduling software would be crucial to prepare in advance for the challenges involved in staffing. Regular sessions of feedback with peers and supervisors will help me build on my problem-solving capabilities (Wood, 2013). </w:t>
      </w:r>
    </w:p>
    <w:p>
      <w:pPr>
        <w:keepNext w:val="true"/>
        <w:keepLines w:val="true"/>
        <w:spacing w:before="40" w:after="0" w:line="360"/>
        <w:ind w:right="0" w:left="0" w:firstLine="0"/>
        <w:jc w:val="both"/>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i/>
          <w:color w:val="000000"/>
          <w:spacing w:val="0"/>
          <w:position w:val="0"/>
          <w:sz w:val="24"/>
          <w:shd w:fill="auto" w:val="clear"/>
        </w:rPr>
        <w:t xml:space="preserve">Plan for Further Growth</w:t>
      </w:r>
    </w:p>
    <w:p>
      <w:pPr>
        <w:spacing w:before="100" w:after="100" w:line="360"/>
        <w:ind w:right="0" w:left="0" w:firstLine="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More on-hand positions and leadership positions allowing me to manage smaller groups while working to better hone my skills to effectively deal with pressure situations, including being updated with current industry trends by reading publications like International Journal of Contemporary Hospitality Management, webinars that I feel apply, and networking events (Wood, 2013).</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120" w:line="24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Adeani, I.S., Febriani, R.B. and Syafryadin, S. (2020). Using Gibbs’ Reflective Cycle in Making Reflections of Literary Analysis. </w:t>
      </w:r>
      <w:r>
        <w:rPr>
          <w:rFonts w:ascii="Times New Roman" w:hAnsi="Times New Roman" w:cs="Times New Roman" w:eastAsia="Times New Roman"/>
          <w:i/>
          <w:color w:val="auto"/>
          <w:spacing w:val="0"/>
          <w:position w:val="0"/>
          <w:sz w:val="24"/>
          <w:shd w:fill="auto" w:val="clear"/>
        </w:rPr>
        <w:t xml:space="preserve">Indonesian EFL Journal</w:t>
      </w:r>
      <w:r>
        <w:rPr>
          <w:rFonts w:ascii="Times New Roman" w:hAnsi="Times New Roman" w:cs="Times New Roman" w:eastAsia="Times New Roman"/>
          <w:color w:val="auto"/>
          <w:spacing w:val="0"/>
          <w:position w:val="0"/>
          <w:sz w:val="24"/>
          <w:shd w:fill="auto" w:val="clear"/>
        </w:rPr>
        <w:t xml:space="preserve">, 6(2), pp.139</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148.</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all.accor.com. (2024). </w:t>
      </w:r>
      <w:r>
        <w:rPr>
          <w:rFonts w:ascii="Times New Roman" w:hAnsi="Times New Roman" w:cs="Times New Roman" w:eastAsia="Times New Roman"/>
          <w:i/>
          <w:color w:val="auto"/>
          <w:spacing w:val="0"/>
          <w:position w:val="0"/>
          <w:sz w:val="24"/>
          <w:shd w:fill="auto" w:val="clear"/>
        </w:rPr>
        <w:t xml:space="preserve">Bedford Hotels | Hotels in Bedford Town Centre | Accor - ALL</w:t>
      </w:r>
      <w:r>
        <w:rPr>
          <w:rFonts w:ascii="Times New Roman" w:hAnsi="Times New Roman" w:cs="Times New Roman" w:eastAsia="Times New Roman"/>
          <w:color w:val="auto"/>
          <w:spacing w:val="0"/>
          <w:position w:val="0"/>
          <w:sz w:val="24"/>
          <w:shd w:fill="auto" w:val="clear"/>
        </w:rPr>
        <w:t xml:space="preserve">. [online]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https://all.accor.com/hotel/B541/index.en.shtml</w:t>
        </w:r>
      </w:hyperlink>
      <w:r>
        <w:rPr>
          <w:rFonts w:ascii="Times New Roman" w:hAnsi="Times New Roman" w:cs="Times New Roman" w:eastAsia="Times New Roman"/>
          <w:color w:val="auto"/>
          <w:spacing w:val="0"/>
          <w:position w:val="0"/>
          <w:sz w:val="24"/>
          <w:shd w:fill="auto" w:val="clear"/>
        </w:rPr>
        <w:t xml:space="preserve">.</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Berners, P. and Martin, A. (2022). </w:t>
      </w:r>
      <w:r>
        <w:rPr>
          <w:rFonts w:ascii="Times New Roman" w:hAnsi="Times New Roman" w:cs="Times New Roman" w:eastAsia="Times New Roman"/>
          <w:i/>
          <w:color w:val="auto"/>
          <w:spacing w:val="0"/>
          <w:position w:val="0"/>
          <w:sz w:val="24"/>
          <w:shd w:fill="auto" w:val="clear"/>
        </w:rPr>
        <w:t xml:space="preserve">The Practical Guide to Achieving Customer Satisfaction in Events and Hotels</w:t>
      </w:r>
      <w:r>
        <w:rPr>
          <w:rFonts w:ascii="Times New Roman" w:hAnsi="Times New Roman" w:cs="Times New Roman" w:eastAsia="Times New Roman"/>
          <w:color w:val="auto"/>
          <w:spacing w:val="0"/>
          <w:position w:val="0"/>
          <w:sz w:val="24"/>
          <w:shd w:fill="auto" w:val="clear"/>
        </w:rPr>
        <w:t xml:space="preserve">. doi:https://doi.org/10.4324/9781003154600.</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Cousins, J.A. and Weekes, S. (2020). </w:t>
      </w:r>
      <w:r>
        <w:rPr>
          <w:rFonts w:ascii="Times New Roman" w:hAnsi="Times New Roman" w:cs="Times New Roman" w:eastAsia="Times New Roman"/>
          <w:i/>
          <w:color w:val="auto"/>
          <w:spacing w:val="0"/>
          <w:position w:val="0"/>
          <w:sz w:val="24"/>
          <w:shd w:fill="auto" w:val="clear"/>
        </w:rPr>
        <w:t xml:space="preserve">Food and beverage service.</w:t>
      </w:r>
      <w:r>
        <w:rPr>
          <w:rFonts w:ascii="Times New Roman" w:hAnsi="Times New Roman" w:cs="Times New Roman" w:eastAsia="Times New Roman"/>
          <w:color w:val="auto"/>
          <w:spacing w:val="0"/>
          <w:position w:val="0"/>
          <w:sz w:val="24"/>
          <w:shd w:fill="auto" w:val="clear"/>
        </w:rPr>
        <w:t xml:space="preserve"> London: Hodder Education.</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Haag, E. (2013). </w:t>
      </w:r>
      <w:r>
        <w:rPr>
          <w:rFonts w:ascii="Times New Roman" w:hAnsi="Times New Roman" w:cs="Times New Roman" w:eastAsia="Times New Roman"/>
          <w:i/>
          <w:color w:val="auto"/>
          <w:spacing w:val="0"/>
          <w:position w:val="0"/>
          <w:sz w:val="24"/>
          <w:shd w:fill="auto" w:val="clear"/>
        </w:rPr>
        <w:t xml:space="preserve">Internship guide: Work placements step by step</w:t>
      </w:r>
      <w:r>
        <w:rPr>
          <w:rFonts w:ascii="Times New Roman" w:hAnsi="Times New Roman" w:cs="Times New Roman" w:eastAsia="Times New Roman"/>
          <w:color w:val="auto"/>
          <w:spacing w:val="0"/>
          <w:position w:val="0"/>
          <w:sz w:val="24"/>
          <w:shd w:fill="auto" w:val="clear"/>
        </w:rPr>
        <w:t xml:space="preserve">. [online] </w:t>
      </w:r>
      <w:r>
        <w:rPr>
          <w:rFonts w:ascii="Times New Roman" w:hAnsi="Times New Roman" w:cs="Times New Roman" w:eastAsia="Times New Roman"/>
          <w:i/>
          <w:color w:val="auto"/>
          <w:spacing w:val="0"/>
          <w:position w:val="0"/>
          <w:sz w:val="24"/>
          <w:shd w:fill="auto" w:val="clear"/>
        </w:rPr>
        <w:t xml:space="preserve">the University of Groningen research portal</w:t>
      </w:r>
      <w:r>
        <w:rPr>
          <w:rFonts w:ascii="Times New Roman" w:hAnsi="Times New Roman" w:cs="Times New Roman" w:eastAsia="Times New Roman"/>
          <w:color w:val="auto"/>
          <w:spacing w:val="0"/>
          <w:position w:val="0"/>
          <w:sz w:val="24"/>
          <w:shd w:fill="auto" w:val="clear"/>
        </w:rPr>
        <w:t xml:space="preserve">. The Hague: Eleven International Publishing.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https://research.rug.nl/en/publications/internship-guide-work-placements-step-by-step-2</w:t>
        </w:r>
      </w:hyperlink>
      <w:r>
        <w:rPr>
          <w:rFonts w:ascii="Times New Roman" w:hAnsi="Times New Roman" w:cs="Times New Roman" w:eastAsia="Times New Roman"/>
          <w:color w:val="auto"/>
          <w:spacing w:val="0"/>
          <w:position w:val="0"/>
          <w:sz w:val="24"/>
          <w:shd w:fill="auto" w:val="clear"/>
        </w:rPr>
        <w:t xml:space="preserve">.</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O’fallon, M.J. and Rutherford, D.G. (2020). </w:t>
      </w:r>
      <w:r>
        <w:rPr>
          <w:rFonts w:ascii="Times New Roman" w:hAnsi="Times New Roman" w:cs="Times New Roman" w:eastAsia="Times New Roman"/>
          <w:i/>
          <w:color w:val="auto"/>
          <w:spacing w:val="0"/>
          <w:position w:val="0"/>
          <w:sz w:val="24"/>
          <w:shd w:fill="auto" w:val="clear"/>
        </w:rPr>
        <w:t xml:space="preserve">Hotel Management and Operations</w:t>
      </w:r>
      <w:r>
        <w:rPr>
          <w:rFonts w:ascii="Times New Roman" w:hAnsi="Times New Roman" w:cs="Times New Roman" w:eastAsia="Times New Roman"/>
          <w:color w:val="auto"/>
          <w:spacing w:val="0"/>
          <w:position w:val="0"/>
          <w:sz w:val="24"/>
          <w:shd w:fill="auto" w:val="clear"/>
        </w:rPr>
        <w:t xml:space="preserve">. Hoboken, N.J.: Wiley.</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Taylor, K.F. (1969). Book Reviews : Work and the Nature of Man. </w:t>
      </w:r>
      <w:r>
        <w:rPr>
          <w:rFonts w:ascii="Times New Roman" w:hAnsi="Times New Roman" w:cs="Times New Roman" w:eastAsia="Times New Roman"/>
          <w:i/>
          <w:color w:val="auto"/>
          <w:spacing w:val="0"/>
          <w:position w:val="0"/>
          <w:sz w:val="24"/>
          <w:shd w:fill="auto" w:val="clear"/>
        </w:rPr>
        <w:t xml:space="preserve">Journal of Industrial Relations</w:t>
      </w:r>
      <w:r>
        <w:rPr>
          <w:rFonts w:ascii="Times New Roman" w:hAnsi="Times New Roman" w:cs="Times New Roman" w:eastAsia="Times New Roman"/>
          <w:color w:val="auto"/>
          <w:spacing w:val="0"/>
          <w:position w:val="0"/>
          <w:sz w:val="24"/>
          <w:shd w:fill="auto" w:val="clear"/>
        </w:rPr>
        <w:t xml:space="preserve">, [online] 11(1), pp.78</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80. doi:https://doi.org/10.1177/002218566901100113.</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University of Edinburgh (2020). </w:t>
      </w:r>
      <w:r>
        <w:rPr>
          <w:rFonts w:ascii="Times New Roman" w:hAnsi="Times New Roman" w:cs="Times New Roman" w:eastAsia="Times New Roman"/>
          <w:i/>
          <w:color w:val="auto"/>
          <w:spacing w:val="0"/>
          <w:position w:val="0"/>
          <w:sz w:val="24"/>
          <w:shd w:fill="auto" w:val="clear"/>
        </w:rPr>
        <w:t xml:space="preserve">Gibbs’ Reflective Cycle</w:t>
      </w:r>
      <w:r>
        <w:rPr>
          <w:rFonts w:ascii="Times New Roman" w:hAnsi="Times New Roman" w:cs="Times New Roman" w:eastAsia="Times New Roman"/>
          <w:color w:val="auto"/>
          <w:spacing w:val="0"/>
          <w:position w:val="0"/>
          <w:sz w:val="24"/>
          <w:shd w:fill="auto" w:val="clear"/>
        </w:rPr>
        <w:t xml:space="preserve">. [online] The University of Edinburgh.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https://www.ed.ac.uk/reflection/reflectors-toolkit/reflecting-on-experience/gibbs-reflective-cycle</w:t>
        </w:r>
      </w:hyperlink>
      <w:r>
        <w:rPr>
          <w:rFonts w:ascii="Times New Roman" w:hAnsi="Times New Roman" w:cs="Times New Roman" w:eastAsia="Times New Roman"/>
          <w:color w:val="auto"/>
          <w:spacing w:val="0"/>
          <w:position w:val="0"/>
          <w:sz w:val="24"/>
          <w:shd w:fill="auto" w:val="clear"/>
        </w:rPr>
        <w:t xml:space="preserve">.</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Vallen, G.K. and Vallen, J.J. (2013). </w:t>
      </w:r>
      <w:r>
        <w:rPr>
          <w:rFonts w:ascii="Times New Roman" w:hAnsi="Times New Roman" w:cs="Times New Roman" w:eastAsia="Times New Roman"/>
          <w:i/>
          <w:color w:val="auto"/>
          <w:spacing w:val="0"/>
          <w:position w:val="0"/>
          <w:sz w:val="24"/>
          <w:shd w:fill="auto" w:val="clear"/>
        </w:rPr>
        <w:t xml:space="preserve">Check-in Check-Out: Managing Hotel Operations</w:t>
      </w:r>
      <w:r>
        <w:rPr>
          <w:rFonts w:ascii="Times New Roman" w:hAnsi="Times New Roman" w:cs="Times New Roman" w:eastAsia="Times New Roman"/>
          <w:color w:val="auto"/>
          <w:spacing w:val="0"/>
          <w:position w:val="0"/>
          <w:sz w:val="24"/>
          <w:shd w:fill="auto" w:val="clear"/>
        </w:rPr>
        <w:t xml:space="preserve">. Pearson Higher Ed.</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Walker, J.R. (2021). </w:t>
      </w:r>
      <w:r>
        <w:rPr>
          <w:rFonts w:ascii="Times New Roman" w:hAnsi="Times New Roman" w:cs="Times New Roman" w:eastAsia="Times New Roman"/>
          <w:i/>
          <w:color w:val="auto"/>
          <w:spacing w:val="0"/>
          <w:position w:val="0"/>
          <w:sz w:val="24"/>
          <w:shd w:fill="auto" w:val="clear"/>
        </w:rPr>
        <w:t xml:space="preserve">Introduction to hospitality</w:t>
      </w:r>
      <w:r>
        <w:rPr>
          <w:rFonts w:ascii="Times New Roman" w:hAnsi="Times New Roman" w:cs="Times New Roman" w:eastAsia="Times New Roman"/>
          <w:color w:val="auto"/>
          <w:spacing w:val="0"/>
          <w:position w:val="0"/>
          <w:sz w:val="24"/>
          <w:shd w:fill="auto" w:val="clear"/>
        </w:rPr>
        <w:t xml:space="preserve">. 8th ed. Hoboken: Pearson.</w:t>
      </w:r>
    </w:p>
    <w:p>
      <w:pPr>
        <w:spacing w:before="0" w:after="24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Wood, R.C. (2013). </w:t>
      </w:r>
      <w:r>
        <w:rPr>
          <w:rFonts w:ascii="Times New Roman" w:hAnsi="Times New Roman" w:cs="Times New Roman" w:eastAsia="Times New Roman"/>
          <w:i/>
          <w:color w:val="auto"/>
          <w:spacing w:val="0"/>
          <w:position w:val="0"/>
          <w:sz w:val="24"/>
          <w:shd w:fill="auto" w:val="clear"/>
        </w:rPr>
        <w:t xml:space="preserve">Key concepts in hospitality management</w:t>
      </w:r>
      <w:r>
        <w:rPr>
          <w:rFonts w:ascii="Times New Roman" w:hAnsi="Times New Roman" w:cs="Times New Roman" w:eastAsia="Times New Roman"/>
          <w:color w:val="auto"/>
          <w:spacing w:val="0"/>
          <w:position w:val="0"/>
          <w:sz w:val="24"/>
          <w:shd w:fill="auto" w:val="clear"/>
        </w:rPr>
        <w:t xml:space="preserve">. London Etc.: Sage.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research.rug.nl/en/publications/internship-guide-work-placements-step-by-step-2" Id="docRId1" Type="http://schemas.openxmlformats.org/officeDocument/2006/relationships/hyperlink" /><Relationship Target="numbering.xml" Id="docRId3" Type="http://schemas.openxmlformats.org/officeDocument/2006/relationships/numbering" /><Relationship TargetMode="External" Target="https://all.accor.com/hotel/B541/index.en.shtml" Id="docRId0" Type="http://schemas.openxmlformats.org/officeDocument/2006/relationships/hyperlink" /><Relationship TargetMode="External" Target="https://www.ed.ac.uk/reflection/reflectors-toolkit/reflecting-on-experience/gibbs-reflective-cycle" Id="docRId2" Type="http://schemas.openxmlformats.org/officeDocument/2006/relationships/hyperlink" /><Relationship Target="styles.xml" Id="docRId4" Type="http://schemas.openxmlformats.org/officeDocument/2006/relationships/styles" /></Relationships>
</file>