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00" w:after="100" w:line="360"/>
        <w:ind w:right="0" w:left="0" w:firstLine="0"/>
        <w:jc w:val="left"/>
        <w:rPr>
          <w:rFonts w:ascii="Arial" w:hAnsi="Arial" w:cs="Arial" w:eastAsia="Arial"/>
          <w:b/>
          <w:color w:val="auto"/>
          <w:spacing w:val="0"/>
          <w:position w:val="0"/>
          <w:sz w:val="32"/>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r>
        <w:rPr>
          <w:rFonts w:ascii="Calibri" w:hAnsi="Calibri" w:cs="Calibri" w:eastAsia="Calibri"/>
          <w:color w:val="auto"/>
          <w:spacing w:val="0"/>
          <w:position w:val="0"/>
          <w:sz w:val="22"/>
          <w:shd w:fill="auto" w:val="clear"/>
        </w:rPr>
        <w:t xml:space="preserve">                                                                                                       </w:t>
      </w:r>
      <w:r>
        <w:object w:dxaOrig="2894" w:dyaOrig="1174">
          <v:rect xmlns:o="urn:schemas-microsoft-com:office:office" xmlns:v="urn:schemas-microsoft-com:vml" id="rectole0000000000" style="width:144.700000pt;height:58.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00" w:after="100" w:line="360"/>
        <w:ind w:right="0" w:left="0" w:firstLine="0"/>
        <w:jc w:val="left"/>
        <w:rPr>
          <w:rFonts w:ascii="Arial" w:hAnsi="Arial" w:cs="Arial" w:eastAsia="Arial"/>
          <w:b/>
          <w:color w:val="auto"/>
          <w:spacing w:val="0"/>
          <w:position w:val="0"/>
          <w:sz w:val="32"/>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name:Nedelin Hristov Mihalev</w:t>
      </w:r>
    </w:p>
    <w:p>
      <w:pPr>
        <w:spacing w:before="100" w:after="10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ID number:2029603</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Programme:BA Business Management</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Module:Community Engagement</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code:LCBB4002</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Coordinator:Dr Olu Adegbite</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Title:Community Engagement 2</w:t>
      </w:r>
    </w:p>
    <w:p>
      <w:pPr>
        <w:spacing w:before="6" w:after="0" w:line="240"/>
        <w:ind w:right="0" w:left="0" w:firstLine="0"/>
        <w:jc w:val="both"/>
        <w:rPr>
          <w:rFonts w:ascii="Arial" w:hAnsi="Arial" w:cs="Arial" w:eastAsia="Arial"/>
          <w:b/>
          <w:color w:val="auto"/>
          <w:spacing w:val="0"/>
          <w:position w:val="0"/>
          <w:sz w:val="32"/>
          <w:shd w:fill="auto" w:val="clear"/>
        </w:rPr>
      </w:pPr>
    </w:p>
    <w:p>
      <w:pPr>
        <w:spacing w:before="6"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Reflective Report</w:t>
      </w:r>
    </w:p>
    <w:p>
      <w:pPr>
        <w:spacing w:before="6" w:after="0" w:line="240"/>
        <w:ind w:right="0" w:left="0" w:firstLine="0"/>
        <w:jc w:val="both"/>
        <w:rPr>
          <w:rFonts w:ascii="Arial" w:hAnsi="Arial" w:cs="Arial" w:eastAsia="Arial"/>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0"/>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p>
    <w:p>
      <w:pPr>
        <w:spacing w:before="0" w:after="0" w:line="242"/>
        <w:ind w:right="0" w:left="2" w:firstLine="0"/>
        <w:jc w:val="center"/>
        <w:rPr>
          <w:rFonts w:ascii="Times New Roman" w:hAnsi="Times New Roman" w:cs="Times New Roman" w:eastAsia="Times New Roman"/>
          <w:b/>
          <w:color w:val="auto"/>
          <w:spacing w:val="0"/>
          <w:position w:val="0"/>
          <w:sz w:val="36"/>
          <w:shd w:fill="auto" w:val="clear"/>
        </w:rPr>
      </w:pPr>
    </w:p>
    <w:p>
      <w:pPr>
        <w:spacing w:before="0" w:after="0" w:line="242"/>
        <w:ind w:right="0" w:left="2" w:firstLine="0"/>
        <w:jc w:val="center"/>
        <w:rPr>
          <w:rFonts w:ascii="Times New Roman" w:hAnsi="Times New Roman" w:cs="Times New Roman" w:eastAsia="Times New Roman"/>
          <w:b/>
          <w:color w:val="auto"/>
          <w:spacing w:val="0"/>
          <w:position w:val="0"/>
          <w:sz w:val="36"/>
          <w:shd w:fill="auto" w:val="clear"/>
        </w:rPr>
      </w:pPr>
      <w:r>
        <w:rPr>
          <w:rFonts w:ascii="Arial" w:hAnsi="Arial" w:cs="Arial" w:eastAsia="Arial"/>
          <w:b/>
          <w:color w:val="auto"/>
          <w:spacing w:val="0"/>
          <w:position w:val="0"/>
          <w:sz w:val="32"/>
          <w:shd w:fill="auto" w:val="clear"/>
        </w:rPr>
        <w:t xml:space="preserve">Reflective Report</w:t>
      </w:r>
    </w:p>
    <w:p>
      <w:pPr>
        <w:spacing w:before="0" w:after="0" w:line="242"/>
        <w:ind w:right="0" w:left="2" w:firstLine="0"/>
        <w:jc w:val="center"/>
        <w:rPr>
          <w:rFonts w:ascii="Times New Roman" w:hAnsi="Times New Roman" w:cs="Times New Roman" w:eastAsia="Times New Roman"/>
          <w:b/>
          <w:color w:val="auto"/>
          <w:spacing w:val="0"/>
          <w:position w:val="0"/>
          <w:sz w:val="36"/>
          <w:shd w:fill="auto" w:val="clear"/>
        </w:rPr>
      </w:pPr>
    </w:p>
    <w:p>
      <w:pPr>
        <w:spacing w:before="0" w:after="0" w:line="242"/>
        <w:ind w:right="0" w:left="2" w:firstLine="0"/>
        <w:jc w:val="center"/>
        <w:rPr>
          <w:rFonts w:ascii="Arial" w:hAnsi="Arial" w:cs="Arial" w:eastAsia="Arial"/>
          <w:b/>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Introduction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is the report on reflective learning in community engagement has been written understanding and evaluating the concept of transferable skills and the ways to adapt them to the principles of organizational setting. This report on reflective learning in community engagement has been explained according to the model of Kolb’s learning theory</w:t>
      </w:r>
      <w:r>
        <w:rPr>
          <w:rFonts w:ascii="Arial" w:hAnsi="Arial" w:cs="Arial" w:eastAsia="Arial"/>
          <w:color w:val="000000"/>
          <w:spacing w:val="0"/>
          <w:position w:val="0"/>
          <w:sz w:val="22"/>
          <w:shd w:fill="FFFFFF" w:val="clear"/>
        </w:rPr>
        <w:t xml:space="preserve"> (Ghaye and Ghaye, 2011)</w:t>
      </w:r>
      <w:r>
        <w:rPr>
          <w:rFonts w:ascii="Arial" w:hAnsi="Arial" w:cs="Arial" w:eastAsia="Arial"/>
          <w:color w:val="auto"/>
          <w:spacing w:val="0"/>
          <w:position w:val="0"/>
          <w:sz w:val="22"/>
          <w:shd w:fill="auto" w:val="clear"/>
        </w:rPr>
        <w:t xml:space="preserve">. The report has been described following with the model like Experience, Reflection, Conceptualise and apply. At the beginning point, it was hard for me to wire the report, but gradually it has become easy for me to complete the report. I have gained some skills such as note-taking, communication skills, critical thinking, etc. Gradually I understood my process of writing on reflective writing in community engagement. During writing my feelings in this report I was radical because I was in hesitation what should I do and what information I should write, but when I started to write step by step I felt a good feeling to write successful writing because of a good value of my writing.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module has helped me to build my academic skills and so on. Though sometimes it was tough for me to get help from my classmates, teachers, and other supports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 I have gathered information from different websites and media like google and YouTube.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completing the report writing, I have developed my employability skills like research skills, team working, presentation skills, communication skills, and more. My reflective learning report in community engagement has been given applying Kolb’s learning model.</w:t>
      </w:r>
    </w:p>
    <w:p>
      <w:pPr>
        <w:spacing w:before="0" w:after="0" w:line="242"/>
        <w:ind w:right="0" w:left="2" w:firstLine="0"/>
        <w:jc w:val="both"/>
        <w:rPr>
          <w:rFonts w:ascii="Arial" w:hAnsi="Arial" w:cs="Arial" w:eastAsia="Arial"/>
          <w:color w:val="auto"/>
          <w:spacing w:val="0"/>
          <w:position w:val="0"/>
          <w:sz w:val="22"/>
          <w:shd w:fill="auto" w:val="clear"/>
        </w:rPr>
      </w:pPr>
    </w:p>
    <w:p>
      <w:pPr>
        <w:spacing w:before="0" w:after="0" w:line="242"/>
        <w:ind w:right="0" w:left="2"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Reflective writing: Applying Kolb’s (1984) learning cycle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have applied David Kolb’s learning cycle in my reflective writing in community engagement. This is a popular way of structuring reflective writing.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report, I will discuss in brief the nature and purposes of reflection. While writing through this guide, I have thought carefully about how I might apply it to my work writing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Reflective writing is a little different from academic writing because reflective writing defines is about me. It can be defined in a way that, reflective writing helps me to self-development and the importance of learning from my past experiences because, in this sphere, a graduate student learns from the workplace by applying the practically </w:t>
      </w:r>
      <w:r>
        <w:rPr>
          <w:rFonts w:ascii="Arial" w:hAnsi="Arial" w:cs="Arial" w:eastAsia="Arial"/>
          <w:color w:val="000000"/>
          <w:spacing w:val="0"/>
          <w:position w:val="0"/>
          <w:sz w:val="22"/>
          <w:shd w:fill="FFFFFF" w:val="clear"/>
        </w:rPr>
        <w:t xml:space="preserve">(Ghaye and Ghaye, 2011)</w:t>
      </w:r>
      <w:r>
        <w:rPr>
          <w:rFonts w:ascii="Arial" w:hAnsi="Arial" w:cs="Arial" w:eastAsia="Arial"/>
          <w:color w:val="auto"/>
          <w:spacing w:val="0"/>
          <w:position w:val="0"/>
          <w:sz w:val="22"/>
          <w:shd w:fill="auto" w:val="clear"/>
        </w:rPr>
        <w:t xml:space="preserve">. It is lifelong learning. Reflective writing is written from my perspective as it is about me. Reflective writing is characterized by two things such as:</w:t>
      </w:r>
    </w:p>
    <w:p>
      <w:pPr>
        <w:numPr>
          <w:ilvl w:val="0"/>
          <w:numId w:val="15"/>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about my experiences and </w:t>
      </w:r>
    </w:p>
    <w:p>
      <w:pPr>
        <w:numPr>
          <w:ilvl w:val="0"/>
          <w:numId w:val="15"/>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looks forward.</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engagement is the process of working together collaboratively applying reflective experiences. It is a community-centered orientation based on dialogue. It </w:t>
      </w:r>
      <w:r>
        <w:rPr>
          <w:rFonts w:ascii="Arial" w:hAnsi="Arial" w:cs="Arial" w:eastAsia="Arial"/>
          <w:color w:val="auto"/>
          <w:spacing w:val="0"/>
          <w:position w:val="0"/>
          <w:sz w:val="22"/>
          <w:shd w:fill="FFFFFF" w:val="clear"/>
        </w:rPr>
        <w:t xml:space="preserve">seeks to engage the community to achieve sustainable outcomes, equitable decision-making processes and deepens relationships and trust among the members of the community </w:t>
      </w:r>
      <w:r>
        <w:rPr>
          <w:rFonts w:ascii="Arial" w:hAnsi="Arial" w:cs="Arial" w:eastAsia="Arial"/>
          <w:color w:val="000000"/>
          <w:spacing w:val="0"/>
          <w:position w:val="0"/>
          <w:sz w:val="22"/>
          <w:shd w:fill="FFFFFF" w:val="clear"/>
        </w:rPr>
        <w:t xml:space="preserve">(Chapter 1: What Is Community Engagement? | Principles of Community Engagement | ATSDR, 2021)</w:t>
      </w:r>
      <w:r>
        <w:rPr>
          <w:rFonts w:ascii="Arial" w:hAnsi="Arial" w:cs="Arial" w:eastAsia="Arial"/>
          <w:color w:val="auto"/>
          <w:spacing w:val="0"/>
          <w:position w:val="0"/>
          <w:sz w:val="22"/>
          <w:shd w:fill="FFFFFF" w:val="clear"/>
        </w:rPr>
        <w:t xml:space="preserve">. </w:t>
      </w:r>
      <w:r>
        <w:rPr>
          <w:rFonts w:ascii="Arial" w:hAnsi="Arial" w:cs="Arial" w:eastAsia="Arial"/>
          <w:color w:val="auto"/>
          <w:spacing w:val="0"/>
          <w:position w:val="0"/>
          <w:sz w:val="22"/>
          <w:shd w:fill="auto" w:val="clear"/>
        </w:rPr>
        <w:t xml:space="preserve">It ensures that community members have access to valued social settings and activities, feel that they can contribute.</w:t>
      </w:r>
    </w:p>
    <w:p>
      <w:pPr>
        <w:spacing w:before="0" w:after="0" w:line="240"/>
        <w:ind w:right="0" w:left="0" w:firstLine="0"/>
        <w:jc w:val="left"/>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Kolb’s (1984) learning cycle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Kolb’s reflective writing cycle can be described labeling them as: Experience, Reflection, conceptualize and apply.</w:t>
      </w: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4"/>
          <w:shd w:fill="auto" w:val="clear"/>
        </w:rPr>
        <w:t xml:space="preserve">Figure:</w:t>
      </w: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2"/>
          <w:shd w:fill="auto" w:val="clear"/>
        </w:rPr>
        <w:t xml:space="preserve">Kolb’s (1984) learning cycle </w:t>
      </w:r>
      <w:r>
        <w:rPr>
          <w:rFonts w:ascii="Arial" w:hAnsi="Arial" w:cs="Arial" w:eastAsia="Arial"/>
          <w:color w:val="000000"/>
          <w:spacing w:val="0"/>
          <w:position w:val="0"/>
          <w:sz w:val="22"/>
          <w:shd w:fill="FFFFFF" w:val="clear"/>
        </w:rPr>
        <w:t xml:space="preserve">(The learning cycle: Kolb’s model, 2021)</w:t>
      </w:r>
      <w:r>
        <w:rPr>
          <w:rFonts w:ascii="Arial" w:hAnsi="Arial" w:cs="Arial" w:eastAsia="Arial"/>
          <w:b/>
          <w:color w:val="auto"/>
          <w:spacing w:val="0"/>
          <w:position w:val="0"/>
          <w:sz w:val="22"/>
          <w:shd w:fill="auto" w:val="clear"/>
        </w:rPr>
        <w:t xml:space="preserve">.</w:t>
      </w:r>
    </w:p>
    <w:p>
      <w:pPr>
        <w:spacing w:before="0" w:after="0" w:line="360"/>
        <w:ind w:right="0" w:left="0" w:firstLine="0"/>
        <w:jc w:val="center"/>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Experience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Experience is the skill and knowledge about the tools and techniques of some activity. Before writing this report, I did have not so much experience in using Ms word office documents. I could only write simple writing, saving, and simple formatting. During that, I have felt disappointed because of my lack of experience. For writing this report I got help from my near relatives, used google and YouTube searches to gather extra knowledge bailout using Ms word and writing reflecting writing. When I started to write this report, I have needed to know the writing advance using of report writing such as inserting a table of contents, references, page numbers, reviewing, correcting spelling, setting headings. After a long effort, I have become successful to complete this writing </w:t>
      </w:r>
      <w:r>
        <w:rPr>
          <w:rFonts w:ascii="Arial" w:hAnsi="Arial" w:cs="Arial" w:eastAsia="Arial"/>
          <w:color w:val="000000"/>
          <w:spacing w:val="0"/>
          <w:position w:val="0"/>
          <w:sz w:val="22"/>
          <w:shd w:fill="FFFFFF" w:val="clear"/>
        </w:rPr>
        <w:t xml:space="preserve">(Kaushik, 2017)</w:t>
      </w:r>
      <w:r>
        <w:rPr>
          <w:rFonts w:ascii="Arial" w:hAnsi="Arial" w:cs="Arial" w:eastAsia="Arial"/>
          <w:color w:val="auto"/>
          <w:spacing w:val="0"/>
          <w:position w:val="0"/>
          <w:sz w:val="22"/>
          <w:shd w:fill="auto" w:val="clear"/>
        </w:rPr>
        <w:t xml:space="preserv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completing the report, I have noticed that inconsistently, my skills have been developed by using different tools. It has helped me to develop the digital skill that is necessary for getting a good job. Here digital skills define the skills of browsing the internet, operating a computer, emailing, installing/uninstalling and using different software, searching a specific topic in a different search engine such as Google, Bing, Yahoo, etc. To get the knowledge of these digital skills I have needed to engage much community such as my classmates, near relatives, teacher and the specialist on these specific matters. Before starting this report writing, I have little experience of these skills. During the report writing, I have engaged my friends and worked collaboratively to complete my work. Using different search engines is a new experience for me </w:t>
      </w:r>
      <w:r>
        <w:rPr>
          <w:rFonts w:ascii="Arial" w:hAnsi="Arial" w:cs="Arial" w:eastAsia="Arial"/>
          <w:color w:val="000000"/>
          <w:spacing w:val="0"/>
          <w:position w:val="0"/>
          <w:sz w:val="22"/>
          <w:shd w:fill="FFFFFF" w:val="clear"/>
        </w:rPr>
        <w:t xml:space="preserve">(Moon, 2013)</w:t>
      </w:r>
      <w:r>
        <w:rPr>
          <w:rFonts w:ascii="Arial" w:hAnsi="Arial" w:cs="Arial" w:eastAsia="Arial"/>
          <w:color w:val="auto"/>
          <w:spacing w:val="0"/>
          <w:position w:val="0"/>
          <w:sz w:val="22"/>
          <w:shd w:fill="auto" w:val="clear"/>
        </w:rPr>
        <w:t xml:space="preserve">. This report is written by my efforts. Before submitting this report I have used plagiarism checker software to avoid plagiarism. I have noticed that my friends who are not acquainted with report writing, have not much skill such as using Ms word and communication as I have.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Reflection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Reflection defines the situation of what worked well and what didn’t work along with the factors of success and failures and what shaped my activities or contribution to the experiences. It helped me to rethink civic values and social responsibility.</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writing this report, my communication skill has increased by 80% I think. During writing I felt very much energetic and enthusiastic because when a person applies practical knowledge the first time, he or she enjoys it very much, it gives much pleasure to them. Sometimes I felt crazy and disgusted and sometimes felt motivated. I noticed my friends also have felt that situation like me. After all, I have made success for my minimum knowledge about the Ms word document writing, using the internet in social media such as Facebook, messenger, reading news on LinkedIn, and contacting them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 This is a good example of my success. This skill will help me to build and develop my future carrier.</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Some factors have bored me during writing this module. For example, when I searched specific topics to know about them more, I didn’t get enough and perfect information about it, and sometimes the websites asked me to subscribe to their channel with a monthly big package of money to access their information. Sometimes I didn’t get the exact book and resources in my collection and at different libraries inspire by enough searching. And so in some cases, I have failed to write the appropriate information in my writing because of these reasons. Besides these, I have little knowledge of research writing.</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These activate reflected in my personal skills development and academic knowledge along with future carrier building. I think this knowledge, skills, and experience will help me to get an expected job because of have a lot of knowledge and experience about report writing. At present, I can search specific topics in different search engines using a computer easily. I can take notes from the sources and save them in  Microsoft office word, presentation, and excel sheets </w:t>
      </w:r>
      <w:r>
        <w:rPr>
          <w:rFonts w:ascii="Arial" w:hAnsi="Arial" w:cs="Arial" w:eastAsia="Arial"/>
          <w:color w:val="000000"/>
          <w:spacing w:val="0"/>
          <w:position w:val="0"/>
          <w:sz w:val="22"/>
          <w:shd w:fill="FFFFFF" w:val="clear"/>
        </w:rPr>
        <w:t xml:space="preserve">(Mpwanya and Dockrat, 2020)</w:t>
      </w:r>
      <w:r>
        <w:rPr>
          <w:rFonts w:ascii="Arial" w:hAnsi="Arial" w:cs="Arial" w:eastAsia="Arial"/>
          <w:color w:val="auto"/>
          <w:spacing w:val="0"/>
          <w:position w:val="0"/>
          <w:sz w:val="22"/>
          <w:shd w:fill="auto" w:val="clear"/>
        </w:rPr>
        <w:t xml:space="preserve">. Now I can install a lot of software, can communicate with high-class people inappropriate manner. I can manage a team because of working in a team during my report writing.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Now I can give a speech in a public place and show presentations in my class that I couldn’t do because of my nervousness. I am now more stable than my friends who have not been acquainted with this report writing. I think, in the future, this skill will help me to present ideas in my job sector.</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Conceptualize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Conceptualization is the process of taking the reflection to a deeper level by trying to understand why the experience went as it did. It is at this stage that I might use some theoretical ideas to gain some insight into the experience. In this stage, I tried to conclude the experience by reflecting on my past knowledge, ideas, and values. In this stage, I feel mental satisfaction when I have got some employability skills after the above three-stage. When I go to my workplace, I can make a report on my organization's goals and settings. I make the report using appropriate and suitable models, business words, and thoughts. most of the companies search for this type of skilled candidate for their company to perform tier work perfectly. Before writing the report I was unable to type at high speed but now I can make the report and analyze it fast. I had some problems with a cross citation but I can do it now </w:t>
      </w:r>
      <w:r>
        <w:rPr>
          <w:rFonts w:ascii="Arial" w:hAnsi="Arial" w:cs="Arial" w:eastAsia="Arial"/>
          <w:color w:val="000000"/>
          <w:spacing w:val="0"/>
          <w:position w:val="0"/>
          <w:sz w:val="22"/>
          <w:shd w:fill="FFFFFF" w:val="clear"/>
        </w:rPr>
        <w:t xml:space="preserve">(Mpwanya and Dockrat, 2020)</w:t>
      </w:r>
      <w:r>
        <w:rPr>
          <w:rFonts w:ascii="Arial" w:hAnsi="Arial" w:cs="Arial" w:eastAsia="Arial"/>
          <w:color w:val="auto"/>
          <w:spacing w:val="0"/>
          <w:position w:val="0"/>
          <w:sz w:val="22"/>
          <w:shd w:fill="auto" w:val="clear"/>
        </w:rPr>
        <w:t xml:space="preserve">. I am also satisfied in this matter that I have helped some of my classmates to complete their reports with my knowledge and skills.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Apply (Action plan)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analyzed the expertise, at this stage, I actually have come up with a plan as to how I’d do things differently. I might also have a chance to test my new approach in an exceedingly relevant context.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analyzing my weakness during my research report writing on the reflective writing in community engagement I noted down some points and have made up some plans to do the task differently so that I can do the work smoothly in the future in the best way.</w:t>
      </w:r>
    </w:p>
    <w:p>
      <w:pPr>
        <w:numPr>
          <w:ilvl w:val="0"/>
          <w:numId w:val="34"/>
        </w:numPr>
        <w:spacing w:before="0" w:after="0" w:line="360"/>
        <w:ind w:right="0" w:left="63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Above, I have discussed that I’m a little introverted. So sometimes I fall into a problem to ask someone for better understanding in my team that hinders getting the advantages of community engagement </w:t>
      </w:r>
      <w:r>
        <w:rPr>
          <w:rFonts w:ascii="Arial" w:hAnsi="Arial" w:cs="Arial" w:eastAsia="Arial"/>
          <w:color w:val="000000"/>
          <w:spacing w:val="0"/>
          <w:position w:val="0"/>
          <w:sz w:val="22"/>
          <w:shd w:fill="FFFFFF" w:val="clear"/>
        </w:rPr>
        <w:t xml:space="preserve">(Mpwanya and Dockrat, 2020)</w:t>
      </w:r>
      <w:r>
        <w:rPr>
          <w:rFonts w:ascii="Arial" w:hAnsi="Arial" w:cs="Arial" w:eastAsia="Arial"/>
          <w:color w:val="auto"/>
          <w:spacing w:val="0"/>
          <w:position w:val="0"/>
          <w:sz w:val="22"/>
          <w:shd w:fill="auto" w:val="clear"/>
        </w:rPr>
        <w:t xml:space="preserve">. If it happens once more, I will go to a psychologist to get help from them. I will prefer to work in a volunteer organization.</w:t>
      </w:r>
    </w:p>
    <w:p>
      <w:pPr>
        <w:numPr>
          <w:ilvl w:val="0"/>
          <w:numId w:val="34"/>
        </w:numPr>
        <w:spacing w:before="0" w:after="0" w:line="360"/>
        <w:ind w:right="0" w:left="63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getting more digital knowledge, I’ll admit to a training center from where I can get enough knowledge and can gain technical skills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w:t>
      </w:r>
    </w:p>
    <w:p>
      <w:pPr>
        <w:numPr>
          <w:ilvl w:val="0"/>
          <w:numId w:val="34"/>
        </w:numPr>
        <w:spacing w:before="0" w:after="0" w:line="360"/>
        <w:ind w:right="0" w:left="63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improve my analyzing skill, I will take a course from a well-known research organization.</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Conclusion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Writing this report has developed my skills to write a proper report and good communication. We were in a team of 10 classmates to discuss and make a report. Firstly , we collected the related papers, journals, books, and literature. We have read and found out the most effective resources to write. Sometimes we fall into conflicts but the team leader has resolved it. In the future, applying these new skills and approaches, I will be able to make my future academic carrier and bright profession in my workplace.</w:t>
      </w: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References</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ASEAN Journal of Community Engagement, 2021. Designing with Users: A Participatory Design as a Community Engagement Program in the City Zoo. 5(1).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Atsdr.cdc.gov. 2021. Chapter 1: What Is Community Engagement? | Principles of Community Engagement | ATSDR. [online] Available at: &lt;</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https://www.atsdr.cdc.gov/communityengagement/pce_what.html</w:t>
        </w:r>
      </w:hyperlink>
      <w:r>
        <w:rPr>
          <w:rFonts w:ascii="Arial" w:hAnsi="Arial" w:cs="Arial" w:eastAsia="Arial"/>
          <w:color w:val="000000"/>
          <w:spacing w:val="0"/>
          <w:position w:val="0"/>
          <w:sz w:val="22"/>
          <w:shd w:fill="auto" w:val="clear"/>
        </w:rPr>
        <w:t xml:space="preserve">&gt; [Accessed 2 November 2021].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Ghaye, T. and Ghaye, T., 2011. Teaching and learning through reflective practice. London: Routledge.</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Inchainge. 2021. The learning cycle: Kolb’s model. [online] Available at: &lt;</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https://inchainge.com/knowledge/experiential-learning/learning-cycle/</w:t>
        </w:r>
      </w:hyperlink>
      <w:r>
        <w:rPr>
          <w:rFonts w:ascii="Arial" w:hAnsi="Arial" w:cs="Arial" w:eastAsia="Arial"/>
          <w:color w:val="000000"/>
          <w:spacing w:val="0"/>
          <w:position w:val="0"/>
          <w:sz w:val="22"/>
          <w:shd w:fill="auto" w:val="clear"/>
        </w:rPr>
        <w:t xml:space="preserve">&gt; [Accessed 2 November 2021].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Jacobs, S., 2016. Reflective learning, reflective practice. Nursing, 46(5), pp.62-64.</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Kaushik, P., 2017. Redefining Learning: Kolb's Theory of Learning Styles with Gardner's Multiple Intelligences. International Journal of Learning and Teaching, 9(1), pp.330-339.</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Moon, J., 2013. A Handbook of Reflective and Experiential Learning. Hoboken: Taylor and Francis.</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Mpwanya, M. and Dockrat, S., 2020. Assessing learning styles of undergraduate logistics students using Kolb's learning style inventory: A cross-sectional survey. South African Journal of Higher Education, 34(3).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5">
    <w:abstractNumId w:val="6"/>
  </w:num>
  <w:num w:numId="3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inchainge.com/knowledge/experiential-learning/learning-cycle/"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atsdr.cdc.gov/communityengagement/pce_what.html" Id="docRId2" Type="http://schemas.openxmlformats.org/officeDocument/2006/relationships/hyperlink" /><Relationship Target="numbering.xml" Id="docRId4" Type="http://schemas.openxmlformats.org/officeDocument/2006/relationships/numbering" /></Relationships>
</file>