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1F322" w14:textId="4A0D5C6E" w:rsidR="00D27CAE" w:rsidRPr="008F11F8" w:rsidRDefault="000C1FA7" w:rsidP="00D27CAE">
      <w:pPr>
        <w:rPr>
          <w:u w:val="single"/>
        </w:rPr>
      </w:pPr>
      <w:r w:rsidRPr="000C1FA7">
        <w:rPr>
          <w:u w:val="single"/>
        </w:rPr>
        <w:t>How have historians of empire incorporated gender as a tool of analysis?:</w:t>
      </w:r>
    </w:p>
    <w:p w14:paraId="1BE4E1EA" w14:textId="354FB52D" w:rsidR="002839F5" w:rsidRDefault="00CD6496" w:rsidP="004F4530">
      <w:r>
        <w:t xml:space="preserve">Gender is </w:t>
      </w:r>
      <w:r w:rsidR="00E84454">
        <w:t>a ‘relatively new category of historical analysis’.</w:t>
      </w:r>
      <w:r w:rsidR="00E84454">
        <w:rPr>
          <w:rStyle w:val="FootnoteReference"/>
        </w:rPr>
        <w:footnoteReference w:id="1"/>
      </w:r>
      <w:r w:rsidR="00E11AEB">
        <w:t xml:space="preserve"> </w:t>
      </w:r>
      <w:r w:rsidR="009402A8">
        <w:t>Gender history is based on the idea</w:t>
      </w:r>
      <w:r w:rsidR="00F21576">
        <w:t xml:space="preserve"> that what it means to be defined as a man or woman has a history.</w:t>
      </w:r>
      <w:r w:rsidR="00F21576">
        <w:rPr>
          <w:rStyle w:val="FootnoteReference"/>
        </w:rPr>
        <w:footnoteReference w:id="2"/>
      </w:r>
      <w:r w:rsidR="00F21576">
        <w:t xml:space="preserve"> </w:t>
      </w:r>
      <w:r w:rsidR="00A23E8A">
        <w:t xml:space="preserve">This category can be used in order to analyse history through a specific lens that focuses </w:t>
      </w:r>
      <w:r w:rsidR="00BF3977">
        <w:t>on the difference in treatment between genders</w:t>
      </w:r>
      <w:r w:rsidR="00DE1D66">
        <w:t xml:space="preserve"> as well as </w:t>
      </w:r>
      <w:r w:rsidR="00A40E84">
        <w:t>ideas of sexuality and power</w:t>
      </w:r>
      <w:r w:rsidR="00BF3977">
        <w:t>.</w:t>
      </w:r>
      <w:r w:rsidR="00280227">
        <w:t xml:space="preserve"> ‘</w:t>
      </w:r>
      <w:r w:rsidR="00724FAB" w:rsidRPr="00724FAB">
        <w:t xml:space="preserve">The recognition of gender as a historical category emerged alongside feminist efforts to legitimise </w:t>
      </w:r>
      <w:r w:rsidR="00724FAB">
        <w:t>female</w:t>
      </w:r>
      <w:r w:rsidR="00724FAB" w:rsidRPr="00724FAB">
        <w:t xml:space="preserve"> historians and reshape social history</w:t>
      </w:r>
      <w:r w:rsidR="00724FAB">
        <w:t>’.</w:t>
      </w:r>
      <w:r w:rsidR="00724FAB">
        <w:rPr>
          <w:rStyle w:val="FootnoteReference"/>
        </w:rPr>
        <w:footnoteReference w:id="3"/>
      </w:r>
      <w:r w:rsidR="00BA01D4">
        <w:t xml:space="preserve"> </w:t>
      </w:r>
      <w:r w:rsidR="00BF3977">
        <w:t>Using gender as an analytical tool also reveals</w:t>
      </w:r>
      <w:r w:rsidR="00BA239D">
        <w:t xml:space="preserve"> </w:t>
      </w:r>
      <w:r w:rsidR="00BF3977">
        <w:t>structures of inequality that can be seen when studying history</w:t>
      </w:r>
      <w:r w:rsidR="009819A7">
        <w:t xml:space="preserve">. </w:t>
      </w:r>
      <w:r w:rsidR="00733BE1">
        <w:t>Using this analytical tool to look at the history of empire</w:t>
      </w:r>
      <w:r w:rsidR="009819A7">
        <w:t xml:space="preserve"> can reveal </w:t>
      </w:r>
      <w:r w:rsidR="00D817C4">
        <w:t xml:space="preserve">that ideologies such as </w:t>
      </w:r>
      <w:r w:rsidR="00B909E4">
        <w:t>femininity</w:t>
      </w:r>
      <w:r w:rsidR="00D817C4">
        <w:t xml:space="preserve">, masculinity, </w:t>
      </w:r>
      <w:r w:rsidR="00B909E4">
        <w:t xml:space="preserve">and sexuality </w:t>
      </w:r>
      <w:r w:rsidR="00396DC7">
        <w:t>were key to colonial power dynamics</w:t>
      </w:r>
      <w:r w:rsidR="00F865CC">
        <w:t xml:space="preserve">. </w:t>
      </w:r>
      <w:r w:rsidR="0039464E">
        <w:t xml:space="preserve">It could </w:t>
      </w:r>
      <w:r w:rsidR="00733BE1">
        <w:t xml:space="preserve">also </w:t>
      </w:r>
      <w:r w:rsidR="0039464E">
        <w:t xml:space="preserve">be suggested that </w:t>
      </w:r>
      <w:r w:rsidR="006A7929">
        <w:t xml:space="preserve">colonial governance </w:t>
      </w:r>
      <w:r w:rsidR="003C6690">
        <w:t xml:space="preserve">relied heavily on constructing and regulating </w:t>
      </w:r>
      <w:r w:rsidR="00A80413">
        <w:t>gender differences.</w:t>
      </w:r>
      <w:r w:rsidR="00A80413">
        <w:rPr>
          <w:rStyle w:val="FootnoteReference"/>
        </w:rPr>
        <w:footnoteReference w:id="4"/>
      </w:r>
      <w:r w:rsidR="00733BE1">
        <w:t xml:space="preserve"> </w:t>
      </w:r>
      <w:r w:rsidR="006D4167">
        <w:t>This</w:t>
      </w:r>
      <w:r w:rsidR="575CB63D">
        <w:t>,</w:t>
      </w:r>
      <w:r w:rsidR="006D4167">
        <w:t xml:space="preserve"> therefore</w:t>
      </w:r>
      <w:r w:rsidR="03A7E34A">
        <w:t>,</w:t>
      </w:r>
      <w:r w:rsidR="006D4167">
        <w:t xml:space="preserve"> suggests that </w:t>
      </w:r>
      <w:r w:rsidR="004239F0">
        <w:t xml:space="preserve">gender as a tool of analysis is key to the work of historians of empire as it can reveal more information about how these </w:t>
      </w:r>
      <w:r w:rsidR="003D4C1D">
        <w:t xml:space="preserve">colonial power dynamics were </w:t>
      </w:r>
      <w:r w:rsidR="00B04D61">
        <w:t xml:space="preserve">inflicted and </w:t>
      </w:r>
      <w:r w:rsidR="00DD13C2">
        <w:t>perpe</w:t>
      </w:r>
      <w:r w:rsidR="00DE1D66">
        <w:t xml:space="preserve">tuated. </w:t>
      </w:r>
    </w:p>
    <w:p w14:paraId="0C8D15E7" w14:textId="214E4A93" w:rsidR="00D505B0" w:rsidRDefault="004F4530" w:rsidP="004F4530">
      <w:r>
        <w:t xml:space="preserve">Historians of empire have incorporated gender as a tool of analysis through </w:t>
      </w:r>
      <w:r w:rsidR="00BE6A03">
        <w:t>comparing the experience of women in colonial situations to the experience of men in colonial situations.</w:t>
      </w:r>
      <w:r w:rsidR="008F5DBF">
        <w:t xml:space="preserve"> </w:t>
      </w:r>
      <w:r w:rsidR="00F91295">
        <w:t xml:space="preserve">Using gender as a tool of analysis </w:t>
      </w:r>
      <w:r w:rsidR="00D6086C">
        <w:t xml:space="preserve">allows a greater understanding of </w:t>
      </w:r>
      <w:r w:rsidR="00100CC7" w:rsidRPr="00100CC7">
        <w:t xml:space="preserve">power relations </w:t>
      </w:r>
      <w:r w:rsidR="00D6086C">
        <w:t xml:space="preserve">and how they </w:t>
      </w:r>
      <w:r w:rsidR="00100CC7" w:rsidRPr="00100CC7">
        <w:t>were constructed and represented in colonial society</w:t>
      </w:r>
      <w:r w:rsidR="00D6086C">
        <w:t>.</w:t>
      </w:r>
      <w:r w:rsidR="00D6086C">
        <w:rPr>
          <w:rStyle w:val="FootnoteReference"/>
        </w:rPr>
        <w:footnoteReference w:id="5"/>
      </w:r>
      <w:r w:rsidR="00100CC7" w:rsidRPr="00100CC7">
        <w:t xml:space="preserve"> </w:t>
      </w:r>
      <w:r w:rsidR="005F2416">
        <w:t xml:space="preserve">Empires are made and maintained through violence, </w:t>
      </w:r>
      <w:r w:rsidR="00936FE8">
        <w:t>control and power imbalances.</w:t>
      </w:r>
      <w:r w:rsidR="00936FE8">
        <w:rPr>
          <w:rStyle w:val="FootnoteReference"/>
        </w:rPr>
        <w:footnoteReference w:id="6"/>
      </w:r>
      <w:r w:rsidR="00D27CAE">
        <w:t xml:space="preserve"> A key example of these power imbalances can be seen through </w:t>
      </w:r>
      <w:r w:rsidR="00F814BE">
        <w:t xml:space="preserve">how colonised people were treated but also </w:t>
      </w:r>
      <w:r w:rsidR="00FC2A23">
        <w:t xml:space="preserve">how </w:t>
      </w:r>
      <w:r w:rsidR="00F814BE">
        <w:t xml:space="preserve">colonised </w:t>
      </w:r>
      <w:r w:rsidR="00FC2A23">
        <w:t xml:space="preserve">men were treated as compared to </w:t>
      </w:r>
      <w:r w:rsidR="00F814BE">
        <w:t xml:space="preserve">colonised </w:t>
      </w:r>
      <w:r w:rsidR="00FC2A23">
        <w:t>women.</w:t>
      </w:r>
      <w:r w:rsidR="00EF7CC5">
        <w:t xml:space="preserve"> </w:t>
      </w:r>
      <w:r w:rsidR="00EF7CC5" w:rsidRPr="00EF7CC5">
        <w:t>It could be suggested that ‘In addition to oppressing women, hegemonic masculinity silences or subordinates other masculinities’</w:t>
      </w:r>
      <w:r w:rsidR="00EF7CC5">
        <w:t>.</w:t>
      </w:r>
      <w:r w:rsidR="00EF7CC5">
        <w:rPr>
          <w:rStyle w:val="FootnoteReference"/>
        </w:rPr>
        <w:footnoteReference w:id="7"/>
      </w:r>
      <w:r w:rsidR="00FC2A23">
        <w:t xml:space="preserve"> </w:t>
      </w:r>
      <w:r w:rsidR="00AF5C82">
        <w:t xml:space="preserve">Colonised men in </w:t>
      </w:r>
      <w:r w:rsidR="00620CA9">
        <w:t>place</w:t>
      </w:r>
      <w:r w:rsidR="004A1E2C">
        <w:t>s</w:t>
      </w:r>
      <w:r w:rsidR="00AF5C82">
        <w:t xml:space="preserve"> such as </w:t>
      </w:r>
      <w:r w:rsidR="004A1E2C">
        <w:t xml:space="preserve">Africa and India </w:t>
      </w:r>
      <w:r w:rsidR="00575913">
        <w:t xml:space="preserve">were often treated poorly by </w:t>
      </w:r>
      <w:r w:rsidR="00CE5141">
        <w:t xml:space="preserve">the British colonisers </w:t>
      </w:r>
      <w:r w:rsidR="0095601A">
        <w:t>as they were often subjected to</w:t>
      </w:r>
      <w:r w:rsidR="00D24349">
        <w:t xml:space="preserve"> </w:t>
      </w:r>
      <w:r w:rsidR="00E633C0">
        <w:t>forced labour</w:t>
      </w:r>
      <w:r w:rsidR="00A10972">
        <w:t>, social humiliation, and abuse both verbal and physical.</w:t>
      </w:r>
      <w:r w:rsidR="00A10972">
        <w:rPr>
          <w:rStyle w:val="FootnoteReference"/>
        </w:rPr>
        <w:footnoteReference w:id="8"/>
      </w:r>
      <w:r w:rsidR="00A10972">
        <w:t xml:space="preserve"> </w:t>
      </w:r>
      <w:r w:rsidR="00DA6199">
        <w:t xml:space="preserve">This happened as in some cases it was believed that </w:t>
      </w:r>
      <w:r w:rsidR="004927A7">
        <w:t>‘the values exp</w:t>
      </w:r>
      <w:r w:rsidR="007817B8">
        <w:t>ressed by the</w:t>
      </w:r>
      <w:r w:rsidR="006F23AE">
        <w:t xml:space="preserve">se other masculinities were not those that have currency or legitimacy’ as men in colonised areas may have </w:t>
      </w:r>
      <w:r w:rsidR="00113C2C">
        <w:t>approached</w:t>
      </w:r>
      <w:r w:rsidR="006F23AE">
        <w:t xml:space="preserve"> masculinity </w:t>
      </w:r>
      <w:r w:rsidR="00113C2C">
        <w:t>differently to colonisers due to different social environments and traditions.</w:t>
      </w:r>
      <w:r w:rsidR="00113C2C">
        <w:rPr>
          <w:rStyle w:val="FootnoteReference"/>
        </w:rPr>
        <w:footnoteReference w:id="9"/>
      </w:r>
      <w:r w:rsidR="00C331E4">
        <w:t xml:space="preserve"> </w:t>
      </w:r>
      <w:r w:rsidR="008F11F8">
        <w:t xml:space="preserve">Masculine ideology was key to empire. </w:t>
      </w:r>
      <w:r w:rsidR="00C331E4">
        <w:t xml:space="preserve">This also meant that in some cases </w:t>
      </w:r>
      <w:r w:rsidR="008F1A12">
        <w:t>colonised men were portrayed as ‘effeminate’.</w:t>
      </w:r>
      <w:r w:rsidR="008F1A12">
        <w:rPr>
          <w:rStyle w:val="FootnoteReference"/>
        </w:rPr>
        <w:footnoteReference w:id="10"/>
      </w:r>
      <w:r w:rsidR="008F1A12">
        <w:t xml:space="preserve"> </w:t>
      </w:r>
      <w:r w:rsidR="00CF1728">
        <w:t xml:space="preserve"> This therefore suggests that</w:t>
      </w:r>
      <w:r w:rsidR="008B41D9">
        <w:t xml:space="preserve"> same gender treatment can be used to understand key colonial power differences. This is further evident in </w:t>
      </w:r>
      <w:r w:rsidR="008B41D9">
        <w:lastRenderedPageBreak/>
        <w:t xml:space="preserve">the treatment of colonised women, not just from </w:t>
      </w:r>
      <w:r w:rsidR="00C331E4">
        <w:t xml:space="preserve">colonisers but also men in their own communities. </w:t>
      </w:r>
    </w:p>
    <w:p w14:paraId="0059D234" w14:textId="77B45EE9" w:rsidR="00DF4538" w:rsidRDefault="006C06C9" w:rsidP="00242198">
      <w:r>
        <w:t xml:space="preserve">Understanding the differences in how colonised women were treated by colonisers as compared to men is key to the gender history of empire. Women were also treated very poorly by </w:t>
      </w:r>
      <w:r w:rsidR="00EC1155">
        <w:t>colonisers;</w:t>
      </w:r>
      <w:r>
        <w:t xml:space="preserve"> </w:t>
      </w:r>
      <w:r w:rsidR="00B46FCC">
        <w:t>however,</w:t>
      </w:r>
      <w:r>
        <w:t xml:space="preserve"> this poor treatment took different forms.</w:t>
      </w:r>
      <w:r w:rsidR="00227133">
        <w:t xml:space="preserve"> </w:t>
      </w:r>
      <w:r w:rsidR="00543CAA">
        <w:t>Colonised w</w:t>
      </w:r>
      <w:r w:rsidR="002641DE">
        <w:t>omen were often</w:t>
      </w:r>
      <w:r w:rsidR="004909F2">
        <w:t xml:space="preserve"> </w:t>
      </w:r>
      <w:r w:rsidR="009E7ADE">
        <w:t xml:space="preserve">treated as second-class citizens and faced </w:t>
      </w:r>
      <w:r w:rsidR="00543CAA">
        <w:t>forced labour, loss of autonomy, abuse and sexual violence at the hands of male colonists.</w:t>
      </w:r>
      <w:r w:rsidR="00543CAA">
        <w:rPr>
          <w:rStyle w:val="FootnoteReference"/>
        </w:rPr>
        <w:footnoteReference w:id="11"/>
      </w:r>
      <w:r w:rsidR="00543CAA">
        <w:t xml:space="preserve"> </w:t>
      </w:r>
      <w:r w:rsidR="00A125DE">
        <w:t xml:space="preserve">These experiences did however </w:t>
      </w:r>
      <w:r w:rsidR="007D42ED">
        <w:t>differ,</w:t>
      </w:r>
      <w:r w:rsidR="00A125DE">
        <w:t xml:space="preserve"> and some colonised women were treated worse than others</w:t>
      </w:r>
      <w:r w:rsidR="169596F3">
        <w:t xml:space="preserve"> </w:t>
      </w:r>
      <w:r w:rsidR="00786A9B">
        <w:t>for e</w:t>
      </w:r>
      <w:r w:rsidR="00A4174B">
        <w:t xml:space="preserve">xample some were </w:t>
      </w:r>
      <w:r w:rsidR="001E58C8">
        <w:t xml:space="preserve">taken to </w:t>
      </w:r>
      <w:r w:rsidR="00777337">
        <w:t>be used as slaves by colonists and received very harsh punishments and often were victims of sexual violence</w:t>
      </w:r>
      <w:r w:rsidR="00A125DE">
        <w:t xml:space="preserve">. </w:t>
      </w:r>
      <w:r w:rsidR="00227133" w:rsidRPr="00227133">
        <w:t xml:space="preserve">Gender analysis </w:t>
      </w:r>
      <w:r w:rsidR="00227133">
        <w:t>within</w:t>
      </w:r>
      <w:r w:rsidR="00233072">
        <w:t xml:space="preserve"> empire</w:t>
      </w:r>
      <w:r w:rsidR="00227133">
        <w:t xml:space="preserve"> </w:t>
      </w:r>
      <w:r w:rsidR="00227133" w:rsidRPr="00227133">
        <w:t xml:space="preserve">has evolved </w:t>
      </w:r>
      <w:r w:rsidR="00CD3C80">
        <w:t>to understand how</w:t>
      </w:r>
      <w:r w:rsidR="00227133" w:rsidRPr="00227133">
        <w:t xml:space="preserve"> gender, race, and class combined to create unique experiences for colonized women</w:t>
      </w:r>
      <w:r w:rsidR="00CD3C80">
        <w:t>.</w:t>
      </w:r>
      <w:r w:rsidR="00CD3C80">
        <w:rPr>
          <w:rStyle w:val="FootnoteReference"/>
        </w:rPr>
        <w:footnoteReference w:id="12"/>
      </w:r>
      <w:r w:rsidR="00A125DE">
        <w:t xml:space="preserve"> </w:t>
      </w:r>
      <w:r w:rsidR="006E57EC">
        <w:t>Some historians suggest that t</w:t>
      </w:r>
      <w:r w:rsidR="006B12CF">
        <w:t xml:space="preserve">he </w:t>
      </w:r>
      <w:r w:rsidR="006B12CF">
        <w:t xml:space="preserve">racist and class-based exploitation of </w:t>
      </w:r>
      <w:r w:rsidR="006B12CF">
        <w:t xml:space="preserve">colonised </w:t>
      </w:r>
      <w:r w:rsidR="006B12CF">
        <w:t>women</w:t>
      </w:r>
      <w:r w:rsidR="00793ED9">
        <w:t xml:space="preserve"> </w:t>
      </w:r>
      <w:r w:rsidR="006B12CF">
        <w:t xml:space="preserve">through institutionalized sexual and other kinds of intimate relationships </w:t>
      </w:r>
      <w:r w:rsidR="00793ED9">
        <w:t>were</w:t>
      </w:r>
      <w:r w:rsidR="006B12CF">
        <w:t xml:space="preserve"> central</w:t>
      </w:r>
      <w:r w:rsidR="00793ED9">
        <w:t xml:space="preserve"> </w:t>
      </w:r>
      <w:r w:rsidR="006B12CF">
        <w:t xml:space="preserve">to European "patriarchal </w:t>
      </w:r>
      <w:r w:rsidR="00793ED9">
        <w:t>colonialism’.</w:t>
      </w:r>
      <w:r w:rsidR="00793ED9">
        <w:rPr>
          <w:rStyle w:val="FootnoteReference"/>
        </w:rPr>
        <w:footnoteReference w:id="13"/>
      </w:r>
      <w:r w:rsidR="00B22857">
        <w:t xml:space="preserve"> </w:t>
      </w:r>
      <w:r w:rsidR="00DF4538">
        <w:t xml:space="preserve">It can also be suggested that </w:t>
      </w:r>
      <w:r w:rsidR="00786693">
        <w:t>‘i</w:t>
      </w:r>
      <w:r w:rsidR="00786693" w:rsidRPr="00786693">
        <w:t>nterracial sex significantly influenced the formation and dynamics of European empires from the 15th to 20th century</w:t>
      </w:r>
      <w:r w:rsidR="00786693">
        <w:t>’</w:t>
      </w:r>
      <w:r w:rsidR="00786693" w:rsidRPr="00786693">
        <w:t>.</w:t>
      </w:r>
      <w:r w:rsidR="00786693">
        <w:rPr>
          <w:rStyle w:val="FootnoteReference"/>
        </w:rPr>
        <w:footnoteReference w:id="14"/>
      </w:r>
      <w:r w:rsidR="70C4F023">
        <w:t xml:space="preserve"> </w:t>
      </w:r>
    </w:p>
    <w:p w14:paraId="44121A25" w14:textId="79EE80DC" w:rsidR="00324953" w:rsidRDefault="00B22857" w:rsidP="00242198">
      <w:r>
        <w:t xml:space="preserve">In some cases, colonisers </w:t>
      </w:r>
      <w:r w:rsidR="00786F98">
        <w:t xml:space="preserve">during empire </w:t>
      </w:r>
      <w:r>
        <w:t xml:space="preserve">also implemented institutions that </w:t>
      </w:r>
      <w:r w:rsidR="00786F98">
        <w:t>existed in order to teach</w:t>
      </w:r>
      <w:r>
        <w:t xml:space="preserve"> colonised women how colonisers thought they should behave. </w:t>
      </w:r>
      <w:r w:rsidR="00242198">
        <w:t>C</w:t>
      </w:r>
      <w:r w:rsidR="00242198">
        <w:t>oloni</w:t>
      </w:r>
      <w:r w:rsidR="00242198">
        <w:t>s</w:t>
      </w:r>
      <w:r w:rsidR="00242198">
        <w:t>ers taught indigenous or minority women</w:t>
      </w:r>
      <w:r w:rsidR="00AB7C70">
        <w:t xml:space="preserve"> </w:t>
      </w:r>
      <w:r w:rsidR="00242198">
        <w:t>domestic roles that embodied the dominant gender ideology of domestic</w:t>
      </w:r>
      <w:r w:rsidR="00242198">
        <w:t xml:space="preserve"> </w:t>
      </w:r>
      <w:r w:rsidR="00242198">
        <w:t>women's subjugation to pub</w:t>
      </w:r>
      <w:r w:rsidR="00AB7C70">
        <w:t>lic men</w:t>
      </w:r>
      <w:r w:rsidR="00260082">
        <w:t xml:space="preserve"> that was common in countries such as Britain at the time</w:t>
      </w:r>
      <w:r w:rsidR="00AB7C70">
        <w:t>.</w:t>
      </w:r>
      <w:r w:rsidR="00AB7C70">
        <w:rPr>
          <w:rStyle w:val="FootnoteReference"/>
        </w:rPr>
        <w:footnoteReference w:id="15"/>
      </w:r>
      <w:r w:rsidR="00260082">
        <w:t xml:space="preserve"> </w:t>
      </w:r>
      <w:r w:rsidR="00380A3A">
        <w:t xml:space="preserve">For example, in </w:t>
      </w:r>
      <w:r w:rsidR="00C00108">
        <w:t>Western Kenya t</w:t>
      </w:r>
      <w:r w:rsidR="00260082">
        <w:t>his include</w:t>
      </w:r>
      <w:r w:rsidR="00C85792">
        <w:t>d</w:t>
      </w:r>
      <w:r w:rsidR="00260082">
        <w:t xml:space="preserve"> lessons</w:t>
      </w:r>
      <w:r w:rsidR="00380A3A">
        <w:t xml:space="preserve"> </w:t>
      </w:r>
      <w:r w:rsidR="00C00108">
        <w:t xml:space="preserve">by Quaker missionaries </w:t>
      </w:r>
      <w:r w:rsidR="00380A3A">
        <w:t>that were meant to teach</w:t>
      </w:r>
      <w:r w:rsidR="00C00108">
        <w:t xml:space="preserve"> girls how to be </w:t>
      </w:r>
      <w:r w:rsidR="005421CF">
        <w:t>‘proper’ Christian wives and mothers</w:t>
      </w:r>
      <w:r w:rsidR="00C85792">
        <w:t xml:space="preserve">, </w:t>
      </w:r>
      <w:r w:rsidR="00C2184E">
        <w:t xml:space="preserve">through teaching them the supposed importance of </w:t>
      </w:r>
      <w:r w:rsidR="00FD66ED">
        <w:t>domestic work and submitting to male authority</w:t>
      </w:r>
      <w:r w:rsidR="005421CF">
        <w:t>.</w:t>
      </w:r>
      <w:r w:rsidR="005421CF">
        <w:rPr>
          <w:rStyle w:val="FootnoteReference"/>
        </w:rPr>
        <w:footnoteReference w:id="16"/>
      </w:r>
      <w:r w:rsidR="00380A3A">
        <w:t xml:space="preserve"> </w:t>
      </w:r>
      <w:r w:rsidR="00615957">
        <w:t xml:space="preserve">By understanding the treatment of colonised women, historians can further understand the power imbalances seen in times of </w:t>
      </w:r>
      <w:r w:rsidR="00150D8D">
        <w:t>colonisation.</w:t>
      </w:r>
    </w:p>
    <w:p w14:paraId="060F07E6" w14:textId="53B766B6" w:rsidR="009123B9" w:rsidRDefault="00226A45" w:rsidP="004F4530">
      <w:r>
        <w:t>Women’s</w:t>
      </w:r>
      <w:r w:rsidR="00EC1155">
        <w:t xml:space="preserve"> treatment </w:t>
      </w:r>
      <w:r w:rsidR="00A125DE">
        <w:t>within</w:t>
      </w:r>
      <w:r w:rsidR="00EC1155">
        <w:t xml:space="preserve"> </w:t>
      </w:r>
      <w:r w:rsidR="00A125DE">
        <w:t xml:space="preserve">their own </w:t>
      </w:r>
      <w:r w:rsidR="00EC1155">
        <w:t>communit</w:t>
      </w:r>
      <w:r w:rsidR="00A125DE">
        <w:t>ies</w:t>
      </w:r>
      <w:r>
        <w:t xml:space="preserve"> </w:t>
      </w:r>
      <w:r w:rsidR="00883DF6">
        <w:t xml:space="preserve">also shows the </w:t>
      </w:r>
      <w:r w:rsidR="00E426EA">
        <w:t>poor position that</w:t>
      </w:r>
      <w:r w:rsidR="00A125DE">
        <w:t xml:space="preserve"> colonised</w:t>
      </w:r>
      <w:r w:rsidR="00E426EA">
        <w:t xml:space="preserve"> women were put in</w:t>
      </w:r>
      <w:r w:rsidR="008F11F8">
        <w:t xml:space="preserve">. </w:t>
      </w:r>
      <w:r w:rsidR="00FD66ED">
        <w:t>In some cases, in colonised areas w</w:t>
      </w:r>
      <w:r w:rsidR="00847278">
        <w:t xml:space="preserve">omen were poorly treated in communities if they did not have </w:t>
      </w:r>
      <w:r w:rsidR="00E56A9E">
        <w:t>a husband or a family to care for them</w:t>
      </w:r>
      <w:r w:rsidR="009A16BA">
        <w:t>.</w:t>
      </w:r>
      <w:r w:rsidR="00E96E2C">
        <w:t xml:space="preserve"> These issues developed as patriarchal systems were introduced and enforced</w:t>
      </w:r>
      <w:r w:rsidR="00FD66ED">
        <w:t xml:space="preserve"> by colonisers and settlers</w:t>
      </w:r>
      <w:r w:rsidR="00E96E2C">
        <w:t xml:space="preserve">. </w:t>
      </w:r>
      <w:r w:rsidR="008F11F8">
        <w:t>This can also be seen through the treatment of women within the home in colonial communities.</w:t>
      </w:r>
      <w:r w:rsidR="00B54C25">
        <w:t xml:space="preserve"> An example of this is the treatment of women as slaves within the home. In the ‘memorandum on female slaver</w:t>
      </w:r>
      <w:r w:rsidR="005C2E7B">
        <w:t>y</w:t>
      </w:r>
      <w:r w:rsidR="00B54C25">
        <w:t xml:space="preserve">’, the writer discusses how </w:t>
      </w:r>
      <w:r w:rsidR="005C2E7B">
        <w:t xml:space="preserve">these women are stuck being slaves in their own homes </w:t>
      </w:r>
      <w:r w:rsidR="00307C4D">
        <w:t>and treated poorly by husbands or other family members.</w:t>
      </w:r>
      <w:r w:rsidR="00307C4D">
        <w:rPr>
          <w:rStyle w:val="FootnoteReference"/>
        </w:rPr>
        <w:footnoteReference w:id="17"/>
      </w:r>
      <w:r w:rsidR="00F52567">
        <w:t xml:space="preserve"> Within this text the author </w:t>
      </w:r>
      <w:r w:rsidR="00F52567">
        <w:lastRenderedPageBreak/>
        <w:t xml:space="preserve">states </w:t>
      </w:r>
      <w:r w:rsidR="00F52567" w:rsidRPr="00F52567">
        <w:t>that ‘the status of wives and widows […] customarily and actually one of, or closely analogous to slavery’, this suggests that the writer of the source has witnessed women in these situations being treated as slaves</w:t>
      </w:r>
      <w:r w:rsidR="00F52567">
        <w:t>.</w:t>
      </w:r>
      <w:r w:rsidR="009123B9">
        <w:t xml:space="preserve"> This treatment is key to understanding power dynamics not just between colonisers and the colonised but also the power dynamics between colonised men and colonised women.</w:t>
      </w:r>
      <w:r w:rsidR="00EE16BC">
        <w:t xml:space="preserve"> This therefore shows the importance of gender as a tool of analysis within the history of empire.</w:t>
      </w:r>
    </w:p>
    <w:p w14:paraId="3073557C" w14:textId="0AF50A5B" w:rsidR="009123B9" w:rsidRDefault="009123B9" w:rsidP="004F4530">
      <w:r>
        <w:t xml:space="preserve">Another example of </w:t>
      </w:r>
      <w:r w:rsidR="005172A3">
        <w:t xml:space="preserve">power dynamics and the treatment of women by colonisers as compared to colonised men is Sati. In India, </w:t>
      </w:r>
      <w:r w:rsidR="00C92EB1">
        <w:t xml:space="preserve">it was a custom that widows would be burnt alongside their husbands, in some cases willingly. Although the men of these communities supported this idea, </w:t>
      </w:r>
      <w:r w:rsidR="00D93440">
        <w:t xml:space="preserve">white colonisers were against this. </w:t>
      </w:r>
      <w:r w:rsidR="00E079D6">
        <w:t>This shows the different in ideas about gender roles within empire</w:t>
      </w:r>
      <w:r w:rsidR="004660B0">
        <w:t xml:space="preserve">. </w:t>
      </w:r>
      <w:r w:rsidR="002255DF" w:rsidRPr="002255DF">
        <w:t>Colonial rule meant interventions in varied indigenous institutions and practices</w:t>
      </w:r>
      <w:r w:rsidR="002255DF">
        <w:t>.</w:t>
      </w:r>
      <w:r w:rsidR="002255DF">
        <w:rPr>
          <w:rStyle w:val="FootnoteReference"/>
        </w:rPr>
        <w:footnoteReference w:id="18"/>
      </w:r>
      <w:r w:rsidR="002255DF">
        <w:t xml:space="preserve"> </w:t>
      </w:r>
      <w:r w:rsidR="00552510" w:rsidRPr="00552510">
        <w:t xml:space="preserve">It could be suggested that ‘gender has been central to India’s experience of colonialism’ due to conflicts over widow remarriage and the age of consent, </w:t>
      </w:r>
      <w:r w:rsidR="00777337">
        <w:t>as well as</w:t>
      </w:r>
      <w:r w:rsidR="00552510" w:rsidRPr="00552510">
        <w:t xml:space="preserve"> </w:t>
      </w:r>
      <w:r w:rsidR="00552510" w:rsidRPr="00777337">
        <w:t xml:space="preserve">the </w:t>
      </w:r>
      <w:r w:rsidR="00557529">
        <w:t xml:space="preserve">fact that </w:t>
      </w:r>
      <w:r w:rsidR="00552510" w:rsidRPr="00777337">
        <w:t xml:space="preserve">status of Indian women </w:t>
      </w:r>
      <w:r w:rsidR="00557529">
        <w:t>intrigued</w:t>
      </w:r>
      <w:r w:rsidR="00552510" w:rsidRPr="00777337">
        <w:t xml:space="preserve"> the</w:t>
      </w:r>
      <w:r w:rsidR="00557529">
        <w:t xml:space="preserve"> </w:t>
      </w:r>
      <w:r w:rsidR="00552510" w:rsidRPr="00777337">
        <w:t>mission</w:t>
      </w:r>
      <w:r w:rsidR="00552510" w:rsidRPr="00552510">
        <w:t>aries, colonial legislators and metropolitan liberals.</w:t>
      </w:r>
      <w:r w:rsidR="00552510">
        <w:rPr>
          <w:rStyle w:val="FootnoteReference"/>
        </w:rPr>
        <w:footnoteReference w:id="19"/>
      </w:r>
    </w:p>
    <w:p w14:paraId="1E02A002" w14:textId="26401B54" w:rsidR="008F1A12" w:rsidRDefault="008F1A12" w:rsidP="004F4530">
      <w:r>
        <w:t>It is also key to look at how g</w:t>
      </w:r>
      <w:r w:rsidRPr="008F1A12">
        <w:t>endered metaphors, such as the "domesticated" or "vulnerable" colonial space, were used to justify the "protective" role of the male colonial state</w:t>
      </w:r>
      <w:r>
        <w:t>.</w:t>
      </w:r>
      <w:r w:rsidR="00324953">
        <w:rPr>
          <w:rStyle w:val="FootnoteReference"/>
        </w:rPr>
        <w:footnoteReference w:id="20"/>
      </w:r>
      <w:r>
        <w:t xml:space="preserve"> This may have been due to </w:t>
      </w:r>
      <w:r w:rsidR="00555192">
        <w:t>expectations of the treatment of women at the time</w:t>
      </w:r>
      <w:r w:rsidR="006039BC">
        <w:t xml:space="preserve">, as during the </w:t>
      </w:r>
      <w:r w:rsidR="0096077E">
        <w:t xml:space="preserve">time of the British Empire, women were often treated as inferior beings who had to </w:t>
      </w:r>
      <w:r w:rsidR="3AD91CCF">
        <w:t xml:space="preserve">be </w:t>
      </w:r>
      <w:r w:rsidR="0096077E">
        <w:t xml:space="preserve">protected but were also expected to be responsible for caring for the family. </w:t>
      </w:r>
      <w:r w:rsidR="005F5620">
        <w:t>Domestic issues within the home were seen as women’s domain</w:t>
      </w:r>
      <w:r w:rsidR="55903F4F">
        <w:t>,</w:t>
      </w:r>
      <w:r w:rsidR="005F5620">
        <w:t xml:space="preserve"> </w:t>
      </w:r>
      <w:r w:rsidR="2E013723">
        <w:t>whereas</w:t>
      </w:r>
      <w:r w:rsidR="005F5620">
        <w:t xml:space="preserve"> </w:t>
      </w:r>
      <w:r w:rsidR="00852FF7">
        <w:t>issues outside of the home fell in the male domain.</w:t>
      </w:r>
      <w:r w:rsidR="00DD1880">
        <w:t xml:space="preserve"> This also may be due to white colonists believing themselves superior to others and believing they must teach others their ways. A key example of this is domesticity. British colonisers believed their</w:t>
      </w:r>
      <w:r w:rsidR="00AF5A72">
        <w:t xml:space="preserve"> domestic systems were superior and </w:t>
      </w:r>
      <w:r w:rsidR="00747D63">
        <w:t>believed</w:t>
      </w:r>
      <w:r w:rsidR="00AF5A72">
        <w:t xml:space="preserve"> that the countries they colonised needed to adapt these </w:t>
      </w:r>
      <w:r w:rsidR="00747D63">
        <w:t xml:space="preserve">systems despite the fact that many of these countries had their own systems. For example, </w:t>
      </w:r>
      <w:r w:rsidR="000151EB">
        <w:t>‘d</w:t>
      </w:r>
      <w:r w:rsidR="000151EB" w:rsidRPr="000151EB">
        <w:t>omesticity in practice and ideology was</w:t>
      </w:r>
      <w:r w:rsidR="000151EB">
        <w:t xml:space="preserve"> </w:t>
      </w:r>
      <w:r w:rsidR="000151EB" w:rsidRPr="000151EB">
        <w:t>quite well developed in Indian society from antiquity</w:t>
      </w:r>
      <w:r w:rsidR="000151EB">
        <w:t>’.</w:t>
      </w:r>
      <w:r w:rsidR="000151EB">
        <w:rPr>
          <w:rStyle w:val="FootnoteReference"/>
        </w:rPr>
        <w:footnoteReference w:id="21"/>
      </w:r>
      <w:r w:rsidR="145116A9">
        <w:t xml:space="preserve">  </w:t>
      </w:r>
    </w:p>
    <w:p w14:paraId="68830BFE" w14:textId="489DE8E7" w:rsidR="009C7EFA" w:rsidRDefault="009C7EFA" w:rsidP="00760E87">
      <w:r>
        <w:t xml:space="preserve">Another important topic to consider that is an example of how </w:t>
      </w:r>
      <w:r w:rsidRPr="009C7EFA">
        <w:t>historians of empire incorporated gender as a tool of analysis</w:t>
      </w:r>
      <w:r w:rsidR="00BD47CA">
        <w:t xml:space="preserve">, is </w:t>
      </w:r>
      <w:r w:rsidR="00100A82">
        <w:t xml:space="preserve">the idea of ‘woman-saving’ in which </w:t>
      </w:r>
      <w:r w:rsidR="00BC1EB8" w:rsidRPr="00BC1EB8">
        <w:t>white feminists’ engagement with empire</w:t>
      </w:r>
      <w:r w:rsidR="00BC1EB8">
        <w:t xml:space="preserve"> is discussed.</w:t>
      </w:r>
      <w:r w:rsidR="004A5E75">
        <w:rPr>
          <w:rStyle w:val="FootnoteReference"/>
        </w:rPr>
        <w:footnoteReference w:id="22"/>
      </w:r>
      <w:r w:rsidR="00BC1EB8">
        <w:t xml:space="preserve"> </w:t>
      </w:r>
      <w:r w:rsidR="00B67EBC">
        <w:t xml:space="preserve">European women who were living in colonised areas </w:t>
      </w:r>
      <w:r w:rsidR="00FF2880">
        <w:t xml:space="preserve">started </w:t>
      </w:r>
      <w:r w:rsidR="00FF2880" w:rsidRPr="00FF2880">
        <w:t>campaigns relating to topics such as forced and early marriage, female genital cutting, and child labour</w:t>
      </w:r>
      <w:r w:rsidR="00FF2880">
        <w:t xml:space="preserve"> in an attempt to ‘improve’ </w:t>
      </w:r>
      <w:r w:rsidR="00A634DE">
        <w:t xml:space="preserve">these societies. </w:t>
      </w:r>
      <w:r w:rsidR="00760E87">
        <w:t>For example, in India ‘</w:t>
      </w:r>
      <w:r w:rsidR="00760E87">
        <w:t>British women were being urged to take on an active, guiding,</w:t>
      </w:r>
      <w:r w:rsidR="00760E87">
        <w:t xml:space="preserve"> </w:t>
      </w:r>
      <w:r w:rsidR="00760E87">
        <w:t>maternalistic</w:t>
      </w:r>
      <w:r w:rsidR="00760E87">
        <w:t xml:space="preserve"> </w:t>
      </w:r>
      <w:r w:rsidR="00760E87">
        <w:t>role as tutors and guardians of suffering Indian women</w:t>
      </w:r>
      <w:r w:rsidR="00760E87">
        <w:t>’.</w:t>
      </w:r>
      <w:r w:rsidR="00760E87">
        <w:rPr>
          <w:rStyle w:val="FootnoteReference"/>
        </w:rPr>
        <w:footnoteReference w:id="23"/>
      </w:r>
      <w:r w:rsidR="00C701DE">
        <w:t xml:space="preserve"> This is another example of the self-imposed superiority that the British colonisers believed they possessed</w:t>
      </w:r>
      <w:r w:rsidR="007C01E3">
        <w:t xml:space="preserve"> and the involvement </w:t>
      </w:r>
      <w:r w:rsidR="00042E89">
        <w:t>in sensitive cultural practices.</w:t>
      </w:r>
    </w:p>
    <w:p w14:paraId="6FCC4A53" w14:textId="0AE4CAB8" w:rsidR="00345423" w:rsidRDefault="00345423" w:rsidP="004F4530">
      <w:r>
        <w:lastRenderedPageBreak/>
        <w:t xml:space="preserve">It can also be suggested that </w:t>
      </w:r>
      <w:r w:rsidR="00E9334A">
        <w:t xml:space="preserve">colonialism undermined </w:t>
      </w:r>
      <w:r w:rsidR="008F11F8">
        <w:t>the position of women.</w:t>
      </w:r>
      <w:r w:rsidR="008F11F8">
        <w:rPr>
          <w:rStyle w:val="FootnoteReference"/>
        </w:rPr>
        <w:footnoteReference w:id="24"/>
      </w:r>
      <w:r w:rsidR="00F60D48">
        <w:t xml:space="preserve"> This can be seen in native communities</w:t>
      </w:r>
      <w:r w:rsidR="2591BE9C">
        <w:t>,</w:t>
      </w:r>
      <w:r w:rsidR="00F60D48">
        <w:t xml:space="preserve"> as before colonisation some </w:t>
      </w:r>
      <w:r w:rsidR="00C16962">
        <w:t xml:space="preserve">of these </w:t>
      </w:r>
      <w:r w:rsidR="00F60D48">
        <w:t xml:space="preserve">communities had </w:t>
      </w:r>
      <w:r w:rsidR="00620918">
        <w:t>matriarchal</w:t>
      </w:r>
      <w:r w:rsidR="00F60D48">
        <w:t xml:space="preserve"> societies where women held more independence and power, however these societies and power balances shifted as European colonisers introduced </w:t>
      </w:r>
      <w:r w:rsidR="000A513B">
        <w:t xml:space="preserve">more </w:t>
      </w:r>
      <w:r w:rsidR="00620918">
        <w:t xml:space="preserve">patriarchal systems. </w:t>
      </w:r>
      <w:r w:rsidR="004C5182">
        <w:t>These patriarchal values had an impact o</w:t>
      </w:r>
      <w:r w:rsidR="00541F10">
        <w:t>n</w:t>
      </w:r>
      <w:r w:rsidR="004C5182">
        <w:t xml:space="preserve"> gender</w:t>
      </w:r>
      <w:r w:rsidR="00541F10">
        <w:t xml:space="preserve"> roles and expectations.</w:t>
      </w:r>
      <w:r w:rsidR="00541F10">
        <w:rPr>
          <w:rStyle w:val="FootnoteReference"/>
        </w:rPr>
        <w:footnoteReference w:id="25"/>
      </w:r>
      <w:r w:rsidR="004C5182">
        <w:t xml:space="preserve"> </w:t>
      </w:r>
      <w:r w:rsidR="000A513B">
        <w:t xml:space="preserve">This led to women being mistreated and undermined as they had their power stripped. This can also be seen </w:t>
      </w:r>
      <w:r w:rsidR="00833104">
        <w:t>through the European women who moved to the settler colonies with their husbands, as they would be separated from their home communities and would have to be obedient to their husbands.</w:t>
      </w:r>
      <w:r w:rsidR="00C701DE">
        <w:t xml:space="preserve"> This is a key example of gender as a tool of analysis as it can be used to study the changes to roles caused by colonialism.</w:t>
      </w:r>
    </w:p>
    <w:p w14:paraId="00570FCF" w14:textId="44985E34" w:rsidR="00D27CAE" w:rsidRDefault="008F11F8" w:rsidP="004F4530">
      <w:r>
        <w:t xml:space="preserve">Within Empire history, </w:t>
      </w:r>
      <w:r w:rsidR="00C701DE">
        <w:t>g</w:t>
      </w:r>
      <w:r>
        <w:t xml:space="preserve">ender can be used to </w:t>
      </w:r>
      <w:r>
        <w:t>break down the androcentric (male-focused) narratives that have historically overlooked the role of women</w:t>
      </w:r>
      <w:r w:rsidR="00C701DE">
        <w:t>,</w:t>
      </w:r>
      <w:r>
        <w:t xml:space="preserve"> in order to deconstruct</w:t>
      </w:r>
      <w:r w:rsidR="00C701DE">
        <w:t xml:space="preserve"> these boundaries. </w:t>
      </w:r>
      <w:r w:rsidR="00906E40">
        <w:t xml:space="preserve">Looking at gender can break down these narratives and boundaries as it allows historians to understand the roles and impacts women had, and how this supported the roles that men held. </w:t>
      </w:r>
      <w:r w:rsidR="00C701DE">
        <w:t>This also allows historians to</w:t>
      </w:r>
      <w:r>
        <w:t xml:space="preserve"> further understand the power within </w:t>
      </w:r>
      <w:r w:rsidR="00A24323">
        <w:t xml:space="preserve">empire as </w:t>
      </w:r>
      <w:r w:rsidR="00C701DE">
        <w:t>well as the power imbalances</w:t>
      </w:r>
      <w:r>
        <w:t>.</w:t>
      </w:r>
      <w:r w:rsidR="00AE6233">
        <w:t xml:space="preserve"> By </w:t>
      </w:r>
      <w:r w:rsidR="00020523">
        <w:t>applying gender as a</w:t>
      </w:r>
      <w:r w:rsidR="00A24323">
        <w:t>n analytical</w:t>
      </w:r>
      <w:r w:rsidR="00020523">
        <w:t xml:space="preserve"> tool</w:t>
      </w:r>
      <w:r w:rsidR="00A24323">
        <w:t xml:space="preserve"> by which to look at empire</w:t>
      </w:r>
      <w:r w:rsidR="00020523">
        <w:t xml:space="preserve">, historians can unpack </w:t>
      </w:r>
      <w:r w:rsidR="00A24323">
        <w:t>any existing</w:t>
      </w:r>
      <w:r w:rsidR="00020523">
        <w:t xml:space="preserve"> bias and </w:t>
      </w:r>
      <w:r w:rsidR="00A24323">
        <w:t xml:space="preserve">further </w:t>
      </w:r>
      <w:r w:rsidR="00020523">
        <w:t xml:space="preserve">develop their understanding. This allows a deeper understanding through </w:t>
      </w:r>
      <w:r w:rsidR="004673AC">
        <w:t>studying the effects that gender has had on the events of history but also how these events are recorded.</w:t>
      </w:r>
      <w:r w:rsidR="00E7566C">
        <w:t xml:space="preserve"> This can also be used to re-evaluate power dynamics and the effects that they have had.</w:t>
      </w:r>
    </w:p>
    <w:p w14:paraId="74D20788" w14:textId="7B9C669D" w:rsidR="008F11F8" w:rsidRDefault="008F11F8" w:rsidP="004F4530">
      <w:r>
        <w:t>Gender as a tool of analysis can provide structure to the history of empire.</w:t>
      </w:r>
      <w:r w:rsidR="00592E84">
        <w:t xml:space="preserve"> This is due to</w:t>
      </w:r>
      <w:r w:rsidR="006645D2">
        <w:t xml:space="preserve"> the fact that it allows a category for information to be organised by which allows it to be interpreted.</w:t>
      </w:r>
      <w:r w:rsidR="002C4DCE">
        <w:t xml:space="preserve"> This means that </w:t>
      </w:r>
      <w:r w:rsidR="008E59C9">
        <w:t xml:space="preserve">historians are able to </w:t>
      </w:r>
      <w:r w:rsidR="009230CF">
        <w:t xml:space="preserve">organise events and information </w:t>
      </w:r>
      <w:r w:rsidR="00954C3C">
        <w:t>into</w:t>
      </w:r>
      <w:r w:rsidR="009230CF">
        <w:t xml:space="preserve"> coherent narratives</w:t>
      </w:r>
      <w:r w:rsidR="004004A7">
        <w:t xml:space="preserve"> and form tangible connections between </w:t>
      </w:r>
      <w:r w:rsidR="00187081">
        <w:t>them.</w:t>
      </w:r>
      <w:r w:rsidR="00954C3C">
        <w:t xml:space="preserve"> This also </w:t>
      </w:r>
      <w:r w:rsidR="00954C3C" w:rsidRPr="00954C3C">
        <w:t xml:space="preserve">allows historians to look past simple accounts of battles and political </w:t>
      </w:r>
      <w:r w:rsidR="003C2D85" w:rsidRPr="00954C3C">
        <w:t>decrees and</w:t>
      </w:r>
      <w:r w:rsidR="00954C3C">
        <w:t xml:space="preserve"> look at the </w:t>
      </w:r>
      <w:r w:rsidR="00954C3C" w:rsidRPr="00954C3C">
        <w:t>gender roles and relations</w:t>
      </w:r>
      <w:r w:rsidR="00954C3C">
        <w:t xml:space="preserve"> behind these events and view the</w:t>
      </w:r>
      <w:r w:rsidR="0049763C">
        <w:t>m</w:t>
      </w:r>
      <w:r w:rsidR="00954C3C" w:rsidRPr="00954C3C">
        <w:t xml:space="preserve"> as central to colonial power dynamics.</w:t>
      </w:r>
      <w:r w:rsidR="0049763C">
        <w:rPr>
          <w:rStyle w:val="FootnoteReference"/>
        </w:rPr>
        <w:footnoteReference w:id="26"/>
      </w:r>
      <w:r w:rsidR="00954C3C" w:rsidRPr="00954C3C">
        <w:t xml:space="preserve"> It operates as a critical lens </w:t>
      </w:r>
      <w:r w:rsidR="003C2D85">
        <w:t>that can</w:t>
      </w:r>
      <w:r w:rsidR="00954C3C" w:rsidRPr="00954C3C">
        <w:t xml:space="preserve"> reveal how empires justified their rule, managed local populations, and shaped their societies</w:t>
      </w:r>
      <w:r w:rsidR="00A77BD0">
        <w:t>.</w:t>
      </w:r>
      <w:r w:rsidR="00A77BD0">
        <w:rPr>
          <w:rStyle w:val="FootnoteReference"/>
        </w:rPr>
        <w:footnoteReference w:id="27"/>
      </w:r>
    </w:p>
    <w:p w14:paraId="350DE345" w14:textId="71D04D0F" w:rsidR="00D27CAE" w:rsidRDefault="007D4FC1" w:rsidP="00AE3D44">
      <w:r>
        <w:t xml:space="preserve">Empire and gender </w:t>
      </w:r>
      <w:r w:rsidR="00456F08">
        <w:t>h</w:t>
      </w:r>
      <w:r w:rsidR="00E21813">
        <w:t xml:space="preserve">istorians such as Phillipa Levine </w:t>
      </w:r>
      <w:r w:rsidR="00F8678F">
        <w:t>do not simply ‘</w:t>
      </w:r>
      <w:r w:rsidR="00DE167F">
        <w:t>add gender to a preset history of</w:t>
      </w:r>
      <w:r w:rsidR="00DE167F">
        <w:t xml:space="preserve"> </w:t>
      </w:r>
      <w:r w:rsidR="00DE167F">
        <w:t>imperialism</w:t>
      </w:r>
      <w:r w:rsidR="00DE167F">
        <w:t xml:space="preserve">’ but rather </w:t>
      </w:r>
      <w:r w:rsidR="00FD424F">
        <w:t xml:space="preserve">understand that </w:t>
      </w:r>
      <w:r w:rsidR="00177493">
        <w:t>e</w:t>
      </w:r>
      <w:r w:rsidR="00177493" w:rsidRPr="00177493">
        <w:t>mpires themselves cannot be understood without employing a gendered perspective</w:t>
      </w:r>
      <w:r w:rsidR="00177493">
        <w:t>.</w:t>
      </w:r>
      <w:r w:rsidR="00177493">
        <w:rPr>
          <w:rStyle w:val="FootnoteReference"/>
        </w:rPr>
        <w:footnoteReference w:id="28"/>
      </w:r>
      <w:r w:rsidR="00C2703A">
        <w:t xml:space="preserve"> Historians can approach gender </w:t>
      </w:r>
      <w:r w:rsidR="004136E6">
        <w:t>in a way that</w:t>
      </w:r>
      <w:r w:rsidR="0051684B">
        <w:t xml:space="preserve"> </w:t>
      </w:r>
      <w:r w:rsidR="0051684B">
        <w:t>‘</w:t>
      </w:r>
      <w:r w:rsidR="0051684B">
        <w:t>refers to the existence of phenomena or</w:t>
      </w:r>
      <w:r w:rsidR="001D469C">
        <w:t xml:space="preserve"> </w:t>
      </w:r>
      <w:r w:rsidR="0051684B">
        <w:t>realities without interpreting, explaining, or attributing causality</w:t>
      </w:r>
      <w:r w:rsidR="0051684B">
        <w:t xml:space="preserve">’ or </w:t>
      </w:r>
      <w:r w:rsidR="001D469C">
        <w:t xml:space="preserve">by theorising </w:t>
      </w:r>
      <w:r w:rsidR="001D469C">
        <w:t xml:space="preserve">about the </w:t>
      </w:r>
      <w:r w:rsidR="001D469C">
        <w:t>‘</w:t>
      </w:r>
      <w:r w:rsidR="001D469C">
        <w:t>nature of phenomena or realities, seeking</w:t>
      </w:r>
      <w:r w:rsidR="001D469C">
        <w:t xml:space="preserve"> </w:t>
      </w:r>
      <w:r w:rsidR="001D469C">
        <w:t>an understanding of how and why these take the form they do</w:t>
      </w:r>
      <w:r w:rsidR="001D469C">
        <w:t>’</w:t>
      </w:r>
      <w:r w:rsidR="001D469C">
        <w:t>.</w:t>
      </w:r>
      <w:r w:rsidR="001D469C">
        <w:rPr>
          <w:rStyle w:val="FootnoteReference"/>
        </w:rPr>
        <w:footnoteReference w:id="29"/>
      </w:r>
      <w:r w:rsidR="0050416A">
        <w:t xml:space="preserve"> </w:t>
      </w:r>
      <w:r w:rsidR="00DD4E4A">
        <w:t>Durba Ghos</w:t>
      </w:r>
      <w:r w:rsidR="00AE3D44">
        <w:t>h states that ‘</w:t>
      </w:r>
      <w:r w:rsidR="00AE3D44">
        <w:t xml:space="preserve">we must </w:t>
      </w:r>
      <w:r w:rsidR="00AE3D44">
        <w:lastRenderedPageBreak/>
        <w:t>go beyond recuperating w</w:t>
      </w:r>
      <w:r w:rsidR="005F503F">
        <w:t>omen in history</w:t>
      </w:r>
      <w:r w:rsidR="00C53095">
        <w:t>’ and that</w:t>
      </w:r>
      <w:r w:rsidR="0047233C">
        <w:t xml:space="preserve"> more people should address how the</w:t>
      </w:r>
      <w:r w:rsidR="00AE3D44">
        <w:t xml:space="preserve"> </w:t>
      </w:r>
      <w:r w:rsidR="0047233C">
        <w:t>‘</w:t>
      </w:r>
      <w:r w:rsidR="00AE3D44">
        <w:t>participation of w</w:t>
      </w:r>
      <w:r w:rsidR="005F503F">
        <w:t xml:space="preserve">omen </w:t>
      </w:r>
      <w:r w:rsidR="00C53095">
        <w:t>might</w:t>
      </w:r>
      <w:r w:rsidR="005F503F">
        <w:t xml:space="preserve"> have </w:t>
      </w:r>
      <w:r w:rsidR="00C53095">
        <w:t xml:space="preserve">affected </w:t>
      </w:r>
      <w:r w:rsidR="00AE3D44">
        <w:t>the nature of</w:t>
      </w:r>
      <w:r w:rsidR="00C53095">
        <w:t xml:space="preserve"> colonial rule’</w:t>
      </w:r>
      <w:r w:rsidR="0047233C">
        <w:t>.</w:t>
      </w:r>
      <w:r w:rsidR="0047233C">
        <w:rPr>
          <w:rStyle w:val="FootnoteReference"/>
        </w:rPr>
        <w:footnoteReference w:id="30"/>
      </w:r>
      <w:r w:rsidR="00042E89">
        <w:t xml:space="preserve"> This therefore shows how historians have incorporated gender as a tool of analysis within the history of empire.</w:t>
      </w:r>
    </w:p>
    <w:p w14:paraId="3EC7A868" w14:textId="54F78D07" w:rsidR="006E2335" w:rsidRDefault="006B28ED" w:rsidP="006E2335">
      <w:r>
        <w:t xml:space="preserve">Gender is important </w:t>
      </w:r>
      <w:r w:rsidR="004374BA">
        <w:t>to the history of empire as</w:t>
      </w:r>
      <w:r>
        <w:t xml:space="preserve"> </w:t>
      </w:r>
      <w:r w:rsidR="004374BA">
        <w:t>it could be suggested that ‘</w:t>
      </w:r>
      <w:r w:rsidR="004374BA">
        <w:t>gender always lurked behind traditional</w:t>
      </w:r>
      <w:r w:rsidR="004374BA">
        <w:t xml:space="preserve"> </w:t>
      </w:r>
      <w:r w:rsidR="004374BA">
        <w:t>histories of imperialism in the masculine figure of the diplomat,</w:t>
      </w:r>
      <w:r w:rsidR="004374BA">
        <w:t xml:space="preserve"> </w:t>
      </w:r>
      <w:r w:rsidR="004374BA">
        <w:t>explorer, soldier, or freedom fighter</w:t>
      </w:r>
      <w:r w:rsidR="004374BA">
        <w:t>’.</w:t>
      </w:r>
      <w:r w:rsidR="004374BA">
        <w:rPr>
          <w:rStyle w:val="FootnoteReference"/>
        </w:rPr>
        <w:footnoteReference w:id="31"/>
      </w:r>
      <w:r w:rsidR="00F05D0B">
        <w:t xml:space="preserve"> </w:t>
      </w:r>
      <w:r w:rsidR="00042E89">
        <w:t xml:space="preserve">This shows that </w:t>
      </w:r>
      <w:r w:rsidR="0076059B">
        <w:t xml:space="preserve">imperial history is typically viewed as very masculine oriented, however this </w:t>
      </w:r>
      <w:r w:rsidR="00867240">
        <w:t xml:space="preserve">gendered stereotype may not be accurate </w:t>
      </w:r>
      <w:r w:rsidR="00906E40">
        <w:t xml:space="preserve">as it does not consider the roles women played or the support they provided </w:t>
      </w:r>
      <w:r w:rsidR="00867240">
        <w:t xml:space="preserve">but it does show that gender plays a key role in the history of empire. </w:t>
      </w:r>
      <w:r w:rsidR="00F05D0B">
        <w:t>This is also key as f</w:t>
      </w:r>
      <w:r w:rsidR="006E2335">
        <w:t xml:space="preserve">eminist theories provide insights into </w:t>
      </w:r>
      <w:r w:rsidR="00AC05EE">
        <w:t>‘</w:t>
      </w:r>
      <w:r w:rsidR="006E2335">
        <w:t>different aspects of power dynamics in social</w:t>
      </w:r>
      <w:r w:rsidR="006E2335">
        <w:t xml:space="preserve"> </w:t>
      </w:r>
      <w:r w:rsidR="006E2335">
        <w:t>institutions implementing patriarchal colonialism</w:t>
      </w:r>
      <w:r w:rsidR="006E2335">
        <w:t>’.</w:t>
      </w:r>
      <w:r w:rsidR="006E2335">
        <w:rPr>
          <w:rStyle w:val="FootnoteReference"/>
        </w:rPr>
        <w:footnoteReference w:id="32"/>
      </w:r>
      <w:r w:rsidR="00E7566C">
        <w:t xml:space="preserve"> </w:t>
      </w:r>
      <w:r w:rsidR="00867240">
        <w:t>These include the power held by men as compared to women and by white settlers as compared to colonised individuals and how these dynamics were perpetuated by the patriarchy.</w:t>
      </w:r>
    </w:p>
    <w:p w14:paraId="32D7D7A9" w14:textId="404B708D" w:rsidR="00AD7DBE" w:rsidRDefault="00AD7DBE" w:rsidP="006E2335">
      <w:r>
        <w:t>Gender analysis</w:t>
      </w:r>
      <w:r w:rsidR="00447125">
        <w:t xml:space="preserve"> in</w:t>
      </w:r>
      <w:r w:rsidR="007D4FC1">
        <w:t xml:space="preserve"> the</w:t>
      </w:r>
      <w:r w:rsidR="00447125">
        <w:t xml:space="preserve"> field</w:t>
      </w:r>
      <w:r w:rsidR="007D4FC1">
        <w:t xml:space="preserve"> of empire history</w:t>
      </w:r>
      <w:r>
        <w:t xml:space="preserve"> </w:t>
      </w:r>
      <w:r w:rsidR="00447125">
        <w:t>r</w:t>
      </w:r>
      <w:r w:rsidR="00447125" w:rsidRPr="00447125">
        <w:t>equires acknowledging how gender interacted with race</w:t>
      </w:r>
      <w:r w:rsidR="00097164">
        <w:t xml:space="preserve"> and class at the time of colonisatio</w:t>
      </w:r>
      <w:r w:rsidR="00BB0A2B">
        <w:t>n</w:t>
      </w:r>
      <w:r w:rsidR="007D4FC1">
        <w:t>. T</w:t>
      </w:r>
      <w:r w:rsidR="00447125">
        <w:t>h</w:t>
      </w:r>
      <w:r w:rsidR="0033387D">
        <w:t>i</w:t>
      </w:r>
      <w:r w:rsidR="00447125">
        <w:t>s enable</w:t>
      </w:r>
      <w:r w:rsidR="0033387D">
        <w:t>s</w:t>
      </w:r>
      <w:r w:rsidR="00447125">
        <w:t xml:space="preserve"> historians to </w:t>
      </w:r>
      <w:r w:rsidR="00D1563C">
        <w:t>understand</w:t>
      </w:r>
      <w:r w:rsidR="0033387D">
        <w:t xml:space="preserve"> how the intersecting of these factors led to the poor treatment of </w:t>
      </w:r>
      <w:r w:rsidR="00D1563C">
        <w:t xml:space="preserve">indigenous populations throughout time. </w:t>
      </w:r>
      <w:r w:rsidR="0076122E">
        <w:t>This also allows historians to further understand the position of women and how this varied based on these key factors.</w:t>
      </w:r>
      <w:r w:rsidR="00187081">
        <w:t xml:space="preserve"> Although women were treated </w:t>
      </w:r>
      <w:r w:rsidR="007C340C">
        <w:t xml:space="preserve">as inferior to men, </w:t>
      </w:r>
      <w:r w:rsidR="006D4D8A">
        <w:t>people</w:t>
      </w:r>
      <w:r w:rsidR="007C340C">
        <w:t xml:space="preserve"> of lower classes were seen as further inferior as were </w:t>
      </w:r>
      <w:r w:rsidR="006D4D8A">
        <w:t xml:space="preserve">people who were not white and European. This led to poor treatment of colonised individuals due to </w:t>
      </w:r>
      <w:r w:rsidR="1925113B">
        <w:t xml:space="preserve">them </w:t>
      </w:r>
      <w:r w:rsidR="006D4D8A">
        <w:t>being viewed as inferior by th</w:t>
      </w:r>
      <w:r w:rsidR="00D5286E">
        <w:t>e white colonisers who were</w:t>
      </w:r>
      <w:r w:rsidR="006D4D8A">
        <w:t xml:space="preserve"> in power.</w:t>
      </w:r>
      <w:r w:rsidR="005809D4">
        <w:t xml:space="preserve"> This also shows how it is important to consider how an </w:t>
      </w:r>
      <w:r w:rsidR="209A7A64">
        <w:t>individual's</w:t>
      </w:r>
      <w:r w:rsidR="005809D4">
        <w:t xml:space="preserve"> circumstances affect</w:t>
      </w:r>
      <w:r w:rsidR="2201AC39">
        <w:t>ed</w:t>
      </w:r>
      <w:r w:rsidR="005809D4">
        <w:t xml:space="preserve"> their experiences and understanding. For example, colonised individuals would have very different op</w:t>
      </w:r>
      <w:r w:rsidR="002F54B6">
        <w:t>inio</w:t>
      </w:r>
      <w:r w:rsidR="005809D4">
        <w:t xml:space="preserve">ns on empire compared to </w:t>
      </w:r>
      <w:r w:rsidR="002F54B6">
        <w:t>colonisers and these opinions may also differ between genders and classes due to the difference in treatment they received.</w:t>
      </w:r>
    </w:p>
    <w:p w14:paraId="4602FCA4" w14:textId="16945184" w:rsidR="00EF7698" w:rsidRDefault="002F54B6" w:rsidP="006E2335">
      <w:r>
        <w:t xml:space="preserve">Overall, </w:t>
      </w:r>
      <w:r w:rsidR="000F4B25">
        <w:t xml:space="preserve">historians of empire have incorporated </w:t>
      </w:r>
      <w:r w:rsidR="003F7BF3">
        <w:t>gender as a tool of</w:t>
      </w:r>
      <w:r w:rsidR="00F0538B">
        <w:t xml:space="preserve"> analysis in order to further </w:t>
      </w:r>
      <w:r w:rsidR="00725078">
        <w:t xml:space="preserve">understand the </w:t>
      </w:r>
      <w:r w:rsidR="00AE49B5">
        <w:t xml:space="preserve">effects that gender has had on history and to </w:t>
      </w:r>
      <w:r w:rsidR="00DF098C" w:rsidRPr="00DF098C">
        <w:t>analyse history through a specific lens that focuses on the difference in treatment between genders as well as ideas of sexuality and power</w:t>
      </w:r>
      <w:r w:rsidR="00AE49B5">
        <w:t>.</w:t>
      </w:r>
      <w:r w:rsidR="00FA13D6">
        <w:t xml:space="preserve"> </w:t>
      </w:r>
      <w:r w:rsidR="00FA13D6" w:rsidRPr="00FA13D6">
        <w:t>Using gender as an analytical tool</w:t>
      </w:r>
      <w:r w:rsidR="00FA13D6">
        <w:t xml:space="preserve"> can</w:t>
      </w:r>
      <w:r w:rsidR="00FA13D6" w:rsidRPr="00FA13D6">
        <w:t xml:space="preserve"> also reveal structures of inequality that can be seen when studying </w:t>
      </w:r>
      <w:r w:rsidR="00BA47D9">
        <w:t>the history of empire</w:t>
      </w:r>
      <w:r w:rsidR="00FA13D6">
        <w:t xml:space="preserve">. </w:t>
      </w:r>
      <w:r w:rsidR="00610469">
        <w:t xml:space="preserve">Gender can also be used to identify the </w:t>
      </w:r>
      <w:r w:rsidR="00B00881">
        <w:t>differences in the way people have</w:t>
      </w:r>
      <w:r w:rsidR="00610469">
        <w:t xml:space="preserve"> experience</w:t>
      </w:r>
      <w:r w:rsidR="00B00881">
        <w:t xml:space="preserve">d </w:t>
      </w:r>
      <w:r w:rsidR="0033691C">
        <w:t xml:space="preserve">events throughout </w:t>
      </w:r>
      <w:r w:rsidR="00BA47D9">
        <w:t>empire</w:t>
      </w:r>
      <w:r w:rsidR="00B00881">
        <w:t>, especially when combined with race and class</w:t>
      </w:r>
      <w:r w:rsidR="0033691C">
        <w:t xml:space="preserve">. This can also allow historians to further understand </w:t>
      </w:r>
      <w:r w:rsidR="00C93585">
        <w:t xml:space="preserve">individual experiences. </w:t>
      </w:r>
      <w:r w:rsidR="006A0F94">
        <w:t>Using gender</w:t>
      </w:r>
      <w:r w:rsidR="00FB1189">
        <w:t xml:space="preserve"> as a tool of analysis can also help historians to un</w:t>
      </w:r>
      <w:r w:rsidR="009C3CD6">
        <w:t xml:space="preserve">derstand how the work of the different genders </w:t>
      </w:r>
      <w:r w:rsidR="0085252C">
        <w:t>impacted and contributed to empire and the structures that supported empire.</w:t>
      </w:r>
      <w:r w:rsidR="00785FEB">
        <w:t xml:space="preserve"> Gender as a tool of analysis </w:t>
      </w:r>
      <w:r w:rsidR="000668E2">
        <w:t>can also allow historians to further under</w:t>
      </w:r>
      <w:r w:rsidR="00487E61">
        <w:t>stand the status of women compared to men throughout time</w:t>
      </w:r>
      <w:r w:rsidR="00BA47D9">
        <w:t>, especially during the key periods of empire</w:t>
      </w:r>
      <w:r w:rsidR="00487E61">
        <w:t xml:space="preserve">. </w:t>
      </w:r>
      <w:r w:rsidR="009B34C4">
        <w:t xml:space="preserve">Gender is one of the analysis tools that historians can use to further their understanding </w:t>
      </w:r>
      <w:r w:rsidR="00B457F0">
        <w:t>of events of history and how they have impacted societies</w:t>
      </w:r>
      <w:r w:rsidR="007D4FC1">
        <w:t xml:space="preserve">. This is especially important in terms of the history of empire. </w:t>
      </w:r>
    </w:p>
    <w:sdt>
      <w:sdtPr>
        <w:rPr>
          <w:rFonts w:asciiTheme="minorHAnsi" w:eastAsiaTheme="minorEastAsia" w:hAnsiTheme="minorHAnsi" w:cstheme="minorBidi"/>
          <w:color w:val="auto"/>
          <w:sz w:val="22"/>
          <w:szCs w:val="22"/>
        </w:rPr>
        <w:id w:val="-1657682405"/>
        <w:docPartObj>
          <w:docPartGallery w:val="Bibliographies"/>
          <w:docPartUnique/>
        </w:docPartObj>
      </w:sdtPr>
      <w:sdtContent>
        <w:p w14:paraId="37C1902D" w14:textId="7BA307A6" w:rsidR="00EF7698" w:rsidRDefault="00EF7698">
          <w:pPr>
            <w:pStyle w:val="Heading1"/>
          </w:pPr>
          <w:r>
            <w:t>Bibliography:</w:t>
          </w:r>
        </w:p>
        <w:p w14:paraId="70A74E91" w14:textId="328C0CDB" w:rsidR="008E1D64" w:rsidRDefault="008E1D64" w:rsidP="008E1D64">
          <w:r w:rsidRPr="008E1D64">
            <w:t xml:space="preserve">Banerjee, S. (2010). </w:t>
          </w:r>
          <w:r w:rsidRPr="008E1D64">
            <w:rPr>
              <w:i/>
              <w:iCs/>
            </w:rPr>
            <w:t>Debates on Domesticity and the Position of Women in Late Colonial India: Women and Domesticity in Late Colonial India. History Compass</w:t>
          </w:r>
          <w:r w:rsidRPr="008E1D64">
            <w:t>. 8. 455-473. 10.1111/j.1478-0542.2010.00688.x.</w:t>
          </w:r>
        </w:p>
        <w:p w14:paraId="073A437C" w14:textId="022955D0" w:rsidR="007C185C" w:rsidRPr="008E1D64" w:rsidRDefault="007C185C" w:rsidP="008E1D64">
          <w:r w:rsidRPr="007C185C">
            <w:t>Burton, A. (2001</w:t>
          </w:r>
          <w:r w:rsidRPr="007C185C">
            <w:rPr>
              <w:i/>
              <w:iCs/>
            </w:rPr>
            <w:t>). Thinking beyond the Boundaries: Empire, Feminism and the Domains of History. Social History,</w:t>
          </w:r>
          <w:r w:rsidRPr="007C185C">
            <w:t xml:space="preserve"> 26(1), 60–71. </w:t>
          </w:r>
          <w:hyperlink r:id="rId11" w:history="1">
            <w:r w:rsidRPr="00214A51">
              <w:rPr>
                <w:rStyle w:val="Hyperlink"/>
              </w:rPr>
              <w:t>http://www.jstor.org/stable/4286723</w:t>
            </w:r>
          </w:hyperlink>
          <w:r>
            <w:t xml:space="preserve"> </w:t>
          </w:r>
        </w:p>
        <w:p w14:paraId="357BF8B8" w14:textId="1FAE7FFB" w:rsidR="00ED4082" w:rsidRDefault="00ED4082" w:rsidP="00ED4082">
          <w:r w:rsidRPr="00ED4082">
            <w:t>Bush, B ‘</w:t>
          </w:r>
          <w:r w:rsidRPr="00ED4082">
            <w:rPr>
              <w:i/>
              <w:iCs/>
            </w:rPr>
            <w:t>Feminising Empire? British Women’s Activist Networks in Defending and Challenging Empire from 1918 to Decolonisation’, Women’s History Review</w:t>
          </w:r>
          <w:r w:rsidRPr="00ED4082">
            <w:t xml:space="preserve"> 25:4 (2016), 499-519.</w:t>
          </w:r>
          <w:r>
            <w:t xml:space="preserve"> </w:t>
          </w:r>
        </w:p>
        <w:p w14:paraId="4520ABB8" w14:textId="75CC3618" w:rsidR="008A4C3C" w:rsidRPr="00ED4082" w:rsidRDefault="008A4C3C" w:rsidP="00ED4082">
          <w:r w:rsidRPr="008A4C3C">
            <w:t xml:space="preserve">Castrucci, A, </w:t>
          </w:r>
          <w:r w:rsidRPr="008A4C3C">
            <w:rPr>
              <w:i/>
              <w:iCs/>
            </w:rPr>
            <w:t>Rethinking a Contested Analytical Lens: The Evolution of Gender in Imperial Historiography</w:t>
          </w:r>
          <w:r w:rsidRPr="008A4C3C">
            <w:t>. (2025, February 23). Retrospect Journal.</w:t>
          </w:r>
        </w:p>
        <w:p w14:paraId="07E31E44" w14:textId="745A4C68" w:rsidR="0012704B" w:rsidRDefault="0012704B" w:rsidP="0012704B">
          <w:r w:rsidRPr="0012704B">
            <w:t xml:space="preserve">Cheung, A. (2024). </w:t>
          </w:r>
          <w:r w:rsidRPr="0012704B">
            <w:rPr>
              <w:i/>
              <w:iCs/>
            </w:rPr>
            <w:t>Gendering Empire: A Historiographical Exploration</w:t>
          </w:r>
          <w:r w:rsidRPr="0012704B">
            <w:t xml:space="preserve">. Plurality, 1(1). </w:t>
          </w:r>
          <w:hyperlink r:id="rId12" w:history="1">
            <w:r w:rsidRPr="00214A51">
              <w:rPr>
                <w:rStyle w:val="Hyperlink"/>
              </w:rPr>
              <w:t>https://doi.org/10.2218/plurality.10076</w:t>
            </w:r>
          </w:hyperlink>
          <w:r>
            <w:t xml:space="preserve"> </w:t>
          </w:r>
        </w:p>
        <w:p w14:paraId="40D9846E" w14:textId="1FA196C3" w:rsidR="004A720B" w:rsidRPr="0012704B" w:rsidRDefault="004A720B" w:rsidP="0012704B">
          <w:r w:rsidRPr="004A720B">
            <w:t xml:space="preserve">Duchess of Atholl MP, Col. Rt. Hon. Josiah Wedgwood MP, Miss Eleanor Rathbone MP, </w:t>
          </w:r>
          <w:r w:rsidRPr="004A720B">
            <w:rPr>
              <w:i/>
              <w:iCs/>
            </w:rPr>
            <w:t>Memorandum on Female Slavery Within the Family</w:t>
          </w:r>
          <w:r w:rsidRPr="004A720B">
            <w:t xml:space="preserve"> (1932)</w:t>
          </w:r>
          <w:r>
            <w:t xml:space="preserve"> </w:t>
          </w:r>
        </w:p>
        <w:sdt>
          <w:sdtPr>
            <w:id w:val="111145805"/>
            <w:bibliography/>
          </w:sdtPr>
          <w:sdtContent>
            <w:p w14:paraId="317D18B2" w14:textId="69C441C3" w:rsidR="00A53C53" w:rsidRDefault="00A53C53" w:rsidP="00A53C53">
              <w:r>
                <w:t xml:space="preserve">Ghosh, D. (2004). </w:t>
              </w:r>
              <w:r w:rsidRPr="00A53C53">
                <w:rPr>
                  <w:i/>
                  <w:iCs/>
                </w:rPr>
                <w:t>Gender and Colonialism: Expansion or Marginalization? The Historical Journal</w:t>
              </w:r>
              <w:r>
                <w:t xml:space="preserve">, 47(3), 737–755. </w:t>
              </w:r>
              <w:hyperlink r:id="rId13" w:history="1">
                <w:r w:rsidRPr="00214A51">
                  <w:rPr>
                    <w:rStyle w:val="Hyperlink"/>
                  </w:rPr>
                  <w:t>http://www.jstor.org/stable/4091763</w:t>
                </w:r>
              </w:hyperlink>
              <w:r>
                <w:t xml:space="preserve"> </w:t>
              </w:r>
              <w:r>
                <w:t xml:space="preserve"> </w:t>
              </w:r>
            </w:p>
            <w:p w14:paraId="273D50DF" w14:textId="180B4714" w:rsidR="00D00CA1" w:rsidRDefault="00D00CA1" w:rsidP="00A53C53">
              <w:r w:rsidRPr="00D00CA1">
                <w:t xml:space="preserve">Hall, C, </w:t>
              </w:r>
              <w:r w:rsidRPr="00D00CA1">
                <w:rPr>
                  <w:i/>
                  <w:iCs/>
                </w:rPr>
                <w:t>'Of Gender and Empire: Reflections on the Nineteenth Century', in Philippa Levine (ed.), Gender and Empire, Oxford History of the British Empire Companion Series</w:t>
              </w:r>
              <w:r w:rsidRPr="00D00CA1">
                <w:t xml:space="preserve"> (Oxford, 2007; online </w:t>
              </w:r>
              <w:proofErr w:type="spellStart"/>
              <w:r w:rsidRPr="00D00CA1">
                <w:t>edn</w:t>
              </w:r>
              <w:proofErr w:type="spellEnd"/>
              <w:r w:rsidRPr="00D00CA1">
                <w:t xml:space="preserve">, Oxford Academic, 3 Oct. 2011), https://doi.org/10.1093/acprof:oso/9780199249503.003.0003, accessed 21 May 2026.  </w:t>
              </w:r>
            </w:p>
            <w:p w14:paraId="2778B4BA" w14:textId="5FC93B39" w:rsidR="008B3B7C" w:rsidRDefault="008B3B7C" w:rsidP="00A53C53">
              <w:r w:rsidRPr="008B3B7C">
                <w:t>Heath, D, ‘</w:t>
              </w:r>
              <w:r w:rsidRPr="008B3B7C">
                <w:rPr>
                  <w:i/>
                  <w:iCs/>
                </w:rPr>
                <w:t>Colonial Violence’</w:t>
              </w:r>
              <w:r w:rsidRPr="008B3B7C">
                <w:t xml:space="preserve"> in J. Hogg (ed.) (Liverpool University Press: Liverpool, 2017), available open-access online here: </w:t>
              </w:r>
              <w:hyperlink r:id="rId14" w:history="1">
                <w:r w:rsidRPr="00214A51">
                  <w:rPr>
                    <w:rStyle w:val="Hyperlink"/>
                  </w:rPr>
                  <w:t>https://liverpooluniversitypress.manifoldapp.org/read/colonial-violence/section/71c632a8-6ae0-4de5-8c42-f4cca41f45d8</w:t>
                </w:r>
              </w:hyperlink>
              <w:r>
                <w:t xml:space="preserve"> </w:t>
              </w:r>
            </w:p>
            <w:p w14:paraId="51DE47D0" w14:textId="28E41A8C" w:rsidR="009A39CD" w:rsidRDefault="009A39CD" w:rsidP="00A53C53">
              <w:r w:rsidRPr="00BD060E">
                <w:rPr>
                  <w:i/>
                  <w:iCs/>
                </w:rPr>
                <w:t>Imperialism and Gender</w:t>
              </w:r>
              <w:r w:rsidRPr="009A39CD">
                <w:t xml:space="preserve"> | Encyclopedia.com. (n.d.). Www.encyclopedia.com. </w:t>
              </w:r>
              <w:hyperlink r:id="rId15" w:history="1">
                <w:r w:rsidRPr="00214A51">
                  <w:rPr>
                    <w:rStyle w:val="Hyperlink"/>
                  </w:rPr>
                  <w:t>https://www.encyclopedia.com/international/encyclopedias-almanacs-transcripts-and-maps/imperialism-and-gender</w:t>
                </w:r>
              </w:hyperlink>
              <w:r>
                <w:t xml:space="preserve"> </w:t>
              </w:r>
            </w:p>
            <w:p w14:paraId="207D8A51" w14:textId="15F592EB" w:rsidR="008A4C3C" w:rsidRDefault="008A4C3C" w:rsidP="00A53C53">
              <w:r w:rsidRPr="008A4C3C">
                <w:t xml:space="preserve">Lindquist, S. C. M. (2012). </w:t>
              </w:r>
              <w:r w:rsidRPr="008A4C3C">
                <w:rPr>
                  <w:i/>
                  <w:iCs/>
                </w:rPr>
                <w:t>Gender. Studies in Iconography, 33, 113–130</w:t>
              </w:r>
              <w:r w:rsidRPr="008A4C3C">
                <w:t xml:space="preserve">. </w:t>
              </w:r>
              <w:hyperlink r:id="rId16" w:history="1">
                <w:r w:rsidRPr="00214A51">
                  <w:rPr>
                    <w:rStyle w:val="Hyperlink"/>
                  </w:rPr>
                  <w:t>http://www.jstor.org/stable/23924277</w:t>
                </w:r>
              </w:hyperlink>
              <w:r>
                <w:t xml:space="preserve"> </w:t>
              </w:r>
            </w:p>
            <w:p w14:paraId="407A738A" w14:textId="4CFCD33B" w:rsidR="00476EF6" w:rsidRDefault="00476EF6" w:rsidP="00A53C53">
              <w:r w:rsidRPr="00476EF6">
                <w:t xml:space="preserve">McClintock, A, </w:t>
              </w:r>
              <w:r w:rsidRPr="00476EF6">
                <w:rPr>
                  <w:i/>
                  <w:iCs/>
                </w:rPr>
                <w:t>Imperial Leather: Race, Gender, and Sexuality in the Colonial Contest</w:t>
              </w:r>
              <w:r w:rsidRPr="00476EF6">
                <w:t xml:space="preserve"> (Routledge, 1995).</w:t>
              </w:r>
            </w:p>
            <w:p w14:paraId="083DFE1E" w14:textId="1CE2ADF1" w:rsidR="00BD060E" w:rsidRDefault="00BD060E" w:rsidP="00A53C53">
              <w:r w:rsidRPr="00BD060E">
                <w:t xml:space="preserve">McKinley, C. E., Liddell, J., &amp; Lilly, J. (2021). All </w:t>
              </w:r>
              <w:r w:rsidRPr="00BD060E">
                <w:rPr>
                  <w:i/>
                  <w:iCs/>
                </w:rPr>
                <w:t>Work and No Play: Indigenous Women "Pulling the Weight" in Home Life. The Social service review</w:t>
              </w:r>
              <w:r w:rsidRPr="00BD060E">
                <w:t xml:space="preserve">, 95(2), 278–311. </w:t>
              </w:r>
              <w:hyperlink r:id="rId17" w:history="1">
                <w:r w:rsidRPr="00214A51">
                  <w:rPr>
                    <w:rStyle w:val="Hyperlink"/>
                  </w:rPr>
                  <w:t>https://doi.org/10.1086/714551</w:t>
                </w:r>
              </w:hyperlink>
            </w:p>
            <w:p w14:paraId="5679D517" w14:textId="3A76D90D" w:rsidR="00DC30E8" w:rsidRDefault="00DC30E8" w:rsidP="00DC30E8">
              <w:r>
                <w:t xml:space="preserve">Midgley, C (2000) </w:t>
              </w:r>
              <w:r w:rsidRPr="00DC30E8">
                <w:rPr>
                  <w:i/>
                  <w:iCs/>
                </w:rPr>
                <w:t>Female emancipation in an imperial frame: English</w:t>
              </w:r>
              <w:r w:rsidRPr="00DC30E8">
                <w:rPr>
                  <w:i/>
                  <w:iCs/>
                </w:rPr>
                <w:t xml:space="preserve"> </w:t>
              </w:r>
              <w:r w:rsidRPr="00DC30E8">
                <w:rPr>
                  <w:i/>
                  <w:iCs/>
                </w:rPr>
                <w:t>women and the campaign against sati (widow-burning) in India</w:t>
              </w:r>
              <w:r>
                <w:t>, 1813–30, Women's History</w:t>
              </w:r>
            </w:p>
            <w:p w14:paraId="0234A85A" w14:textId="0E031971" w:rsidR="00BD060E" w:rsidRDefault="00BD060E" w:rsidP="00A53C53">
              <w:r w:rsidRPr="00BD060E">
                <w:t xml:space="preserve">Morrell, R. (1998). </w:t>
              </w:r>
              <w:r w:rsidRPr="00BD060E">
                <w:rPr>
                  <w:i/>
                  <w:iCs/>
                </w:rPr>
                <w:t>Of Boys and Men: Masculinity and Gender in Southern African Studies. Journal of Southern African Studies</w:t>
              </w:r>
              <w:r w:rsidRPr="00BD060E">
                <w:t xml:space="preserve">, 24(4), 605–630. </w:t>
              </w:r>
              <w:hyperlink r:id="rId18" w:history="1">
                <w:r w:rsidRPr="00214A51">
                  <w:rPr>
                    <w:rStyle w:val="Hyperlink"/>
                  </w:rPr>
                  <w:t>http://www.jstor.org/stable/2637466</w:t>
                </w:r>
              </w:hyperlink>
              <w:r>
                <w:t xml:space="preserve"> </w:t>
              </w:r>
            </w:p>
            <w:p w14:paraId="1D4F1E0F" w14:textId="03269CDE" w:rsidR="00363E5A" w:rsidRDefault="00363E5A" w:rsidP="00A53C53">
              <w:r w:rsidRPr="00363E5A">
                <w:lastRenderedPageBreak/>
                <w:t xml:space="preserve">Ray, C. (2013). </w:t>
              </w:r>
              <w:r w:rsidRPr="007C185C">
                <w:rPr>
                  <w:i/>
                  <w:iCs/>
                </w:rPr>
                <w:t>Interracial Sex and the Making of Empire. "Interracial Sex and the Making of Empire" in _A Companion to Diaspora and Transnationalism_,</w:t>
              </w:r>
              <w:r w:rsidRPr="00363E5A">
                <w:t xml:space="preserve"> Ato </w:t>
              </w:r>
              <w:proofErr w:type="spellStart"/>
              <w:r w:rsidRPr="00363E5A">
                <w:t>Quayson</w:t>
              </w:r>
              <w:proofErr w:type="spellEnd"/>
              <w:r w:rsidRPr="00363E5A">
                <w:t xml:space="preserve"> and Girish Daswani, Editors, Blackwell Publishing. https://doi.org/10.1002/9781118320792.CH11</w:t>
              </w:r>
            </w:p>
            <w:p w14:paraId="27293BA8" w14:textId="1B69A33F" w:rsidR="00A53C53" w:rsidRDefault="00A53C53" w:rsidP="00A53C53">
              <w:r>
                <w:t xml:space="preserve">Rizzo, T. (2017). </w:t>
              </w:r>
              <w:r w:rsidRPr="00A53C53">
                <w:rPr>
                  <w:i/>
                  <w:iCs/>
                </w:rPr>
                <w:t>Gender and Empire: Intimacies, Bodies, Detritus. Journal of World History</w:t>
              </w:r>
              <w:r>
                <w:t xml:space="preserve">, 28(3/4), 313–339. </w:t>
              </w:r>
              <w:hyperlink r:id="rId19" w:history="1">
                <w:r w:rsidRPr="00214A51">
                  <w:rPr>
                    <w:rStyle w:val="Hyperlink"/>
                  </w:rPr>
                  <w:t>https://www.jstor.org/stable/26537614</w:t>
                </w:r>
              </w:hyperlink>
              <w:r>
                <w:t xml:space="preserve"> </w:t>
              </w:r>
            </w:p>
            <w:p w14:paraId="2997080E" w14:textId="1C3B799E" w:rsidR="008A4C3C" w:rsidRDefault="008A4C3C" w:rsidP="00A53C53">
              <w:r w:rsidRPr="008A4C3C">
                <w:t xml:space="preserve">Rose, S, O </w:t>
              </w:r>
              <w:r w:rsidRPr="008A4C3C">
                <w:rPr>
                  <w:i/>
                  <w:iCs/>
                </w:rPr>
                <w:t>What is Gender History?</w:t>
              </w:r>
              <w:r w:rsidRPr="008A4C3C">
                <w:t xml:space="preserve"> (Cambridge: Polity Press, 2010)</w:t>
              </w:r>
            </w:p>
            <w:p w14:paraId="4FB5F28C" w14:textId="702EE2D7" w:rsidR="00D00CA1" w:rsidRDefault="00D00CA1" w:rsidP="00A53C53">
              <w:r w:rsidRPr="00D00CA1">
                <w:t xml:space="preserve">Roy, A. (n.d.). </w:t>
              </w:r>
              <w:r w:rsidRPr="00D00CA1">
                <w:rPr>
                  <w:i/>
                  <w:iCs/>
                </w:rPr>
                <w:t>Gender in Indian History and Society c. 1800 to the present</w:t>
              </w:r>
              <w:r w:rsidRPr="00D00CA1">
                <w:t xml:space="preserve">. Www.southasia.ox.ac.uk. </w:t>
              </w:r>
              <w:hyperlink r:id="rId20" w:history="1">
                <w:r w:rsidRPr="00214A51">
                  <w:rPr>
                    <w:rStyle w:val="Hyperlink"/>
                  </w:rPr>
                  <w:t>https://www.southasia.ox.ac.uk/gender-indian-history-and-society-c-1800-present</w:t>
                </w:r>
              </w:hyperlink>
              <w:r>
                <w:t xml:space="preserve"> </w:t>
              </w:r>
            </w:p>
            <w:p w14:paraId="06DB3A99" w14:textId="491EB8DC" w:rsidR="00BD060E" w:rsidRDefault="00BD060E" w:rsidP="00A53C53">
              <w:r w:rsidRPr="00BD060E">
                <w:t xml:space="preserve">Scott, J. W. (1986). </w:t>
              </w:r>
              <w:r w:rsidRPr="00BD060E">
                <w:rPr>
                  <w:i/>
                  <w:iCs/>
                </w:rPr>
                <w:t>Gender: A Useful Category of Historical Analysis. The American Historical Review,</w:t>
              </w:r>
              <w:r w:rsidRPr="00BD060E">
                <w:t xml:space="preserve"> 91(5), 1053–1075. </w:t>
              </w:r>
              <w:hyperlink r:id="rId21" w:history="1">
                <w:r w:rsidRPr="00214A51">
                  <w:rPr>
                    <w:rStyle w:val="Hyperlink"/>
                  </w:rPr>
                  <w:t>https://doi-org.uwtsd.idm.oclc.org/10.2307/1864376</w:t>
                </w:r>
              </w:hyperlink>
              <w:r>
                <w:t xml:space="preserve"> </w:t>
              </w:r>
            </w:p>
            <w:p w14:paraId="1F89F5EA" w14:textId="2F7A6BCB" w:rsidR="007221DF" w:rsidRDefault="007221DF" w:rsidP="00A53C53">
              <w:r w:rsidRPr="007221DF">
                <w:t xml:space="preserve">Sinha, M, </w:t>
              </w:r>
              <w:r w:rsidRPr="007221DF">
                <w:rPr>
                  <w:i/>
                  <w:iCs/>
                </w:rPr>
                <w:t>Colonial Masculinity: The 'Manly Englishman' and the 'Effeminate Bengali' in the Late Nineteenth Century</w:t>
              </w:r>
              <w:r w:rsidRPr="007221DF">
                <w:t xml:space="preserve"> (Manchester University Press, 1995).</w:t>
              </w:r>
            </w:p>
            <w:p w14:paraId="16569709" w14:textId="77777777" w:rsidR="003C5EE9" w:rsidRDefault="00A53C53" w:rsidP="00A53C53">
              <w:r>
                <w:t xml:space="preserve">Spencer-Wood, S. M. (2016). </w:t>
              </w:r>
              <w:r w:rsidRPr="00A53C53">
                <w:rPr>
                  <w:i/>
                  <w:iCs/>
                </w:rPr>
                <w:t xml:space="preserve">Feminist Theorizing of Patriarchal Colonialism, Power Dynamics, and Social Agency Materialized in Colonial Institutions. International Journal of Historical </w:t>
              </w:r>
              <w:r>
                <w:t xml:space="preserve">Archaeology, 20(3), 477–491. </w:t>
              </w:r>
              <w:hyperlink r:id="rId22" w:history="1">
                <w:r w:rsidRPr="00214A51">
                  <w:rPr>
                    <w:rStyle w:val="Hyperlink"/>
                  </w:rPr>
                  <w:t>http://www.jstor.org/stable/26174303</w:t>
                </w:r>
              </w:hyperlink>
              <w:r>
                <w:t xml:space="preserve"> </w:t>
              </w:r>
            </w:p>
            <w:p w14:paraId="58CA5CF7" w14:textId="73625BD0" w:rsidR="00DC30E8" w:rsidRDefault="00DC30E8" w:rsidP="00A53C53">
              <w:r w:rsidRPr="00DC30E8">
                <w:t xml:space="preserve">Streets, H. (2005). [Review of Gender and Empire, by P. Levine]. </w:t>
              </w:r>
              <w:r w:rsidRPr="00DC30E8">
                <w:rPr>
                  <w:i/>
                  <w:iCs/>
                </w:rPr>
                <w:t>Journal of British Studies</w:t>
              </w:r>
              <w:r w:rsidRPr="00DC30E8">
                <w:t xml:space="preserve">, 44(3), 570–572. </w:t>
              </w:r>
              <w:hyperlink r:id="rId23" w:history="1">
                <w:r w:rsidRPr="00214A51">
                  <w:rPr>
                    <w:rStyle w:val="Hyperlink"/>
                  </w:rPr>
                  <w:t>https://doi.org/10.1086/432167</w:t>
                </w:r>
              </w:hyperlink>
              <w:r>
                <w:t xml:space="preserve"> </w:t>
              </w:r>
            </w:p>
            <w:p w14:paraId="7BB79D49" w14:textId="11EC5534" w:rsidR="00363E5A" w:rsidRDefault="00363E5A" w:rsidP="00A53C53">
              <w:r w:rsidRPr="00363E5A">
                <w:t>Thomas, S ‘</w:t>
              </w:r>
              <w:r w:rsidRPr="00363E5A">
                <w:rPr>
                  <w:i/>
                  <w:iCs/>
                </w:rPr>
                <w:t>Transforming the Gospel of Domesticity: Luhya Girls and the Friends Africa Mission</w:t>
              </w:r>
              <w:r w:rsidRPr="00363E5A">
                <w:t>, 1917-1926’, African Studies Review 43.2 (2000), 1-28.</w:t>
              </w:r>
              <w:r>
                <w:t xml:space="preserve"> </w:t>
              </w:r>
            </w:p>
            <w:p w14:paraId="17C4F12E" w14:textId="561C4A2D" w:rsidR="00EF7698" w:rsidRDefault="00EF7698" w:rsidP="00A53C53"/>
          </w:sdtContent>
        </w:sdt>
      </w:sdtContent>
    </w:sdt>
    <w:p w14:paraId="681027A4" w14:textId="77777777" w:rsidR="00EF7698" w:rsidRDefault="00EF7698" w:rsidP="006E2335"/>
    <w:p w14:paraId="7D2D7B99" w14:textId="77777777" w:rsidR="00D93440" w:rsidRDefault="00D93440" w:rsidP="006E2335"/>
    <w:p w14:paraId="187F1D55" w14:textId="77777777" w:rsidR="00A73B34" w:rsidRDefault="00A73B34" w:rsidP="004F4530"/>
    <w:p w14:paraId="2809481E" w14:textId="04650AEE" w:rsidR="00BE1646" w:rsidRDefault="00BE1646" w:rsidP="004F4530"/>
    <w:p w14:paraId="432F8264" w14:textId="77777777" w:rsidR="00C50A2D" w:rsidRPr="00FC1020" w:rsidRDefault="00C50A2D" w:rsidP="004F4530"/>
    <w:sectPr w:rsidR="00C50A2D" w:rsidRPr="00FC10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13C57" w14:textId="77777777" w:rsidR="009538FA" w:rsidRDefault="009538FA" w:rsidP="00E84454">
      <w:pPr>
        <w:spacing w:after="0" w:line="240" w:lineRule="auto"/>
      </w:pPr>
      <w:r>
        <w:separator/>
      </w:r>
    </w:p>
  </w:endnote>
  <w:endnote w:type="continuationSeparator" w:id="0">
    <w:p w14:paraId="0F0775F3" w14:textId="77777777" w:rsidR="009538FA" w:rsidRDefault="009538FA" w:rsidP="00E8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5C696" w14:textId="77777777" w:rsidR="009538FA" w:rsidRDefault="009538FA" w:rsidP="00E84454">
      <w:pPr>
        <w:spacing w:after="0" w:line="240" w:lineRule="auto"/>
      </w:pPr>
      <w:r>
        <w:separator/>
      </w:r>
    </w:p>
  </w:footnote>
  <w:footnote w:type="continuationSeparator" w:id="0">
    <w:p w14:paraId="5217DDB0" w14:textId="77777777" w:rsidR="009538FA" w:rsidRDefault="009538FA" w:rsidP="00E84454">
      <w:pPr>
        <w:spacing w:after="0" w:line="240" w:lineRule="auto"/>
      </w:pPr>
      <w:r>
        <w:continuationSeparator/>
      </w:r>
    </w:p>
  </w:footnote>
  <w:footnote w:id="1">
    <w:p w14:paraId="179BC05B" w14:textId="752C882A" w:rsidR="00E84454" w:rsidRDefault="00E84454">
      <w:pPr>
        <w:pStyle w:val="FootnoteText"/>
      </w:pPr>
      <w:r>
        <w:rPr>
          <w:rStyle w:val="FootnoteReference"/>
        </w:rPr>
        <w:footnoteRef/>
      </w:r>
      <w:r>
        <w:t xml:space="preserve"> </w:t>
      </w:r>
      <w:r w:rsidRPr="00E84454">
        <w:t xml:space="preserve">Lindquist, S. C. M. (2012). </w:t>
      </w:r>
      <w:r w:rsidR="00EF7698" w:rsidRPr="00EF7698">
        <w:rPr>
          <w:i/>
          <w:iCs/>
        </w:rPr>
        <w:t>Gender</w:t>
      </w:r>
      <w:r w:rsidRPr="00EF7698">
        <w:rPr>
          <w:i/>
          <w:iCs/>
        </w:rPr>
        <w:t>. Studies in Iconography</w:t>
      </w:r>
      <w:r w:rsidRPr="00E84454">
        <w:t xml:space="preserve">, 33, 113–130. </w:t>
      </w:r>
      <w:hyperlink r:id="rId1" w:history="1">
        <w:r w:rsidRPr="009470E0">
          <w:rPr>
            <w:rStyle w:val="Hyperlink"/>
          </w:rPr>
          <w:t>http://www.jstor.org/stable/23924277</w:t>
        </w:r>
      </w:hyperlink>
      <w:r>
        <w:t xml:space="preserve"> </w:t>
      </w:r>
    </w:p>
  </w:footnote>
  <w:footnote w:id="2">
    <w:p w14:paraId="1397F6F6" w14:textId="03F9B2B5" w:rsidR="00F21576" w:rsidRDefault="00F21576">
      <w:pPr>
        <w:pStyle w:val="FootnoteText"/>
      </w:pPr>
      <w:r>
        <w:rPr>
          <w:rStyle w:val="FootnoteReference"/>
        </w:rPr>
        <w:footnoteRef/>
      </w:r>
      <w:r>
        <w:t xml:space="preserve"> </w:t>
      </w:r>
      <w:r w:rsidR="00193277" w:rsidRPr="00193277">
        <w:t xml:space="preserve">Rose, </w:t>
      </w:r>
      <w:r w:rsidR="008A4C3C">
        <w:t>S, O</w:t>
      </w:r>
      <w:r w:rsidR="008A4C3C">
        <w:rPr>
          <w:i/>
          <w:iCs/>
        </w:rPr>
        <w:t xml:space="preserve"> W</w:t>
      </w:r>
      <w:r w:rsidR="008A4C3C" w:rsidRPr="008A4C3C">
        <w:rPr>
          <w:i/>
          <w:iCs/>
        </w:rPr>
        <w:t>hat</w:t>
      </w:r>
      <w:r w:rsidR="00193277" w:rsidRPr="008A4C3C">
        <w:rPr>
          <w:i/>
          <w:iCs/>
        </w:rPr>
        <w:t xml:space="preserve"> is Gender History</w:t>
      </w:r>
      <w:r w:rsidR="00193277" w:rsidRPr="007F5709">
        <w:rPr>
          <w:i/>
          <w:iCs/>
        </w:rPr>
        <w:t>? (Cambridge: Polity Press, 2010)</w:t>
      </w:r>
    </w:p>
  </w:footnote>
  <w:footnote w:id="3">
    <w:p w14:paraId="703584A9" w14:textId="277A4529" w:rsidR="00724FAB" w:rsidRDefault="00724FAB">
      <w:pPr>
        <w:pStyle w:val="FootnoteText"/>
      </w:pPr>
      <w:r>
        <w:rPr>
          <w:rStyle w:val="FootnoteReference"/>
        </w:rPr>
        <w:footnoteRef/>
      </w:r>
      <w:r>
        <w:t xml:space="preserve"> </w:t>
      </w:r>
      <w:r w:rsidR="008A4C3C" w:rsidRPr="008A4C3C">
        <w:t xml:space="preserve">Castrucci, A, </w:t>
      </w:r>
      <w:r w:rsidR="008A4C3C" w:rsidRPr="008A4C3C">
        <w:rPr>
          <w:i/>
          <w:iCs/>
        </w:rPr>
        <w:t>Rethinking a Contested Analytical Lens: The Evolution of Gender in Imperial Historiography</w:t>
      </w:r>
      <w:r w:rsidR="008A4C3C" w:rsidRPr="008A4C3C">
        <w:t>. (2025, February 23). Retrospect Journal.</w:t>
      </w:r>
    </w:p>
  </w:footnote>
  <w:footnote w:id="4">
    <w:p w14:paraId="24C5DBFF" w14:textId="72231C48" w:rsidR="00A80413" w:rsidRDefault="00A80413">
      <w:pPr>
        <w:pStyle w:val="FootnoteText"/>
      </w:pPr>
      <w:r>
        <w:rPr>
          <w:rStyle w:val="FootnoteReference"/>
        </w:rPr>
        <w:footnoteRef/>
      </w:r>
      <w:r>
        <w:t xml:space="preserve"> </w:t>
      </w:r>
      <w:r w:rsidR="008A4C3C" w:rsidRPr="008A4C3C">
        <w:t xml:space="preserve">Castrucci, A, </w:t>
      </w:r>
      <w:r w:rsidR="008A4C3C" w:rsidRPr="008A4C3C">
        <w:rPr>
          <w:i/>
          <w:iCs/>
        </w:rPr>
        <w:t>Rethinking a Contested Analytical Lens: The Evolution of Gender in Imperial Historiography</w:t>
      </w:r>
      <w:r w:rsidR="008A4C3C" w:rsidRPr="008A4C3C">
        <w:t>. (2025, February 23). Retrospect Journal.</w:t>
      </w:r>
    </w:p>
  </w:footnote>
  <w:footnote w:id="5">
    <w:p w14:paraId="538FC08B" w14:textId="019D7202" w:rsidR="00D6086C" w:rsidRDefault="00D6086C" w:rsidP="009C7C97">
      <w:pPr>
        <w:pStyle w:val="FootnoteText"/>
      </w:pPr>
      <w:r>
        <w:rPr>
          <w:rStyle w:val="FootnoteReference"/>
        </w:rPr>
        <w:footnoteRef/>
      </w:r>
      <w:r>
        <w:t xml:space="preserve"> </w:t>
      </w:r>
      <w:r w:rsidR="008A4C3C">
        <w:t xml:space="preserve">Castrucci, A, </w:t>
      </w:r>
      <w:r w:rsidR="009C7C97" w:rsidRPr="009C7C97">
        <w:rPr>
          <w:i/>
          <w:iCs/>
        </w:rPr>
        <w:t>Rethinking a Contested Analytical Lens: The Evolution of Gender in Imperial Historiograph</w:t>
      </w:r>
      <w:r w:rsidR="009C7C97">
        <w:t>y. (2025, February 23). Retrospect Journal.</w:t>
      </w:r>
    </w:p>
  </w:footnote>
  <w:footnote w:id="6">
    <w:p w14:paraId="3888C73C" w14:textId="73541154" w:rsidR="00936FE8" w:rsidRDefault="00936FE8">
      <w:pPr>
        <w:pStyle w:val="FootnoteText"/>
      </w:pPr>
      <w:r>
        <w:rPr>
          <w:rStyle w:val="FootnoteReference"/>
        </w:rPr>
        <w:footnoteRef/>
      </w:r>
      <w:r w:rsidR="008B3B7C">
        <w:t xml:space="preserve"> Heath, D</w:t>
      </w:r>
      <w:r w:rsidR="00D27CAE" w:rsidRPr="00D27CAE">
        <w:t xml:space="preserve">, </w:t>
      </w:r>
      <w:r w:rsidR="00D27CAE" w:rsidRPr="008B3B7C">
        <w:rPr>
          <w:i/>
          <w:iCs/>
        </w:rPr>
        <w:t>‘Colonial Violence’</w:t>
      </w:r>
      <w:r w:rsidR="00D27CAE" w:rsidRPr="00D27CAE">
        <w:t xml:space="preserve"> in J. Hogg (ed.)</w:t>
      </w:r>
      <w:r w:rsidR="008B3B7C">
        <w:t xml:space="preserve"> </w:t>
      </w:r>
      <w:r w:rsidR="00D27CAE" w:rsidRPr="00D27CAE">
        <w:t xml:space="preserve">(Liverpool University Press: Liverpool, 2017), available open-access online here: </w:t>
      </w:r>
      <w:hyperlink r:id="rId2" w:history="1">
        <w:r w:rsidR="009C7C97" w:rsidRPr="00214A51">
          <w:rPr>
            <w:rStyle w:val="Hyperlink"/>
          </w:rPr>
          <w:t>https://liverpooluniversitypress.manifoldapp.org/read/colonial-violence/section/71c632a8-6ae0-4de5-8c42-f4cca41f45d8</w:t>
        </w:r>
      </w:hyperlink>
      <w:r w:rsidR="00D27CAE">
        <w:t xml:space="preserve"> </w:t>
      </w:r>
    </w:p>
  </w:footnote>
  <w:footnote w:id="7">
    <w:p w14:paraId="19075D6A" w14:textId="46C797B3" w:rsidR="00EF7CC5" w:rsidRDefault="00EF7CC5">
      <w:pPr>
        <w:pStyle w:val="FootnoteText"/>
      </w:pPr>
      <w:r>
        <w:rPr>
          <w:rStyle w:val="FootnoteReference"/>
        </w:rPr>
        <w:footnoteRef/>
      </w:r>
      <w:r>
        <w:t xml:space="preserve"> </w:t>
      </w:r>
      <w:r w:rsidR="00675525" w:rsidRPr="00675525">
        <w:t xml:space="preserve">Morrell, R. (1998). Of Boys and Men: Masculinity and Gender in Southern African Studies. Journal of Southern African Studies, 24(4), 605–630. </w:t>
      </w:r>
      <w:hyperlink r:id="rId3" w:history="1">
        <w:r w:rsidR="00675525" w:rsidRPr="009470E0">
          <w:rPr>
            <w:rStyle w:val="Hyperlink"/>
          </w:rPr>
          <w:t>http://www.jstor.org/stable/2637466</w:t>
        </w:r>
      </w:hyperlink>
      <w:r w:rsidR="00675525">
        <w:t xml:space="preserve"> </w:t>
      </w:r>
    </w:p>
  </w:footnote>
  <w:footnote w:id="8">
    <w:p w14:paraId="3525995D" w14:textId="31F35056" w:rsidR="00A10972" w:rsidRDefault="00A10972">
      <w:pPr>
        <w:pStyle w:val="FootnoteText"/>
      </w:pPr>
      <w:r>
        <w:rPr>
          <w:rStyle w:val="FootnoteReference"/>
        </w:rPr>
        <w:footnoteRef/>
      </w:r>
      <w:r>
        <w:t xml:space="preserve"> </w:t>
      </w:r>
      <w:r w:rsidR="008B3B7C" w:rsidRPr="008B3B7C">
        <w:t xml:space="preserve">Morrell, R. (1998). </w:t>
      </w:r>
      <w:r w:rsidR="008B3B7C" w:rsidRPr="008B3B7C">
        <w:rPr>
          <w:i/>
          <w:iCs/>
        </w:rPr>
        <w:t>Of Boys and Men: Masculinity and Gender in Southern African Studies. Journal of Southern African Studies</w:t>
      </w:r>
      <w:r w:rsidR="008B3B7C" w:rsidRPr="008B3B7C">
        <w:t xml:space="preserve">, 24(4), 605–630. </w:t>
      </w:r>
      <w:hyperlink r:id="rId4" w:history="1">
        <w:r w:rsidR="008B3B7C" w:rsidRPr="00214A51">
          <w:rPr>
            <w:rStyle w:val="Hyperlink"/>
          </w:rPr>
          <w:t>http://www.jstor.org/stable/2637466</w:t>
        </w:r>
      </w:hyperlink>
      <w:r w:rsidR="008B3B7C">
        <w:t xml:space="preserve"> </w:t>
      </w:r>
    </w:p>
  </w:footnote>
  <w:footnote w:id="9">
    <w:p w14:paraId="063C1A3B" w14:textId="4D33445E" w:rsidR="00113C2C" w:rsidRDefault="00113C2C">
      <w:pPr>
        <w:pStyle w:val="FootnoteText"/>
      </w:pPr>
      <w:r>
        <w:rPr>
          <w:rStyle w:val="FootnoteReference"/>
        </w:rPr>
        <w:footnoteRef/>
      </w:r>
      <w:r>
        <w:t xml:space="preserve"> </w:t>
      </w:r>
      <w:r w:rsidR="00CF1728" w:rsidRPr="00CF1728">
        <w:t xml:space="preserve">Morrell, R. (1998). </w:t>
      </w:r>
      <w:r w:rsidR="00CF1728" w:rsidRPr="005B1313">
        <w:rPr>
          <w:i/>
          <w:iCs/>
        </w:rPr>
        <w:t>Of Boys and Men: Masculinity and Gender in Southern African Studies. Journal of Southern African Studies, 24(4), 605–630</w:t>
      </w:r>
      <w:r w:rsidR="00CF1728" w:rsidRPr="00CF1728">
        <w:t xml:space="preserve">. </w:t>
      </w:r>
      <w:hyperlink r:id="rId5" w:history="1">
        <w:r w:rsidR="00CF1728" w:rsidRPr="009470E0">
          <w:rPr>
            <w:rStyle w:val="Hyperlink"/>
          </w:rPr>
          <w:t>http://www.jstor.org/stable/2637466</w:t>
        </w:r>
      </w:hyperlink>
      <w:r w:rsidR="00CF1728">
        <w:t xml:space="preserve"> </w:t>
      </w:r>
    </w:p>
  </w:footnote>
  <w:footnote w:id="10">
    <w:p w14:paraId="2591A724" w14:textId="723583A3" w:rsidR="008F1A12" w:rsidRDefault="008F1A12">
      <w:pPr>
        <w:pStyle w:val="FootnoteText"/>
      </w:pPr>
      <w:r>
        <w:rPr>
          <w:rStyle w:val="FootnoteReference"/>
        </w:rPr>
        <w:footnoteRef/>
      </w:r>
      <w:r>
        <w:t xml:space="preserve"> </w:t>
      </w:r>
      <w:r w:rsidR="005B1313" w:rsidRPr="005B1313">
        <w:t xml:space="preserve">Sinha, M, Colonial Masculinity: </w:t>
      </w:r>
      <w:r w:rsidR="005B1313" w:rsidRPr="005B1313">
        <w:rPr>
          <w:i/>
          <w:iCs/>
        </w:rPr>
        <w:t>The 'Manly Englishman' and the 'Effeminate Bengali' in the Late Nineteenth Century</w:t>
      </w:r>
      <w:r w:rsidR="005B1313" w:rsidRPr="005B1313">
        <w:t xml:space="preserve"> (Manchester University Press, 1995).</w:t>
      </w:r>
      <w:r w:rsidR="005B1313">
        <w:t xml:space="preserve"> </w:t>
      </w:r>
    </w:p>
  </w:footnote>
  <w:footnote w:id="11">
    <w:p w14:paraId="2D7C2D9C" w14:textId="31A1DD83" w:rsidR="00543CAA" w:rsidRDefault="00543CAA">
      <w:pPr>
        <w:pStyle w:val="FootnoteText"/>
      </w:pPr>
      <w:r>
        <w:rPr>
          <w:rStyle w:val="FootnoteReference"/>
        </w:rPr>
        <w:footnoteRef/>
      </w:r>
      <w:r>
        <w:t xml:space="preserve"> </w:t>
      </w:r>
      <w:r w:rsidR="009106BB" w:rsidRPr="009106BB">
        <w:t>McClintock,</w:t>
      </w:r>
      <w:r w:rsidR="009106BB">
        <w:t xml:space="preserve"> A,</w:t>
      </w:r>
      <w:r w:rsidR="009106BB" w:rsidRPr="009106BB">
        <w:t xml:space="preserve"> </w:t>
      </w:r>
      <w:r w:rsidR="009106BB" w:rsidRPr="00476EF6">
        <w:rPr>
          <w:i/>
          <w:iCs/>
        </w:rPr>
        <w:t>Imperial Leather: Race, Gender, and Sexuality in the Colonial Contest (</w:t>
      </w:r>
      <w:r w:rsidR="009106BB" w:rsidRPr="00476EF6">
        <w:t>Routledge, 1995).</w:t>
      </w:r>
    </w:p>
  </w:footnote>
  <w:footnote w:id="12">
    <w:p w14:paraId="6A9C399F" w14:textId="0848E1A4" w:rsidR="00CD3C80" w:rsidRDefault="00CD3C80">
      <w:pPr>
        <w:pStyle w:val="FootnoteText"/>
      </w:pPr>
      <w:r>
        <w:rPr>
          <w:rStyle w:val="FootnoteReference"/>
        </w:rPr>
        <w:footnoteRef/>
      </w:r>
      <w:r>
        <w:t xml:space="preserve"> </w:t>
      </w:r>
      <w:r w:rsidR="006D3022" w:rsidRPr="006D3022">
        <w:t>Burton, A. (2001</w:t>
      </w:r>
      <w:r w:rsidR="006D3022" w:rsidRPr="007C185C">
        <w:rPr>
          <w:i/>
          <w:iCs/>
        </w:rPr>
        <w:t>). Thinking beyond the Boundaries: Empire, Feminism and the Domains of History. Social History</w:t>
      </w:r>
      <w:r w:rsidR="006D3022" w:rsidRPr="006D3022">
        <w:t xml:space="preserve">, 26(1), 60–71. </w:t>
      </w:r>
      <w:hyperlink r:id="rId6" w:history="1">
        <w:r w:rsidR="006D3022" w:rsidRPr="009470E0">
          <w:rPr>
            <w:rStyle w:val="Hyperlink"/>
          </w:rPr>
          <w:t>http://www.jstor.org/stable/4286723</w:t>
        </w:r>
      </w:hyperlink>
      <w:r w:rsidR="006D3022">
        <w:t xml:space="preserve"> </w:t>
      </w:r>
    </w:p>
  </w:footnote>
  <w:footnote w:id="13">
    <w:p w14:paraId="4995C885" w14:textId="5E295CDA" w:rsidR="00793ED9" w:rsidRDefault="00793ED9">
      <w:pPr>
        <w:pStyle w:val="FootnoteText"/>
      </w:pPr>
      <w:r>
        <w:rPr>
          <w:rStyle w:val="FootnoteReference"/>
        </w:rPr>
        <w:footnoteRef/>
      </w:r>
      <w:r>
        <w:t xml:space="preserve"> </w:t>
      </w:r>
      <w:r w:rsidR="008F7107" w:rsidRPr="008F7107">
        <w:t xml:space="preserve">Spencer-Wood, S. M. (2016). </w:t>
      </w:r>
      <w:r w:rsidR="008F7107" w:rsidRPr="007C185C">
        <w:rPr>
          <w:i/>
          <w:iCs/>
        </w:rPr>
        <w:t>Feminist Theorizing of Patriarchal Colonialism, Power Dynamics, and Social Agency Materialized in Colonial Institutions. International Journal of Historical Archaeology</w:t>
      </w:r>
      <w:r w:rsidR="008F7107" w:rsidRPr="008F7107">
        <w:t xml:space="preserve">, 20(3), 477–491. </w:t>
      </w:r>
      <w:hyperlink r:id="rId7" w:history="1">
        <w:r w:rsidR="008F7107" w:rsidRPr="009470E0">
          <w:rPr>
            <w:rStyle w:val="Hyperlink"/>
          </w:rPr>
          <w:t>http://www.jstor.org/stable/26174303</w:t>
        </w:r>
      </w:hyperlink>
      <w:r w:rsidR="008F7107">
        <w:t xml:space="preserve"> </w:t>
      </w:r>
    </w:p>
  </w:footnote>
  <w:footnote w:id="14">
    <w:p w14:paraId="5FC16094" w14:textId="3E8A78C8" w:rsidR="00786693" w:rsidRDefault="00786693">
      <w:pPr>
        <w:pStyle w:val="FootnoteText"/>
      </w:pPr>
      <w:r>
        <w:rPr>
          <w:rStyle w:val="FootnoteReference"/>
        </w:rPr>
        <w:footnoteRef/>
      </w:r>
      <w:r>
        <w:t xml:space="preserve"> </w:t>
      </w:r>
      <w:r w:rsidR="00E576C5" w:rsidRPr="00E576C5">
        <w:t xml:space="preserve">Ray, C. (2013). </w:t>
      </w:r>
      <w:r w:rsidR="00E576C5" w:rsidRPr="00363E5A">
        <w:rPr>
          <w:i/>
          <w:iCs/>
        </w:rPr>
        <w:t>Interracial Sex and the Making of Empire. "Interracial Sex and the Making of Empire" in _A Companion to Diaspora and Transnationalism</w:t>
      </w:r>
      <w:r w:rsidR="00E576C5" w:rsidRPr="00E576C5">
        <w:t xml:space="preserve">_, Ato </w:t>
      </w:r>
      <w:proofErr w:type="spellStart"/>
      <w:r w:rsidR="00E576C5" w:rsidRPr="00E576C5">
        <w:t>Quayson</w:t>
      </w:r>
      <w:proofErr w:type="spellEnd"/>
      <w:r w:rsidR="00E576C5" w:rsidRPr="00E576C5">
        <w:t xml:space="preserve"> and Girish Daswani, Editors, Blackwell Publishing. </w:t>
      </w:r>
      <w:hyperlink r:id="rId8" w:history="1">
        <w:r w:rsidR="00E576C5" w:rsidRPr="009470E0">
          <w:rPr>
            <w:rStyle w:val="Hyperlink"/>
          </w:rPr>
          <w:t>https://doi.org/10.1002/9781118320792.CH11</w:t>
        </w:r>
      </w:hyperlink>
      <w:r w:rsidR="00E576C5">
        <w:t xml:space="preserve"> </w:t>
      </w:r>
    </w:p>
  </w:footnote>
  <w:footnote w:id="15">
    <w:p w14:paraId="4DEDDA5B" w14:textId="75A3ACC6" w:rsidR="00AB7C70" w:rsidRDefault="00AB7C70">
      <w:pPr>
        <w:pStyle w:val="FootnoteText"/>
      </w:pPr>
      <w:r>
        <w:rPr>
          <w:rStyle w:val="FootnoteReference"/>
        </w:rPr>
        <w:footnoteRef/>
      </w:r>
      <w:r>
        <w:t xml:space="preserve"> </w:t>
      </w:r>
      <w:r w:rsidRPr="00AB7C70">
        <w:t xml:space="preserve">Spencer-Wood, S. M. (2016). </w:t>
      </w:r>
      <w:r w:rsidRPr="00363E5A">
        <w:rPr>
          <w:i/>
          <w:iCs/>
        </w:rPr>
        <w:t>Feminist Theorizing of Patriarchal Colonialism, Power Dynamics, and Social Agency Materialized in Colonial Institutions. International Journal of Historical Archaeology</w:t>
      </w:r>
      <w:r w:rsidRPr="00AB7C70">
        <w:t xml:space="preserve">, 20(3), 477–491. </w:t>
      </w:r>
      <w:hyperlink r:id="rId9" w:history="1">
        <w:r w:rsidRPr="009470E0">
          <w:rPr>
            <w:rStyle w:val="Hyperlink"/>
          </w:rPr>
          <w:t>http://www.jstor.org/stable/26174303</w:t>
        </w:r>
      </w:hyperlink>
      <w:r>
        <w:t xml:space="preserve"> </w:t>
      </w:r>
    </w:p>
  </w:footnote>
  <w:footnote w:id="16">
    <w:p w14:paraId="1ED3D899" w14:textId="3C68D5A2" w:rsidR="005421CF" w:rsidRDefault="005421CF">
      <w:pPr>
        <w:pStyle w:val="FootnoteText"/>
      </w:pPr>
      <w:r>
        <w:rPr>
          <w:rStyle w:val="FootnoteReference"/>
        </w:rPr>
        <w:footnoteRef/>
      </w:r>
      <w:r>
        <w:t xml:space="preserve"> </w:t>
      </w:r>
      <w:r w:rsidR="004A720B">
        <w:t>Thomas, S</w:t>
      </w:r>
      <w:r w:rsidRPr="005421CF">
        <w:t xml:space="preserve"> ‘</w:t>
      </w:r>
      <w:r w:rsidRPr="00363E5A">
        <w:rPr>
          <w:i/>
          <w:iCs/>
        </w:rPr>
        <w:t>Transforming the Gospel of Domesticity: Luhya Girls and the Friends Africa Mission</w:t>
      </w:r>
      <w:r w:rsidRPr="005421CF">
        <w:t>, 1917-1926’, African Studies Review 43.2 (2000), 1-28.</w:t>
      </w:r>
    </w:p>
  </w:footnote>
  <w:footnote w:id="17">
    <w:p w14:paraId="56BB6809" w14:textId="1CD87076" w:rsidR="00307C4D" w:rsidRDefault="00307C4D">
      <w:pPr>
        <w:pStyle w:val="FootnoteText"/>
      </w:pPr>
      <w:r>
        <w:rPr>
          <w:rStyle w:val="FootnoteReference"/>
        </w:rPr>
        <w:footnoteRef/>
      </w:r>
      <w:r w:rsidR="004A720B">
        <w:t xml:space="preserve"> </w:t>
      </w:r>
      <w:r w:rsidR="0084725F" w:rsidRPr="0084725F">
        <w:t xml:space="preserve">Duchess of Atholl MP, Col. Rt. Hon. Josiah Wedgwood MP, Miss Eleanor Rathbone MP, </w:t>
      </w:r>
      <w:r w:rsidR="0084725F" w:rsidRPr="004A720B">
        <w:rPr>
          <w:i/>
          <w:iCs/>
        </w:rPr>
        <w:t>Memorandum on Female Slavery Within the Family</w:t>
      </w:r>
      <w:r w:rsidR="0084725F" w:rsidRPr="0084725F">
        <w:t xml:space="preserve"> (1932)</w:t>
      </w:r>
      <w:r>
        <w:t xml:space="preserve"> </w:t>
      </w:r>
    </w:p>
  </w:footnote>
  <w:footnote w:id="18">
    <w:p w14:paraId="415690D3" w14:textId="617DFD0C" w:rsidR="002255DF" w:rsidRDefault="002255DF">
      <w:pPr>
        <w:pStyle w:val="FootnoteText"/>
      </w:pPr>
      <w:r>
        <w:rPr>
          <w:rStyle w:val="FootnoteReference"/>
        </w:rPr>
        <w:footnoteRef/>
      </w:r>
      <w:r>
        <w:t xml:space="preserve"> </w:t>
      </w:r>
      <w:r w:rsidR="00567857" w:rsidRPr="00567857">
        <w:t xml:space="preserve">Hall, C, </w:t>
      </w:r>
      <w:r w:rsidR="00567857" w:rsidRPr="00D00CA1">
        <w:rPr>
          <w:i/>
          <w:iCs/>
        </w:rPr>
        <w:t>'Of Gender and Empire: Reflections on the Nineteenth Century', in Philippa Levine (ed.), Gender and Empire, Oxford History of the British Empire Companion Series</w:t>
      </w:r>
      <w:r w:rsidR="00567857" w:rsidRPr="00567857">
        <w:t xml:space="preserve"> (Oxford, 2007</w:t>
      </w:r>
      <w:r w:rsidR="004A720B">
        <w:t>)</w:t>
      </w:r>
    </w:p>
  </w:footnote>
  <w:footnote w:id="19">
    <w:p w14:paraId="5A2D10DF" w14:textId="32640EE9" w:rsidR="00552510" w:rsidRDefault="00552510" w:rsidP="00D00CA1">
      <w:pPr>
        <w:pStyle w:val="FootnoteText"/>
      </w:pPr>
      <w:r>
        <w:rPr>
          <w:rStyle w:val="FootnoteReference"/>
        </w:rPr>
        <w:footnoteRef/>
      </w:r>
      <w:r>
        <w:t xml:space="preserve"> </w:t>
      </w:r>
      <w:r w:rsidR="00D00CA1">
        <w:t xml:space="preserve">Roy, A. (n.d.). </w:t>
      </w:r>
      <w:r w:rsidR="00D00CA1" w:rsidRPr="00D00CA1">
        <w:rPr>
          <w:i/>
          <w:iCs/>
        </w:rPr>
        <w:t>Gender in Indian History and Society c. 1800 to the present.</w:t>
      </w:r>
      <w:r w:rsidR="00D00CA1">
        <w:t xml:space="preserve"> Www.southasia.ox.ac.uk. </w:t>
      </w:r>
      <w:hyperlink r:id="rId10" w:history="1">
        <w:r w:rsidR="00D00CA1" w:rsidRPr="00214A51">
          <w:rPr>
            <w:rStyle w:val="Hyperlink"/>
          </w:rPr>
          <w:t>https://www.southasia.ox.ac.uk/gender-indian-history-and-society-c-1800-present</w:t>
        </w:r>
      </w:hyperlink>
      <w:r w:rsidR="00D00CA1">
        <w:t xml:space="preserve"> </w:t>
      </w:r>
    </w:p>
  </w:footnote>
  <w:footnote w:id="20">
    <w:p w14:paraId="411E6C1A" w14:textId="30CF8A30" w:rsidR="00324953" w:rsidRDefault="00324953">
      <w:pPr>
        <w:pStyle w:val="FootnoteText"/>
      </w:pPr>
      <w:r>
        <w:rPr>
          <w:rStyle w:val="FootnoteReference"/>
        </w:rPr>
        <w:footnoteRef/>
      </w:r>
      <w:r>
        <w:t xml:space="preserve"> </w:t>
      </w:r>
      <w:r w:rsidR="002B2597">
        <w:t>Sinha, M</w:t>
      </w:r>
      <w:r w:rsidR="002B2597" w:rsidRPr="002B2597">
        <w:t xml:space="preserve">, </w:t>
      </w:r>
      <w:r w:rsidR="002B2597" w:rsidRPr="002B2597">
        <w:rPr>
          <w:i/>
          <w:iCs/>
        </w:rPr>
        <w:t>Colonial Masculinity: The 'Manly Englishman' and the 'Effeminate Bengali' in the Late Nineteenth Century</w:t>
      </w:r>
      <w:r w:rsidR="002B2597" w:rsidRPr="002B2597">
        <w:t xml:space="preserve"> (Manchester University Press, 1995).</w:t>
      </w:r>
    </w:p>
  </w:footnote>
  <w:footnote w:id="21">
    <w:p w14:paraId="216F634C" w14:textId="6E6FC61A" w:rsidR="000151EB" w:rsidRDefault="000151EB">
      <w:pPr>
        <w:pStyle w:val="FootnoteText"/>
      </w:pPr>
      <w:r>
        <w:rPr>
          <w:rStyle w:val="FootnoteReference"/>
        </w:rPr>
        <w:footnoteRef/>
      </w:r>
      <w:r>
        <w:t xml:space="preserve"> </w:t>
      </w:r>
      <w:r w:rsidR="009075EC" w:rsidRPr="009075EC">
        <w:t xml:space="preserve">Banerjee, </w:t>
      </w:r>
      <w:r w:rsidR="008E1D64">
        <w:t>S</w:t>
      </w:r>
      <w:r w:rsidR="009075EC" w:rsidRPr="009075EC">
        <w:t xml:space="preserve">. (2010). </w:t>
      </w:r>
      <w:r w:rsidR="009075EC" w:rsidRPr="008E1D64">
        <w:rPr>
          <w:i/>
          <w:iCs/>
        </w:rPr>
        <w:t>Debates on Domesticity and the Position of Women in Late Colonial India: Women and Domesticity in Late Colonial India. History Compass</w:t>
      </w:r>
      <w:r w:rsidR="009075EC" w:rsidRPr="009075EC">
        <w:t>. 8. 455-473. 10.1111/j.1478-0542.2010.00688.x.</w:t>
      </w:r>
    </w:p>
  </w:footnote>
  <w:footnote w:id="22">
    <w:p w14:paraId="143C0C34" w14:textId="4056756C" w:rsidR="004A5E75" w:rsidRDefault="004A5E75">
      <w:pPr>
        <w:pStyle w:val="FootnoteText"/>
      </w:pPr>
      <w:r>
        <w:rPr>
          <w:rStyle w:val="FootnoteReference"/>
        </w:rPr>
        <w:footnoteRef/>
      </w:r>
      <w:r w:rsidR="00ED4082">
        <w:t xml:space="preserve"> </w:t>
      </w:r>
      <w:r w:rsidR="00CA4B61" w:rsidRPr="00CA4B61">
        <w:t>Bush,</w:t>
      </w:r>
      <w:r w:rsidR="00ED4082">
        <w:t xml:space="preserve"> B</w:t>
      </w:r>
      <w:r w:rsidR="00CA4B61" w:rsidRPr="00CA4B61">
        <w:t xml:space="preserve"> ‘</w:t>
      </w:r>
      <w:r w:rsidR="00CA4B61" w:rsidRPr="00ED4082">
        <w:rPr>
          <w:i/>
          <w:iCs/>
        </w:rPr>
        <w:t>Feminising Empire? British Women’s Activist Networks in Defending and Challenging Empire from 1918 to Decolonisation’, Women’s History Review</w:t>
      </w:r>
      <w:r w:rsidR="00CA4B61" w:rsidRPr="00CA4B61">
        <w:t xml:space="preserve"> 25:4 (2016), 499-519.</w:t>
      </w:r>
      <w:r w:rsidR="00CA4B61">
        <w:t xml:space="preserve"> </w:t>
      </w:r>
    </w:p>
  </w:footnote>
  <w:footnote w:id="23">
    <w:p w14:paraId="6AEB587B" w14:textId="2195F75A" w:rsidR="00BA5CAC" w:rsidRPr="00DC30E8" w:rsidRDefault="00760E87" w:rsidP="00BA5CAC">
      <w:pPr>
        <w:pStyle w:val="FootnoteText"/>
        <w:rPr>
          <w:i/>
          <w:iCs/>
        </w:rPr>
      </w:pPr>
      <w:r>
        <w:rPr>
          <w:rStyle w:val="FootnoteReference"/>
        </w:rPr>
        <w:footnoteRef/>
      </w:r>
      <w:r>
        <w:t xml:space="preserve"> </w:t>
      </w:r>
      <w:r w:rsidR="00DC30E8">
        <w:t>Midgley, C</w:t>
      </w:r>
      <w:r w:rsidR="00BA5CAC">
        <w:t xml:space="preserve"> (2000) </w:t>
      </w:r>
      <w:r w:rsidR="00BA5CAC" w:rsidRPr="00DC30E8">
        <w:rPr>
          <w:i/>
          <w:iCs/>
        </w:rPr>
        <w:t xml:space="preserve">Female emancipation in an imperial frame: </w:t>
      </w:r>
      <w:r w:rsidR="00DC30E8" w:rsidRPr="00DC30E8">
        <w:rPr>
          <w:i/>
          <w:iCs/>
        </w:rPr>
        <w:t>E</w:t>
      </w:r>
      <w:r w:rsidR="00BA5CAC" w:rsidRPr="00DC30E8">
        <w:rPr>
          <w:i/>
          <w:iCs/>
        </w:rPr>
        <w:t>nglish</w:t>
      </w:r>
    </w:p>
    <w:p w14:paraId="65911045" w14:textId="703A817B" w:rsidR="00760E87" w:rsidRDefault="00BA5CAC" w:rsidP="00BA5CAC">
      <w:pPr>
        <w:pStyle w:val="FootnoteText"/>
      </w:pPr>
      <w:r w:rsidRPr="00DC30E8">
        <w:rPr>
          <w:i/>
          <w:iCs/>
        </w:rPr>
        <w:t>women and the campaign against sati (widow-burning) in India</w:t>
      </w:r>
      <w:r>
        <w:t>, 1813–30, Women's History</w:t>
      </w:r>
    </w:p>
  </w:footnote>
  <w:footnote w:id="24">
    <w:p w14:paraId="6D937901" w14:textId="33B7A97B" w:rsidR="008F11F8" w:rsidRDefault="008F11F8">
      <w:pPr>
        <w:pStyle w:val="FootnoteText"/>
      </w:pPr>
      <w:r>
        <w:rPr>
          <w:rStyle w:val="FootnoteReference"/>
        </w:rPr>
        <w:footnoteRef/>
      </w:r>
      <w:r>
        <w:t xml:space="preserve"> </w:t>
      </w:r>
      <w:r w:rsidRPr="008F11F8">
        <w:t xml:space="preserve">Morrell, R. (1998). </w:t>
      </w:r>
      <w:r w:rsidRPr="00D60EE4">
        <w:rPr>
          <w:i/>
          <w:iCs/>
        </w:rPr>
        <w:t>Of Boys and Men: Masculinity and Gender in Southern African Studies. Journal of Southern African Studies</w:t>
      </w:r>
      <w:r w:rsidRPr="008F11F8">
        <w:t xml:space="preserve">, 24(4), 605–630. </w:t>
      </w:r>
      <w:hyperlink r:id="rId11" w:history="1">
        <w:r w:rsidRPr="009470E0">
          <w:rPr>
            <w:rStyle w:val="Hyperlink"/>
          </w:rPr>
          <w:t>http://www.jstor.org/stable/2637466</w:t>
        </w:r>
      </w:hyperlink>
      <w:r>
        <w:t xml:space="preserve"> </w:t>
      </w:r>
    </w:p>
  </w:footnote>
  <w:footnote w:id="25">
    <w:p w14:paraId="4E4C2BF0" w14:textId="75D3D8C2" w:rsidR="00541F10" w:rsidRDefault="00541F10">
      <w:pPr>
        <w:pStyle w:val="FootnoteText"/>
      </w:pPr>
      <w:r>
        <w:rPr>
          <w:rStyle w:val="FootnoteReference"/>
        </w:rPr>
        <w:footnoteRef/>
      </w:r>
      <w:r w:rsidR="004569ED">
        <w:t xml:space="preserve"> </w:t>
      </w:r>
      <w:r w:rsidR="004569ED" w:rsidRPr="004569ED">
        <w:t>McKinley, C. E., Liddell, J., &amp; Lilly, J. (2021</w:t>
      </w:r>
      <w:r w:rsidR="004569ED" w:rsidRPr="00D0645A">
        <w:rPr>
          <w:i/>
          <w:iCs/>
        </w:rPr>
        <w:t>). All Work and No Play: Indigenous Women "Pulling the Weight" in Home Life. The Social service review,</w:t>
      </w:r>
      <w:r w:rsidR="004569ED" w:rsidRPr="004569ED">
        <w:t xml:space="preserve"> 95(2), 278–311. </w:t>
      </w:r>
      <w:hyperlink r:id="rId12" w:history="1">
        <w:r w:rsidR="004569ED" w:rsidRPr="00214A51">
          <w:rPr>
            <w:rStyle w:val="Hyperlink"/>
          </w:rPr>
          <w:t>https://doi.org/10.1086/714551</w:t>
        </w:r>
      </w:hyperlink>
      <w:r w:rsidR="004569ED">
        <w:t xml:space="preserve"> </w:t>
      </w:r>
    </w:p>
  </w:footnote>
  <w:footnote w:id="26">
    <w:p w14:paraId="5CD55789" w14:textId="6954271C" w:rsidR="0049763C" w:rsidRDefault="0049763C" w:rsidP="00F814DC">
      <w:pPr>
        <w:pStyle w:val="FootnoteText"/>
      </w:pPr>
      <w:r>
        <w:rPr>
          <w:rStyle w:val="FootnoteReference"/>
        </w:rPr>
        <w:footnoteRef/>
      </w:r>
      <w:r>
        <w:t xml:space="preserve"> </w:t>
      </w:r>
      <w:r w:rsidR="00F814DC">
        <w:t xml:space="preserve">Cheung, A. (2024). </w:t>
      </w:r>
      <w:r w:rsidR="00F814DC" w:rsidRPr="00D0645A">
        <w:rPr>
          <w:i/>
          <w:iCs/>
        </w:rPr>
        <w:t>Gendering Empire: A Historiographical Exploration</w:t>
      </w:r>
      <w:r w:rsidR="00F814DC">
        <w:t xml:space="preserve">. Plurality, 1(1). </w:t>
      </w:r>
      <w:hyperlink r:id="rId13" w:history="1">
        <w:r w:rsidR="00F814DC" w:rsidRPr="00214A51">
          <w:rPr>
            <w:rStyle w:val="Hyperlink"/>
          </w:rPr>
          <w:t>https://doi.org/10.2218/plurality.10076</w:t>
        </w:r>
      </w:hyperlink>
      <w:r w:rsidR="00F814DC">
        <w:t xml:space="preserve"> </w:t>
      </w:r>
    </w:p>
  </w:footnote>
  <w:footnote w:id="27">
    <w:p w14:paraId="3A199CF5" w14:textId="1DC30C85" w:rsidR="00A77BD0" w:rsidRDefault="00A77BD0" w:rsidP="00F0372C">
      <w:pPr>
        <w:pStyle w:val="FootnoteText"/>
      </w:pPr>
      <w:r>
        <w:rPr>
          <w:rStyle w:val="FootnoteReference"/>
        </w:rPr>
        <w:footnoteRef/>
      </w:r>
      <w:r>
        <w:t xml:space="preserve"> </w:t>
      </w:r>
      <w:r w:rsidR="00F0372C">
        <w:t xml:space="preserve">Imperialism and Gender | Encyclopedia.com. (n.d.). Www.encyclopedia.com. </w:t>
      </w:r>
      <w:hyperlink r:id="rId14" w:history="1">
        <w:r w:rsidR="00F0372C" w:rsidRPr="00214A51">
          <w:rPr>
            <w:rStyle w:val="Hyperlink"/>
          </w:rPr>
          <w:t>https://www.encyclopedia.com/international/encyclopedias-almanacs-transcripts-and-maps/imperialism-and-gender</w:t>
        </w:r>
      </w:hyperlink>
      <w:r w:rsidR="00F0372C">
        <w:t xml:space="preserve"> </w:t>
      </w:r>
    </w:p>
  </w:footnote>
  <w:footnote w:id="28">
    <w:p w14:paraId="20FC379C" w14:textId="6078E7B8" w:rsidR="00177493" w:rsidRDefault="00177493">
      <w:pPr>
        <w:pStyle w:val="FootnoteText"/>
      </w:pPr>
      <w:r>
        <w:rPr>
          <w:rStyle w:val="FootnoteReference"/>
        </w:rPr>
        <w:footnoteRef/>
      </w:r>
      <w:r>
        <w:t xml:space="preserve"> </w:t>
      </w:r>
      <w:r w:rsidR="001C1AA3" w:rsidRPr="001C1AA3">
        <w:t xml:space="preserve">Streets, H. (2005). [Review of Gender and Empire, by P. Levine]. </w:t>
      </w:r>
      <w:r w:rsidR="001C1AA3" w:rsidRPr="007B1937">
        <w:rPr>
          <w:i/>
          <w:iCs/>
        </w:rPr>
        <w:t>Journal of British Studies</w:t>
      </w:r>
      <w:r w:rsidR="001C1AA3" w:rsidRPr="001C1AA3">
        <w:t xml:space="preserve">, 44(3), 570–572. </w:t>
      </w:r>
      <w:hyperlink r:id="rId15" w:history="1">
        <w:r w:rsidR="001C1AA3" w:rsidRPr="009470E0">
          <w:rPr>
            <w:rStyle w:val="Hyperlink"/>
          </w:rPr>
          <w:t>https://doi.org/10.1086/432167</w:t>
        </w:r>
      </w:hyperlink>
      <w:r w:rsidR="001C1AA3">
        <w:t xml:space="preserve"> </w:t>
      </w:r>
    </w:p>
  </w:footnote>
  <w:footnote w:id="29">
    <w:p w14:paraId="0B29951A" w14:textId="710319AF" w:rsidR="001D469C" w:rsidRDefault="001D469C">
      <w:pPr>
        <w:pStyle w:val="FootnoteText"/>
      </w:pPr>
      <w:r>
        <w:rPr>
          <w:rStyle w:val="FootnoteReference"/>
        </w:rPr>
        <w:footnoteRef/>
      </w:r>
      <w:r>
        <w:t xml:space="preserve"> </w:t>
      </w:r>
      <w:r w:rsidR="00DA7CF8" w:rsidRPr="00DA7CF8">
        <w:t xml:space="preserve">Scott, J. W. (1986). </w:t>
      </w:r>
      <w:r w:rsidR="00DA7CF8" w:rsidRPr="007B1937">
        <w:rPr>
          <w:i/>
          <w:iCs/>
        </w:rPr>
        <w:t>Gender: A Useful Category of Historical Analysis. The American Historical Review</w:t>
      </w:r>
      <w:r w:rsidR="00DA7CF8" w:rsidRPr="00DA7CF8">
        <w:t xml:space="preserve">, 91(5), 1053–1075. </w:t>
      </w:r>
      <w:hyperlink r:id="rId16" w:history="1">
        <w:r w:rsidR="00DA7CF8" w:rsidRPr="009470E0">
          <w:rPr>
            <w:rStyle w:val="Hyperlink"/>
          </w:rPr>
          <w:t>https://doi-org.uwtsd.idm.oclc.org/10.2307/1864376</w:t>
        </w:r>
      </w:hyperlink>
      <w:r w:rsidR="00DA7CF8">
        <w:t xml:space="preserve"> </w:t>
      </w:r>
    </w:p>
  </w:footnote>
  <w:footnote w:id="30">
    <w:p w14:paraId="60F33551" w14:textId="65507335" w:rsidR="0047233C" w:rsidRDefault="0047233C">
      <w:pPr>
        <w:pStyle w:val="FootnoteText"/>
      </w:pPr>
      <w:r>
        <w:rPr>
          <w:rStyle w:val="FootnoteReference"/>
        </w:rPr>
        <w:footnoteRef/>
      </w:r>
      <w:r>
        <w:t xml:space="preserve"> </w:t>
      </w:r>
      <w:r w:rsidR="00961318" w:rsidRPr="00961318">
        <w:t xml:space="preserve">Ghosh, D. (2004). </w:t>
      </w:r>
      <w:r w:rsidR="00961318" w:rsidRPr="00A53C53">
        <w:rPr>
          <w:i/>
          <w:iCs/>
        </w:rPr>
        <w:t>Gender and Colonialism: Expansion or Marginalization? The Historical Journal</w:t>
      </w:r>
      <w:r w:rsidR="00961318" w:rsidRPr="00961318">
        <w:t xml:space="preserve">, 47(3), 737–755. </w:t>
      </w:r>
      <w:hyperlink r:id="rId17" w:history="1">
        <w:r w:rsidR="00961318" w:rsidRPr="009470E0">
          <w:rPr>
            <w:rStyle w:val="Hyperlink"/>
          </w:rPr>
          <w:t>http://www.jstor.org/stable/4091763</w:t>
        </w:r>
      </w:hyperlink>
      <w:r w:rsidR="00961318">
        <w:t xml:space="preserve"> </w:t>
      </w:r>
    </w:p>
  </w:footnote>
  <w:footnote w:id="31">
    <w:p w14:paraId="4E9D918C" w14:textId="67C8642D" w:rsidR="004374BA" w:rsidRDefault="004374BA">
      <w:pPr>
        <w:pStyle w:val="FootnoteText"/>
      </w:pPr>
      <w:r>
        <w:rPr>
          <w:rStyle w:val="FootnoteReference"/>
        </w:rPr>
        <w:footnoteRef/>
      </w:r>
      <w:r>
        <w:t xml:space="preserve"> </w:t>
      </w:r>
      <w:r w:rsidR="00A53C53">
        <w:t>R</w:t>
      </w:r>
      <w:r w:rsidR="00A53C53" w:rsidRPr="007C70E6">
        <w:t>izzo</w:t>
      </w:r>
      <w:r w:rsidR="007C70E6" w:rsidRPr="007C70E6">
        <w:t xml:space="preserve">, T. (2017). </w:t>
      </w:r>
      <w:r w:rsidR="007C70E6" w:rsidRPr="00A53C53">
        <w:rPr>
          <w:i/>
          <w:iCs/>
        </w:rPr>
        <w:t>Gender and Empire: Intimacies, Bodies, Detritus. Journal of World History,</w:t>
      </w:r>
      <w:r w:rsidR="007C70E6" w:rsidRPr="007C70E6">
        <w:t xml:space="preserve"> 28(3/4), 313–339. </w:t>
      </w:r>
      <w:hyperlink r:id="rId18" w:history="1">
        <w:r w:rsidR="007C70E6" w:rsidRPr="009470E0">
          <w:rPr>
            <w:rStyle w:val="Hyperlink"/>
          </w:rPr>
          <w:t>https://www.jstor.org/stable/26537614</w:t>
        </w:r>
      </w:hyperlink>
      <w:r w:rsidR="007C70E6">
        <w:t xml:space="preserve"> </w:t>
      </w:r>
    </w:p>
  </w:footnote>
  <w:footnote w:id="32">
    <w:p w14:paraId="40A03E51" w14:textId="58F3B9FC" w:rsidR="006E2335" w:rsidRDefault="006E2335">
      <w:pPr>
        <w:pStyle w:val="FootnoteText"/>
      </w:pPr>
      <w:r>
        <w:rPr>
          <w:rStyle w:val="FootnoteReference"/>
        </w:rPr>
        <w:footnoteRef/>
      </w:r>
      <w:r>
        <w:t xml:space="preserve"> </w:t>
      </w:r>
      <w:r w:rsidR="00A125DE" w:rsidRPr="00A125DE">
        <w:t xml:space="preserve">Spencer-Wood, S. M. (2016). </w:t>
      </w:r>
      <w:r w:rsidR="00A125DE" w:rsidRPr="00A53C53">
        <w:rPr>
          <w:i/>
          <w:iCs/>
        </w:rPr>
        <w:t>Feminist Theorizing of Patriarchal Colonialism, Power Dynamics, and Social Agency Materialized in Colonial Institutions. International Journal of Historical Archaeology</w:t>
      </w:r>
      <w:r w:rsidR="00A125DE" w:rsidRPr="00A125DE">
        <w:t xml:space="preserve">, 20(3), 477–491. </w:t>
      </w:r>
      <w:hyperlink r:id="rId19" w:history="1">
        <w:r w:rsidR="00A125DE" w:rsidRPr="009470E0">
          <w:rPr>
            <w:rStyle w:val="Hyperlink"/>
          </w:rPr>
          <w:t>http://www.jstor.org/stable/26174303</w:t>
        </w:r>
      </w:hyperlink>
      <w:r w:rsidR="00A125DE">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151593"/>
    <w:multiLevelType w:val="hybridMultilevel"/>
    <w:tmpl w:val="E32E1440"/>
    <w:lvl w:ilvl="0" w:tplc="42C4D0D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677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78F"/>
    <w:rsid w:val="000151EB"/>
    <w:rsid w:val="00020523"/>
    <w:rsid w:val="00042E89"/>
    <w:rsid w:val="000668E2"/>
    <w:rsid w:val="00092173"/>
    <w:rsid w:val="00097164"/>
    <w:rsid w:val="000A513B"/>
    <w:rsid w:val="000A531B"/>
    <w:rsid w:val="000A671B"/>
    <w:rsid w:val="000C1FA7"/>
    <w:rsid w:val="000E6B5D"/>
    <w:rsid w:val="000F25D5"/>
    <w:rsid w:val="000F41DE"/>
    <w:rsid w:val="000F4B25"/>
    <w:rsid w:val="00100A82"/>
    <w:rsid w:val="00100CC7"/>
    <w:rsid w:val="00101B30"/>
    <w:rsid w:val="00113C2C"/>
    <w:rsid w:val="00120CAC"/>
    <w:rsid w:val="0012704B"/>
    <w:rsid w:val="00134675"/>
    <w:rsid w:val="001412DE"/>
    <w:rsid w:val="00150D8D"/>
    <w:rsid w:val="0016273B"/>
    <w:rsid w:val="00164818"/>
    <w:rsid w:val="00177493"/>
    <w:rsid w:val="00187081"/>
    <w:rsid w:val="00193277"/>
    <w:rsid w:val="001C1AA3"/>
    <w:rsid w:val="001D469C"/>
    <w:rsid w:val="001E58C8"/>
    <w:rsid w:val="00201585"/>
    <w:rsid w:val="002255DF"/>
    <w:rsid w:val="00226A45"/>
    <w:rsid w:val="00227133"/>
    <w:rsid w:val="00233072"/>
    <w:rsid w:val="00241563"/>
    <w:rsid w:val="00242198"/>
    <w:rsid w:val="00251E33"/>
    <w:rsid w:val="00260082"/>
    <w:rsid w:val="002641DE"/>
    <w:rsid w:val="00280227"/>
    <w:rsid w:val="002839F5"/>
    <w:rsid w:val="002842B4"/>
    <w:rsid w:val="002972B3"/>
    <w:rsid w:val="002A2822"/>
    <w:rsid w:val="002B2597"/>
    <w:rsid w:val="002C4DCE"/>
    <w:rsid w:val="002C7398"/>
    <w:rsid w:val="002D4116"/>
    <w:rsid w:val="002E5877"/>
    <w:rsid w:val="002F54B6"/>
    <w:rsid w:val="00303AB2"/>
    <w:rsid w:val="00307C4D"/>
    <w:rsid w:val="0032293C"/>
    <w:rsid w:val="00324953"/>
    <w:rsid w:val="0033387D"/>
    <w:rsid w:val="0033691C"/>
    <w:rsid w:val="00345423"/>
    <w:rsid w:val="003546A7"/>
    <w:rsid w:val="00363E5A"/>
    <w:rsid w:val="00380A3A"/>
    <w:rsid w:val="0039464E"/>
    <w:rsid w:val="00396DC7"/>
    <w:rsid w:val="003A2EFE"/>
    <w:rsid w:val="003B6BDB"/>
    <w:rsid w:val="003C2D85"/>
    <w:rsid w:val="003C5EE9"/>
    <w:rsid w:val="003C6690"/>
    <w:rsid w:val="003D104C"/>
    <w:rsid w:val="003D4C1D"/>
    <w:rsid w:val="003D4E9B"/>
    <w:rsid w:val="003E0AD7"/>
    <w:rsid w:val="003F7BF3"/>
    <w:rsid w:val="004004A7"/>
    <w:rsid w:val="004136E6"/>
    <w:rsid w:val="004239F0"/>
    <w:rsid w:val="004374BA"/>
    <w:rsid w:val="00443693"/>
    <w:rsid w:val="00447125"/>
    <w:rsid w:val="004569ED"/>
    <w:rsid w:val="00456F08"/>
    <w:rsid w:val="004660B0"/>
    <w:rsid w:val="004673AC"/>
    <w:rsid w:val="0047233C"/>
    <w:rsid w:val="00476CD2"/>
    <w:rsid w:val="00476EF6"/>
    <w:rsid w:val="004863A6"/>
    <w:rsid w:val="00487E61"/>
    <w:rsid w:val="004909F2"/>
    <w:rsid w:val="004927A7"/>
    <w:rsid w:val="00493521"/>
    <w:rsid w:val="00494B94"/>
    <w:rsid w:val="00495FA4"/>
    <w:rsid w:val="0049763C"/>
    <w:rsid w:val="00497DEF"/>
    <w:rsid w:val="004A15CA"/>
    <w:rsid w:val="004A1E2C"/>
    <w:rsid w:val="004A5E75"/>
    <w:rsid w:val="004A720B"/>
    <w:rsid w:val="004C4BBF"/>
    <w:rsid w:val="004C5182"/>
    <w:rsid w:val="004D36DF"/>
    <w:rsid w:val="004F4530"/>
    <w:rsid w:val="0050416A"/>
    <w:rsid w:val="00513658"/>
    <w:rsid w:val="0051684B"/>
    <w:rsid w:val="005172A3"/>
    <w:rsid w:val="005375DC"/>
    <w:rsid w:val="00541F10"/>
    <w:rsid w:val="005421CF"/>
    <w:rsid w:val="00543CAA"/>
    <w:rsid w:val="00552510"/>
    <w:rsid w:val="00555192"/>
    <w:rsid w:val="00557529"/>
    <w:rsid w:val="00567857"/>
    <w:rsid w:val="00575913"/>
    <w:rsid w:val="005809D4"/>
    <w:rsid w:val="00592E84"/>
    <w:rsid w:val="005A3B94"/>
    <w:rsid w:val="005B1313"/>
    <w:rsid w:val="005C2E7B"/>
    <w:rsid w:val="005E1652"/>
    <w:rsid w:val="005F2416"/>
    <w:rsid w:val="005F503F"/>
    <w:rsid w:val="005F5620"/>
    <w:rsid w:val="006039BC"/>
    <w:rsid w:val="00610469"/>
    <w:rsid w:val="00615957"/>
    <w:rsid w:val="00620918"/>
    <w:rsid w:val="00620CA9"/>
    <w:rsid w:val="00627510"/>
    <w:rsid w:val="006645D2"/>
    <w:rsid w:val="00675525"/>
    <w:rsid w:val="00687B8C"/>
    <w:rsid w:val="006A0F94"/>
    <w:rsid w:val="006A7929"/>
    <w:rsid w:val="006B12CF"/>
    <w:rsid w:val="006B28ED"/>
    <w:rsid w:val="006C06C9"/>
    <w:rsid w:val="006C0CC2"/>
    <w:rsid w:val="006D3022"/>
    <w:rsid w:val="006D4167"/>
    <w:rsid w:val="006D4D8A"/>
    <w:rsid w:val="006E0C0E"/>
    <w:rsid w:val="006E2335"/>
    <w:rsid w:val="006E57EC"/>
    <w:rsid w:val="006E76A3"/>
    <w:rsid w:val="006F23AE"/>
    <w:rsid w:val="006F7954"/>
    <w:rsid w:val="00702679"/>
    <w:rsid w:val="00706267"/>
    <w:rsid w:val="00713C2C"/>
    <w:rsid w:val="007221DF"/>
    <w:rsid w:val="00724FAB"/>
    <w:rsid w:val="00725078"/>
    <w:rsid w:val="00725707"/>
    <w:rsid w:val="00733BE1"/>
    <w:rsid w:val="00737D16"/>
    <w:rsid w:val="0074478C"/>
    <w:rsid w:val="00745694"/>
    <w:rsid w:val="00747D63"/>
    <w:rsid w:val="0076059B"/>
    <w:rsid w:val="00760E87"/>
    <w:rsid w:val="0076122E"/>
    <w:rsid w:val="00767F42"/>
    <w:rsid w:val="007759BF"/>
    <w:rsid w:val="00777337"/>
    <w:rsid w:val="007817B8"/>
    <w:rsid w:val="00785FEB"/>
    <w:rsid w:val="00786693"/>
    <w:rsid w:val="00786A9B"/>
    <w:rsid w:val="00786F98"/>
    <w:rsid w:val="00793ED9"/>
    <w:rsid w:val="007B1937"/>
    <w:rsid w:val="007C01E3"/>
    <w:rsid w:val="007C185C"/>
    <w:rsid w:val="007C340C"/>
    <w:rsid w:val="007C5988"/>
    <w:rsid w:val="007C6563"/>
    <w:rsid w:val="007C70E6"/>
    <w:rsid w:val="007D42ED"/>
    <w:rsid w:val="007D4FC1"/>
    <w:rsid w:val="007D7637"/>
    <w:rsid w:val="007E2F30"/>
    <w:rsid w:val="007E6A07"/>
    <w:rsid w:val="007F5709"/>
    <w:rsid w:val="00812299"/>
    <w:rsid w:val="008152CF"/>
    <w:rsid w:val="00816DAE"/>
    <w:rsid w:val="00817C65"/>
    <w:rsid w:val="00824CF3"/>
    <w:rsid w:val="00833104"/>
    <w:rsid w:val="00842956"/>
    <w:rsid w:val="0084725F"/>
    <w:rsid w:val="00847278"/>
    <w:rsid w:val="0085252C"/>
    <w:rsid w:val="00852FF7"/>
    <w:rsid w:val="00865822"/>
    <w:rsid w:val="00867240"/>
    <w:rsid w:val="00883CF2"/>
    <w:rsid w:val="00883DF6"/>
    <w:rsid w:val="00886933"/>
    <w:rsid w:val="00895B25"/>
    <w:rsid w:val="008A4C3C"/>
    <w:rsid w:val="008B3B7C"/>
    <w:rsid w:val="008B41D9"/>
    <w:rsid w:val="008D368B"/>
    <w:rsid w:val="008E1D64"/>
    <w:rsid w:val="008E59C9"/>
    <w:rsid w:val="008F0179"/>
    <w:rsid w:val="008F11F8"/>
    <w:rsid w:val="008F1A12"/>
    <w:rsid w:val="008F5DBF"/>
    <w:rsid w:val="008F7107"/>
    <w:rsid w:val="00905146"/>
    <w:rsid w:val="00906E40"/>
    <w:rsid w:val="009075EC"/>
    <w:rsid w:val="009106BB"/>
    <w:rsid w:val="00911734"/>
    <w:rsid w:val="009123B9"/>
    <w:rsid w:val="00913B55"/>
    <w:rsid w:val="0091629E"/>
    <w:rsid w:val="00922E28"/>
    <w:rsid w:val="009230CF"/>
    <w:rsid w:val="0093420C"/>
    <w:rsid w:val="00936FE8"/>
    <w:rsid w:val="00937226"/>
    <w:rsid w:val="009402A8"/>
    <w:rsid w:val="009538FA"/>
    <w:rsid w:val="00954C3C"/>
    <w:rsid w:val="0095601A"/>
    <w:rsid w:val="0096077E"/>
    <w:rsid w:val="00961318"/>
    <w:rsid w:val="009819A7"/>
    <w:rsid w:val="00993E28"/>
    <w:rsid w:val="009A16BA"/>
    <w:rsid w:val="009A39CD"/>
    <w:rsid w:val="009B34C4"/>
    <w:rsid w:val="009C3CD6"/>
    <w:rsid w:val="009C7C97"/>
    <w:rsid w:val="009C7EFA"/>
    <w:rsid w:val="009E7ADE"/>
    <w:rsid w:val="00A10972"/>
    <w:rsid w:val="00A11B2A"/>
    <w:rsid w:val="00A125DE"/>
    <w:rsid w:val="00A1572F"/>
    <w:rsid w:val="00A17028"/>
    <w:rsid w:val="00A23E8A"/>
    <w:rsid w:val="00A24323"/>
    <w:rsid w:val="00A40E84"/>
    <w:rsid w:val="00A40F5B"/>
    <w:rsid w:val="00A4174B"/>
    <w:rsid w:val="00A53C53"/>
    <w:rsid w:val="00A61CAA"/>
    <w:rsid w:val="00A634DE"/>
    <w:rsid w:val="00A64FBC"/>
    <w:rsid w:val="00A73B34"/>
    <w:rsid w:val="00A77BD0"/>
    <w:rsid w:val="00A80413"/>
    <w:rsid w:val="00A850EF"/>
    <w:rsid w:val="00A93285"/>
    <w:rsid w:val="00A93677"/>
    <w:rsid w:val="00AA3D26"/>
    <w:rsid w:val="00AB4C41"/>
    <w:rsid w:val="00AB7C70"/>
    <w:rsid w:val="00AC05EE"/>
    <w:rsid w:val="00AD7DBE"/>
    <w:rsid w:val="00AE2458"/>
    <w:rsid w:val="00AE3D44"/>
    <w:rsid w:val="00AE49B5"/>
    <w:rsid w:val="00AE6233"/>
    <w:rsid w:val="00AF366A"/>
    <w:rsid w:val="00AF5A72"/>
    <w:rsid w:val="00AF5C82"/>
    <w:rsid w:val="00B00881"/>
    <w:rsid w:val="00B04D61"/>
    <w:rsid w:val="00B22857"/>
    <w:rsid w:val="00B457F0"/>
    <w:rsid w:val="00B46FCC"/>
    <w:rsid w:val="00B54C25"/>
    <w:rsid w:val="00B671B8"/>
    <w:rsid w:val="00B67EBC"/>
    <w:rsid w:val="00B909E4"/>
    <w:rsid w:val="00BA01D4"/>
    <w:rsid w:val="00BA239D"/>
    <w:rsid w:val="00BA47D9"/>
    <w:rsid w:val="00BA5CAC"/>
    <w:rsid w:val="00BA7114"/>
    <w:rsid w:val="00BB0A2B"/>
    <w:rsid w:val="00BB2B1F"/>
    <w:rsid w:val="00BC0B9F"/>
    <w:rsid w:val="00BC1EB8"/>
    <w:rsid w:val="00BC6DD6"/>
    <w:rsid w:val="00BD060E"/>
    <w:rsid w:val="00BD47CA"/>
    <w:rsid w:val="00BE1646"/>
    <w:rsid w:val="00BE6A03"/>
    <w:rsid w:val="00BF3977"/>
    <w:rsid w:val="00C00108"/>
    <w:rsid w:val="00C121B9"/>
    <w:rsid w:val="00C16962"/>
    <w:rsid w:val="00C2184E"/>
    <w:rsid w:val="00C26B06"/>
    <w:rsid w:val="00C2703A"/>
    <w:rsid w:val="00C329FB"/>
    <w:rsid w:val="00C331E4"/>
    <w:rsid w:val="00C50A2D"/>
    <w:rsid w:val="00C53095"/>
    <w:rsid w:val="00C65DD9"/>
    <w:rsid w:val="00C701DE"/>
    <w:rsid w:val="00C71B4C"/>
    <w:rsid w:val="00C80C9D"/>
    <w:rsid w:val="00C81B1C"/>
    <w:rsid w:val="00C85792"/>
    <w:rsid w:val="00C91A7F"/>
    <w:rsid w:val="00C92EB1"/>
    <w:rsid w:val="00C93585"/>
    <w:rsid w:val="00CA4B61"/>
    <w:rsid w:val="00CD3C80"/>
    <w:rsid w:val="00CD6496"/>
    <w:rsid w:val="00CE5141"/>
    <w:rsid w:val="00CF1728"/>
    <w:rsid w:val="00D00CA1"/>
    <w:rsid w:val="00D057F7"/>
    <w:rsid w:val="00D0645A"/>
    <w:rsid w:val="00D1563C"/>
    <w:rsid w:val="00D24349"/>
    <w:rsid w:val="00D27CAE"/>
    <w:rsid w:val="00D36979"/>
    <w:rsid w:val="00D5026E"/>
    <w:rsid w:val="00D505B0"/>
    <w:rsid w:val="00D5286E"/>
    <w:rsid w:val="00D53672"/>
    <w:rsid w:val="00D6086C"/>
    <w:rsid w:val="00D60EE4"/>
    <w:rsid w:val="00D652CC"/>
    <w:rsid w:val="00D8134B"/>
    <w:rsid w:val="00D817C4"/>
    <w:rsid w:val="00D93440"/>
    <w:rsid w:val="00DA6199"/>
    <w:rsid w:val="00DA7CF8"/>
    <w:rsid w:val="00DB2D59"/>
    <w:rsid w:val="00DC30E8"/>
    <w:rsid w:val="00DD13C2"/>
    <w:rsid w:val="00DD1880"/>
    <w:rsid w:val="00DD4E4A"/>
    <w:rsid w:val="00DE167F"/>
    <w:rsid w:val="00DE178F"/>
    <w:rsid w:val="00DE1D66"/>
    <w:rsid w:val="00DF098C"/>
    <w:rsid w:val="00DF4538"/>
    <w:rsid w:val="00DF757E"/>
    <w:rsid w:val="00E079D6"/>
    <w:rsid w:val="00E10969"/>
    <w:rsid w:val="00E11AEB"/>
    <w:rsid w:val="00E16F05"/>
    <w:rsid w:val="00E21813"/>
    <w:rsid w:val="00E22132"/>
    <w:rsid w:val="00E426EA"/>
    <w:rsid w:val="00E56A9E"/>
    <w:rsid w:val="00E576C5"/>
    <w:rsid w:val="00E633C0"/>
    <w:rsid w:val="00E7566C"/>
    <w:rsid w:val="00E84454"/>
    <w:rsid w:val="00E9334A"/>
    <w:rsid w:val="00E96E2C"/>
    <w:rsid w:val="00E96ED8"/>
    <w:rsid w:val="00EB2E9C"/>
    <w:rsid w:val="00EC1155"/>
    <w:rsid w:val="00ED4082"/>
    <w:rsid w:val="00EE16BC"/>
    <w:rsid w:val="00EF7698"/>
    <w:rsid w:val="00EF7CC5"/>
    <w:rsid w:val="00F0372C"/>
    <w:rsid w:val="00F0538B"/>
    <w:rsid w:val="00F05D0B"/>
    <w:rsid w:val="00F16B83"/>
    <w:rsid w:val="00F16CE4"/>
    <w:rsid w:val="00F21576"/>
    <w:rsid w:val="00F222BF"/>
    <w:rsid w:val="00F22351"/>
    <w:rsid w:val="00F408CB"/>
    <w:rsid w:val="00F47F12"/>
    <w:rsid w:val="00F52567"/>
    <w:rsid w:val="00F5632E"/>
    <w:rsid w:val="00F60D48"/>
    <w:rsid w:val="00F62B72"/>
    <w:rsid w:val="00F814BE"/>
    <w:rsid w:val="00F814DC"/>
    <w:rsid w:val="00F865CC"/>
    <w:rsid w:val="00F8678F"/>
    <w:rsid w:val="00F91295"/>
    <w:rsid w:val="00FA13D6"/>
    <w:rsid w:val="00FB0595"/>
    <w:rsid w:val="00FB1189"/>
    <w:rsid w:val="00FC1020"/>
    <w:rsid w:val="00FC2A23"/>
    <w:rsid w:val="00FD424F"/>
    <w:rsid w:val="00FD66ED"/>
    <w:rsid w:val="00FF2880"/>
    <w:rsid w:val="03A7E34A"/>
    <w:rsid w:val="04416D7B"/>
    <w:rsid w:val="05E2E91D"/>
    <w:rsid w:val="0AD09C73"/>
    <w:rsid w:val="0B0B89B0"/>
    <w:rsid w:val="0E94C058"/>
    <w:rsid w:val="145116A9"/>
    <w:rsid w:val="169596F3"/>
    <w:rsid w:val="1925113B"/>
    <w:rsid w:val="1C92141F"/>
    <w:rsid w:val="1F0E4D24"/>
    <w:rsid w:val="209A7A64"/>
    <w:rsid w:val="2201AC39"/>
    <w:rsid w:val="221E231E"/>
    <w:rsid w:val="251CF54A"/>
    <w:rsid w:val="2591BE9C"/>
    <w:rsid w:val="2A930DEC"/>
    <w:rsid w:val="2E013723"/>
    <w:rsid w:val="32EFAD24"/>
    <w:rsid w:val="3466770C"/>
    <w:rsid w:val="3774C3C5"/>
    <w:rsid w:val="388216FE"/>
    <w:rsid w:val="38B67D63"/>
    <w:rsid w:val="3AD91CCF"/>
    <w:rsid w:val="3D471E60"/>
    <w:rsid w:val="45927127"/>
    <w:rsid w:val="4B578F33"/>
    <w:rsid w:val="5032ADC3"/>
    <w:rsid w:val="54842182"/>
    <w:rsid w:val="55903F4F"/>
    <w:rsid w:val="56EC0817"/>
    <w:rsid w:val="575CB63D"/>
    <w:rsid w:val="5C176386"/>
    <w:rsid w:val="614AABF1"/>
    <w:rsid w:val="6516F8FE"/>
    <w:rsid w:val="67255F97"/>
    <w:rsid w:val="70B7ED0A"/>
    <w:rsid w:val="70C0B728"/>
    <w:rsid w:val="70C4F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9F5C96"/>
  <w15:chartTrackingRefBased/>
  <w15:docId w15:val="{86B92D39-7BB6-4C04-9FFB-E45F292EE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7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17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7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7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7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7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7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7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7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7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17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7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7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7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7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7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7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78F"/>
    <w:rPr>
      <w:rFonts w:eastAsiaTheme="majorEastAsia" w:cstheme="majorBidi"/>
      <w:color w:val="272727" w:themeColor="text1" w:themeTint="D8"/>
    </w:rPr>
  </w:style>
  <w:style w:type="paragraph" w:styleId="Title">
    <w:name w:val="Title"/>
    <w:basedOn w:val="Normal"/>
    <w:next w:val="Normal"/>
    <w:link w:val="TitleChar"/>
    <w:uiPriority w:val="10"/>
    <w:qFormat/>
    <w:rsid w:val="00DE17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7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7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7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78F"/>
    <w:pPr>
      <w:spacing w:before="160"/>
      <w:jc w:val="center"/>
    </w:pPr>
    <w:rPr>
      <w:i/>
      <w:iCs/>
      <w:color w:val="404040" w:themeColor="text1" w:themeTint="BF"/>
    </w:rPr>
  </w:style>
  <w:style w:type="character" w:customStyle="1" w:styleId="QuoteChar">
    <w:name w:val="Quote Char"/>
    <w:basedOn w:val="DefaultParagraphFont"/>
    <w:link w:val="Quote"/>
    <w:uiPriority w:val="29"/>
    <w:rsid w:val="00DE178F"/>
    <w:rPr>
      <w:i/>
      <w:iCs/>
      <w:color w:val="404040" w:themeColor="text1" w:themeTint="BF"/>
    </w:rPr>
  </w:style>
  <w:style w:type="paragraph" w:styleId="ListParagraph">
    <w:name w:val="List Paragraph"/>
    <w:basedOn w:val="Normal"/>
    <w:uiPriority w:val="34"/>
    <w:qFormat/>
    <w:rsid w:val="00DE178F"/>
    <w:pPr>
      <w:ind w:left="720"/>
      <w:contextualSpacing/>
    </w:pPr>
  </w:style>
  <w:style w:type="character" w:styleId="IntenseEmphasis">
    <w:name w:val="Intense Emphasis"/>
    <w:basedOn w:val="DefaultParagraphFont"/>
    <w:uiPriority w:val="21"/>
    <w:qFormat/>
    <w:rsid w:val="00DE178F"/>
    <w:rPr>
      <w:i/>
      <w:iCs/>
      <w:color w:val="0F4761" w:themeColor="accent1" w:themeShade="BF"/>
    </w:rPr>
  </w:style>
  <w:style w:type="paragraph" w:styleId="IntenseQuote">
    <w:name w:val="Intense Quote"/>
    <w:basedOn w:val="Normal"/>
    <w:next w:val="Normal"/>
    <w:link w:val="IntenseQuoteChar"/>
    <w:uiPriority w:val="30"/>
    <w:qFormat/>
    <w:rsid w:val="00DE17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78F"/>
    <w:rPr>
      <w:i/>
      <w:iCs/>
      <w:color w:val="0F4761" w:themeColor="accent1" w:themeShade="BF"/>
    </w:rPr>
  </w:style>
  <w:style w:type="character" w:styleId="IntenseReference">
    <w:name w:val="Intense Reference"/>
    <w:basedOn w:val="DefaultParagraphFont"/>
    <w:uiPriority w:val="32"/>
    <w:qFormat/>
    <w:rsid w:val="00DE178F"/>
    <w:rPr>
      <w:b/>
      <w:bCs/>
      <w:smallCaps/>
      <w:color w:val="0F4761" w:themeColor="accent1" w:themeShade="BF"/>
      <w:spacing w:val="5"/>
    </w:rPr>
  </w:style>
  <w:style w:type="character" w:styleId="Hyperlink">
    <w:name w:val="Hyperlink"/>
    <w:basedOn w:val="DefaultParagraphFont"/>
    <w:uiPriority w:val="99"/>
    <w:unhideWhenUsed/>
    <w:rsid w:val="00C50A2D"/>
    <w:rPr>
      <w:color w:val="467886" w:themeColor="hyperlink"/>
      <w:u w:val="single"/>
    </w:rPr>
  </w:style>
  <w:style w:type="character" w:styleId="UnresolvedMention">
    <w:name w:val="Unresolved Mention"/>
    <w:basedOn w:val="DefaultParagraphFont"/>
    <w:uiPriority w:val="99"/>
    <w:semiHidden/>
    <w:unhideWhenUsed/>
    <w:rsid w:val="00C50A2D"/>
    <w:rPr>
      <w:color w:val="605E5C"/>
      <w:shd w:val="clear" w:color="auto" w:fill="E1DFDD"/>
    </w:rPr>
  </w:style>
  <w:style w:type="paragraph" w:styleId="FootnoteText">
    <w:name w:val="footnote text"/>
    <w:basedOn w:val="Normal"/>
    <w:link w:val="FootnoteTextChar"/>
    <w:uiPriority w:val="99"/>
    <w:semiHidden/>
    <w:unhideWhenUsed/>
    <w:rsid w:val="00E844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4454"/>
    <w:rPr>
      <w:sz w:val="20"/>
      <w:szCs w:val="20"/>
    </w:rPr>
  </w:style>
  <w:style w:type="character" w:styleId="FootnoteReference">
    <w:name w:val="footnote reference"/>
    <w:basedOn w:val="DefaultParagraphFont"/>
    <w:uiPriority w:val="99"/>
    <w:semiHidden/>
    <w:unhideWhenUsed/>
    <w:rsid w:val="00E84454"/>
    <w:rPr>
      <w:vertAlign w:val="superscript"/>
    </w:rPr>
  </w:style>
  <w:style w:type="character" w:styleId="FollowedHyperlink">
    <w:name w:val="FollowedHyperlink"/>
    <w:basedOn w:val="DefaultParagraphFont"/>
    <w:uiPriority w:val="99"/>
    <w:semiHidden/>
    <w:unhideWhenUsed/>
    <w:rsid w:val="0074478C"/>
    <w:rPr>
      <w:color w:val="96607D" w:themeColor="followedHyperlink"/>
      <w:u w:val="single"/>
    </w:rPr>
  </w:style>
  <w:style w:type="paragraph" w:styleId="Header">
    <w:name w:val="header"/>
    <w:basedOn w:val="Normal"/>
    <w:link w:val="HeaderChar"/>
    <w:uiPriority w:val="99"/>
    <w:semiHidden/>
    <w:unhideWhenUsed/>
    <w:rsid w:val="007C656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6563"/>
  </w:style>
  <w:style w:type="paragraph" w:styleId="Footer">
    <w:name w:val="footer"/>
    <w:basedOn w:val="Normal"/>
    <w:link w:val="FooterChar"/>
    <w:uiPriority w:val="99"/>
    <w:semiHidden/>
    <w:unhideWhenUsed/>
    <w:rsid w:val="007C656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C6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jstor.org/stable/4091763" TargetMode="External"/><Relationship Id="rId18" Type="http://schemas.openxmlformats.org/officeDocument/2006/relationships/hyperlink" Target="http://www.jstor.org/stable/2637466" TargetMode="External"/><Relationship Id="rId3" Type="http://schemas.openxmlformats.org/officeDocument/2006/relationships/customXml" Target="../customXml/item3.xml"/><Relationship Id="rId21" Type="http://schemas.openxmlformats.org/officeDocument/2006/relationships/hyperlink" Target="https://doi-org.uwtsd.idm.oclc.org/10.2307/1864376" TargetMode="External"/><Relationship Id="rId7" Type="http://schemas.openxmlformats.org/officeDocument/2006/relationships/settings" Target="settings.xml"/><Relationship Id="rId12" Type="http://schemas.openxmlformats.org/officeDocument/2006/relationships/hyperlink" Target="https://doi.org/10.2218/plurality.10076" TargetMode="External"/><Relationship Id="rId17" Type="http://schemas.openxmlformats.org/officeDocument/2006/relationships/hyperlink" Target="https://doi.org/10.1086/71455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jstor.org/stable/23924277" TargetMode="External"/><Relationship Id="rId20" Type="http://schemas.openxmlformats.org/officeDocument/2006/relationships/hyperlink" Target="https://www.southasia.ox.ac.uk/gender-indian-history-and-society-c-1800-pres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jstor.org/stable/4286723"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ncyclopedia.com/international/encyclopedias-almanacs-transcripts-and-maps/imperialism-and-gender" TargetMode="External"/><Relationship Id="rId23" Type="http://schemas.openxmlformats.org/officeDocument/2006/relationships/hyperlink" Target="https://doi.org/10.1086/432167" TargetMode="External"/><Relationship Id="rId10" Type="http://schemas.openxmlformats.org/officeDocument/2006/relationships/endnotes" Target="endnotes.xml"/><Relationship Id="rId19" Type="http://schemas.openxmlformats.org/officeDocument/2006/relationships/hyperlink" Target="https://www.jstor.org/stable/265376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verpooluniversitypress.manifoldapp.org/read/colonial-violence/section/71c632a8-6ae0-4de5-8c42-f4cca41f45d8" TargetMode="External"/><Relationship Id="rId22" Type="http://schemas.openxmlformats.org/officeDocument/2006/relationships/hyperlink" Target="http://www.jstor.org/stable/2617430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02/9781118320792.CH11" TargetMode="External"/><Relationship Id="rId13" Type="http://schemas.openxmlformats.org/officeDocument/2006/relationships/hyperlink" Target="https://doi.org/10.2218/plurality.10076" TargetMode="External"/><Relationship Id="rId18" Type="http://schemas.openxmlformats.org/officeDocument/2006/relationships/hyperlink" Target="https://www.jstor.org/stable/26537614" TargetMode="External"/><Relationship Id="rId3" Type="http://schemas.openxmlformats.org/officeDocument/2006/relationships/hyperlink" Target="http://www.jstor.org/stable/2637466" TargetMode="External"/><Relationship Id="rId7" Type="http://schemas.openxmlformats.org/officeDocument/2006/relationships/hyperlink" Target="http://www.jstor.org/stable/26174303" TargetMode="External"/><Relationship Id="rId12" Type="http://schemas.openxmlformats.org/officeDocument/2006/relationships/hyperlink" Target="https://doi.org/10.1086/714551" TargetMode="External"/><Relationship Id="rId17" Type="http://schemas.openxmlformats.org/officeDocument/2006/relationships/hyperlink" Target="http://www.jstor.org/stable/4091763" TargetMode="External"/><Relationship Id="rId2" Type="http://schemas.openxmlformats.org/officeDocument/2006/relationships/hyperlink" Target="https://liverpooluniversitypress.manifoldapp.org/read/colonial-violence/section/71c632a8-6ae0-4de5-8c42-f4cca41f45d8" TargetMode="External"/><Relationship Id="rId16" Type="http://schemas.openxmlformats.org/officeDocument/2006/relationships/hyperlink" Target="https://doi-org.uwtsd.idm.oclc.org/10.2307/1864376" TargetMode="External"/><Relationship Id="rId1" Type="http://schemas.openxmlformats.org/officeDocument/2006/relationships/hyperlink" Target="http://www.jstor.org/stable/23924277" TargetMode="External"/><Relationship Id="rId6" Type="http://schemas.openxmlformats.org/officeDocument/2006/relationships/hyperlink" Target="http://www.jstor.org/stable/4286723" TargetMode="External"/><Relationship Id="rId11" Type="http://schemas.openxmlformats.org/officeDocument/2006/relationships/hyperlink" Target="http://www.jstor.org/stable/2637466" TargetMode="External"/><Relationship Id="rId5" Type="http://schemas.openxmlformats.org/officeDocument/2006/relationships/hyperlink" Target="http://www.jstor.org/stable/2637466" TargetMode="External"/><Relationship Id="rId15" Type="http://schemas.openxmlformats.org/officeDocument/2006/relationships/hyperlink" Target="https://doi.org/10.1086/432167" TargetMode="External"/><Relationship Id="rId10" Type="http://schemas.openxmlformats.org/officeDocument/2006/relationships/hyperlink" Target="https://www.southasia.ox.ac.uk/gender-indian-history-and-society-c-1800-present" TargetMode="External"/><Relationship Id="rId19" Type="http://schemas.openxmlformats.org/officeDocument/2006/relationships/hyperlink" Target="http://www.jstor.org/stable/26174303" TargetMode="External"/><Relationship Id="rId4" Type="http://schemas.openxmlformats.org/officeDocument/2006/relationships/hyperlink" Target="http://www.jstor.org/stable/2637466" TargetMode="External"/><Relationship Id="rId9" Type="http://schemas.openxmlformats.org/officeDocument/2006/relationships/hyperlink" Target="http://www.jstor.org/stable/26174303" TargetMode="External"/><Relationship Id="rId14" Type="http://schemas.openxmlformats.org/officeDocument/2006/relationships/hyperlink" Target="https://www.encyclopedia.com/international/encyclopedias-almanacs-transcripts-and-maps/imperialism-and-g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3415d2da2f78a4af43c5a008b2848be">
  <xsd:schema xmlns:xsd="http://www.w3.org/2001/XMLSchema" xmlns:xs="http://www.w3.org/2001/XMLSchema" xmlns:p="http://schemas.microsoft.com/office/2006/metadata/properties" xmlns:ns3="0085e1a2-9cbf-4b92-866b-21f3c89040b6" targetNamespace="http://schemas.microsoft.com/office/2006/metadata/properties" ma:root="true" ma:fieldsID="34204d9e6ec510ac400337f2afbbfe7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5BAD3-3291-47CE-A386-DE3F7B3DE6F2}">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3DBA11EB-7C68-4C02-A54C-A5755EE250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434C28-A41F-40F6-B241-E496CC20652B}">
  <ds:schemaRefs>
    <ds:schemaRef ds:uri="http://schemas.microsoft.com/sharepoint/v3/contenttype/forms"/>
  </ds:schemaRefs>
</ds:datastoreItem>
</file>

<file path=customXml/itemProps4.xml><?xml version="1.0" encoding="utf-8"?>
<ds:datastoreItem xmlns:ds="http://schemas.openxmlformats.org/officeDocument/2006/customXml" ds:itemID="{F04B8AB5-7922-465C-AF94-A37AD7375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5879</TotalTime>
  <Pages>7</Pages>
  <Words>3122</Words>
  <Characters>16613</Characters>
  <Application>Microsoft Office Word</Application>
  <DocSecurity>0</DocSecurity>
  <Lines>237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19708</CharactersWithSpaces>
  <SharedDoc>false</SharedDoc>
  <HLinks>
    <vt:vector size="132" baseType="variant">
      <vt:variant>
        <vt:i4>2031691</vt:i4>
      </vt:variant>
      <vt:variant>
        <vt:i4>63</vt:i4>
      </vt:variant>
      <vt:variant>
        <vt:i4>0</vt:i4>
      </vt:variant>
      <vt:variant>
        <vt:i4>5</vt:i4>
      </vt:variant>
      <vt:variant>
        <vt:lpwstr>http://www.jstor.org/stable/26174303</vt:lpwstr>
      </vt:variant>
      <vt:variant>
        <vt:lpwstr/>
      </vt:variant>
      <vt:variant>
        <vt:i4>5570630</vt:i4>
      </vt:variant>
      <vt:variant>
        <vt:i4>60</vt:i4>
      </vt:variant>
      <vt:variant>
        <vt:i4>0</vt:i4>
      </vt:variant>
      <vt:variant>
        <vt:i4>5</vt:i4>
      </vt:variant>
      <vt:variant>
        <vt:lpwstr>https://www.jstor.org/stable/26537614</vt:lpwstr>
      </vt:variant>
      <vt:variant>
        <vt:lpwstr/>
      </vt:variant>
      <vt:variant>
        <vt:i4>2687094</vt:i4>
      </vt:variant>
      <vt:variant>
        <vt:i4>57</vt:i4>
      </vt:variant>
      <vt:variant>
        <vt:i4>0</vt:i4>
      </vt:variant>
      <vt:variant>
        <vt:i4>5</vt:i4>
      </vt:variant>
      <vt:variant>
        <vt:lpwstr>http://www.jstor.org/stable/4091763</vt:lpwstr>
      </vt:variant>
      <vt:variant>
        <vt:lpwstr/>
      </vt:variant>
      <vt:variant>
        <vt:i4>8257650</vt:i4>
      </vt:variant>
      <vt:variant>
        <vt:i4>54</vt:i4>
      </vt:variant>
      <vt:variant>
        <vt:i4>0</vt:i4>
      </vt:variant>
      <vt:variant>
        <vt:i4>5</vt:i4>
      </vt:variant>
      <vt:variant>
        <vt:lpwstr>https://doi-org.uwtsd.idm.oclc.org/10.2307/1864376</vt:lpwstr>
      </vt:variant>
      <vt:variant>
        <vt:lpwstr/>
      </vt:variant>
      <vt:variant>
        <vt:i4>3014764</vt:i4>
      </vt:variant>
      <vt:variant>
        <vt:i4>51</vt:i4>
      </vt:variant>
      <vt:variant>
        <vt:i4>0</vt:i4>
      </vt:variant>
      <vt:variant>
        <vt:i4>5</vt:i4>
      </vt:variant>
      <vt:variant>
        <vt:lpwstr>https://doi.org/10.1086/432167</vt:lpwstr>
      </vt:variant>
      <vt:variant>
        <vt:lpwstr/>
      </vt:variant>
      <vt:variant>
        <vt:i4>851989</vt:i4>
      </vt:variant>
      <vt:variant>
        <vt:i4>48</vt:i4>
      </vt:variant>
      <vt:variant>
        <vt:i4>0</vt:i4>
      </vt:variant>
      <vt:variant>
        <vt:i4>5</vt:i4>
      </vt:variant>
      <vt:variant>
        <vt:lpwstr>https://www.encyclopedia.com/international/encyclopedias-almanacs-transcripts-and-maps/imperialism-and-gender</vt:lpwstr>
      </vt:variant>
      <vt:variant>
        <vt:lpwstr/>
      </vt:variant>
      <vt:variant>
        <vt:i4>1900589</vt:i4>
      </vt:variant>
      <vt:variant>
        <vt:i4>45</vt:i4>
      </vt:variant>
      <vt:variant>
        <vt:i4>0</vt:i4>
      </vt:variant>
      <vt:variant>
        <vt:i4>5</vt:i4>
      </vt:variant>
      <vt:variant>
        <vt:lpwstr>C:\Users\megan\Downloads\Gendering+Empire_+a+Historiographical+Exploration.pdf</vt:lpwstr>
      </vt:variant>
      <vt:variant>
        <vt:lpwstr/>
      </vt:variant>
      <vt:variant>
        <vt:i4>1048600</vt:i4>
      </vt:variant>
      <vt:variant>
        <vt:i4>42</vt:i4>
      </vt:variant>
      <vt:variant>
        <vt:i4>0</vt:i4>
      </vt:variant>
      <vt:variant>
        <vt:i4>5</vt:i4>
      </vt:variant>
      <vt:variant>
        <vt:lpwstr>https://pmc.ncbi.nlm.nih.gov/articles/PMC8321394/</vt:lpwstr>
      </vt:variant>
      <vt:variant>
        <vt:lpwstr/>
      </vt:variant>
      <vt:variant>
        <vt:i4>2687097</vt:i4>
      </vt:variant>
      <vt:variant>
        <vt:i4>39</vt:i4>
      </vt:variant>
      <vt:variant>
        <vt:i4>0</vt:i4>
      </vt:variant>
      <vt:variant>
        <vt:i4>5</vt:i4>
      </vt:variant>
      <vt:variant>
        <vt:lpwstr>http://www.jstor.org/stable/2637466</vt:lpwstr>
      </vt:variant>
      <vt:variant>
        <vt:lpwstr/>
      </vt:variant>
      <vt:variant>
        <vt:i4>2424957</vt:i4>
      </vt:variant>
      <vt:variant>
        <vt:i4>36</vt:i4>
      </vt:variant>
      <vt:variant>
        <vt:i4>0</vt:i4>
      </vt:variant>
      <vt:variant>
        <vt:i4>5</vt:i4>
      </vt:variant>
      <vt:variant>
        <vt:lpwstr>https://www.southasia.ox.ac.uk/gender-indian-history-and-society-c-1800-present</vt:lpwstr>
      </vt:variant>
      <vt:variant>
        <vt:lpwstr/>
      </vt:variant>
      <vt:variant>
        <vt:i4>5570628</vt:i4>
      </vt:variant>
      <vt:variant>
        <vt:i4>33</vt:i4>
      </vt:variant>
      <vt:variant>
        <vt:i4>0</vt:i4>
      </vt:variant>
      <vt:variant>
        <vt:i4>5</vt:i4>
      </vt:variant>
      <vt:variant>
        <vt:lpwstr>https://doi.org/10.1093/acprof:oso/9780199249503.003.0003</vt:lpwstr>
      </vt:variant>
      <vt:variant>
        <vt:lpwstr/>
      </vt:variant>
      <vt:variant>
        <vt:i4>2031691</vt:i4>
      </vt:variant>
      <vt:variant>
        <vt:i4>30</vt:i4>
      </vt:variant>
      <vt:variant>
        <vt:i4>0</vt:i4>
      </vt:variant>
      <vt:variant>
        <vt:i4>5</vt:i4>
      </vt:variant>
      <vt:variant>
        <vt:lpwstr>http://www.jstor.org/stable/26174303</vt:lpwstr>
      </vt:variant>
      <vt:variant>
        <vt:lpwstr/>
      </vt:variant>
      <vt:variant>
        <vt:i4>6881333</vt:i4>
      </vt:variant>
      <vt:variant>
        <vt:i4>27</vt:i4>
      </vt:variant>
      <vt:variant>
        <vt:i4>0</vt:i4>
      </vt:variant>
      <vt:variant>
        <vt:i4>5</vt:i4>
      </vt:variant>
      <vt:variant>
        <vt:lpwstr>https://doi.org/10.1002/9781118320792.CH11</vt:lpwstr>
      </vt:variant>
      <vt:variant>
        <vt:lpwstr/>
      </vt:variant>
      <vt:variant>
        <vt:i4>2031691</vt:i4>
      </vt:variant>
      <vt:variant>
        <vt:i4>24</vt:i4>
      </vt:variant>
      <vt:variant>
        <vt:i4>0</vt:i4>
      </vt:variant>
      <vt:variant>
        <vt:i4>5</vt:i4>
      </vt:variant>
      <vt:variant>
        <vt:lpwstr>http://www.jstor.org/stable/26174303</vt:lpwstr>
      </vt:variant>
      <vt:variant>
        <vt:lpwstr/>
      </vt:variant>
      <vt:variant>
        <vt:i4>2621559</vt:i4>
      </vt:variant>
      <vt:variant>
        <vt:i4>21</vt:i4>
      </vt:variant>
      <vt:variant>
        <vt:i4>0</vt:i4>
      </vt:variant>
      <vt:variant>
        <vt:i4>5</vt:i4>
      </vt:variant>
      <vt:variant>
        <vt:lpwstr>http://www.jstor.org/stable/4286723</vt:lpwstr>
      </vt:variant>
      <vt:variant>
        <vt:lpwstr/>
      </vt:variant>
      <vt:variant>
        <vt:i4>2687097</vt:i4>
      </vt:variant>
      <vt:variant>
        <vt:i4>18</vt:i4>
      </vt:variant>
      <vt:variant>
        <vt:i4>0</vt:i4>
      </vt:variant>
      <vt:variant>
        <vt:i4>5</vt:i4>
      </vt:variant>
      <vt:variant>
        <vt:lpwstr>http://www.jstor.org/stable/2637466</vt:lpwstr>
      </vt:variant>
      <vt:variant>
        <vt:lpwstr/>
      </vt:variant>
      <vt:variant>
        <vt:i4>2687097</vt:i4>
      </vt:variant>
      <vt:variant>
        <vt:i4>15</vt:i4>
      </vt:variant>
      <vt:variant>
        <vt:i4>0</vt:i4>
      </vt:variant>
      <vt:variant>
        <vt:i4>5</vt:i4>
      </vt:variant>
      <vt:variant>
        <vt:lpwstr>http://www.jstor.org/stable/2637466</vt:lpwstr>
      </vt:variant>
      <vt:variant>
        <vt:lpwstr/>
      </vt:variant>
      <vt:variant>
        <vt:i4>5832729</vt:i4>
      </vt:variant>
      <vt:variant>
        <vt:i4>12</vt:i4>
      </vt:variant>
      <vt:variant>
        <vt:i4>0</vt:i4>
      </vt:variant>
      <vt:variant>
        <vt:i4>5</vt:i4>
      </vt:variant>
      <vt:variant>
        <vt:lpwstr>https://liverpooluniversitypress.manifoldapp.org/read/colonial-violence/section/71c632a8-6ae0-4de5-8c42-f4cca41f45d8</vt:lpwstr>
      </vt:variant>
      <vt:variant>
        <vt:lpwstr/>
      </vt:variant>
      <vt:variant>
        <vt:i4>4128885</vt:i4>
      </vt:variant>
      <vt:variant>
        <vt:i4>9</vt:i4>
      </vt:variant>
      <vt:variant>
        <vt:i4>0</vt:i4>
      </vt:variant>
      <vt:variant>
        <vt:i4>5</vt:i4>
      </vt:variant>
      <vt:variant>
        <vt:lpwstr>https://retrospectjournal.com/2025/02/23/rethinking-a-contested-analytical-lens-the-evolution-of-gender-in-imperial-historiography/</vt:lpwstr>
      </vt:variant>
      <vt:variant>
        <vt:lpwstr/>
      </vt:variant>
      <vt:variant>
        <vt:i4>4128885</vt:i4>
      </vt:variant>
      <vt:variant>
        <vt:i4>6</vt:i4>
      </vt:variant>
      <vt:variant>
        <vt:i4>0</vt:i4>
      </vt:variant>
      <vt:variant>
        <vt:i4>5</vt:i4>
      </vt:variant>
      <vt:variant>
        <vt:lpwstr>https://retrospectjournal.com/2025/02/23/rethinking-a-contested-analytical-lens-the-evolution-of-gender-in-imperial-historiography/</vt:lpwstr>
      </vt:variant>
      <vt:variant>
        <vt:lpwstr/>
      </vt:variant>
      <vt:variant>
        <vt:i4>4128885</vt:i4>
      </vt:variant>
      <vt:variant>
        <vt:i4>3</vt:i4>
      </vt:variant>
      <vt:variant>
        <vt:i4>0</vt:i4>
      </vt:variant>
      <vt:variant>
        <vt:i4>5</vt:i4>
      </vt:variant>
      <vt:variant>
        <vt:lpwstr>https://retrospectjournal.com/2025/02/23/rethinking-a-contested-analytical-lens-the-evolution-of-gender-in-imperial-historiography/</vt:lpwstr>
      </vt:variant>
      <vt:variant>
        <vt:lpwstr/>
      </vt:variant>
      <vt:variant>
        <vt:i4>1704004</vt:i4>
      </vt:variant>
      <vt:variant>
        <vt:i4>0</vt:i4>
      </vt:variant>
      <vt:variant>
        <vt:i4>0</vt:i4>
      </vt:variant>
      <vt:variant>
        <vt:i4>5</vt:i4>
      </vt:variant>
      <vt:variant>
        <vt:lpwstr>http://www.jstor.org/stable/23924277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354</cp:revision>
  <dcterms:created xsi:type="dcterms:W3CDTF">2025-11-12T20:17:00Z</dcterms:created>
  <dcterms:modified xsi:type="dcterms:W3CDTF">2026-05-22T13:05:00Z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