
<file path=[Content_Types].xml><?xml version="1.0" encoding="utf-8"?>
<Types xmlns="http://schemas.openxmlformats.org/package/2006/content-types">
  <Default ContentType="image/jpeg" Extension="jpg"/>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b w:val="1"/>
        </w:rPr>
      </w:pPr>
      <w:r w:rsidDel="00000000" w:rsidR="00000000" w:rsidRPr="00000000">
        <w:rPr>
          <w:b w:val="1"/>
        </w:rPr>
        <w:drawing>
          <wp:inline distB="114300" distT="114300" distL="114300" distR="114300">
            <wp:extent cx="2568488" cy="3386138"/>
            <wp:effectExtent b="0" l="0" r="0" t="0"/>
            <wp:docPr id="2" name="image1.jpg"/>
            <a:graphic>
              <a:graphicData uri="http://schemas.openxmlformats.org/drawingml/2006/picture">
                <pic:pic>
                  <pic:nvPicPr>
                    <pic:cNvPr id="0" name="image1.jpg"/>
                    <pic:cNvPicPr preferRelativeResize="0"/>
                  </pic:nvPicPr>
                  <pic:blipFill>
                    <a:blip r:embed="rId7"/>
                    <a:srcRect b="0" l="0" r="0" t="0"/>
                    <a:stretch>
                      <a:fillRect/>
                    </a:stretch>
                  </pic:blipFill>
                  <pic:spPr>
                    <a:xfrm>
                      <a:off x="0" y="0"/>
                      <a:ext cx="2568488" cy="3386138"/>
                    </a:xfrm>
                    <a:prstGeom prst="rect"/>
                    <a:ln/>
                  </pic:spPr>
                </pic:pic>
              </a:graphicData>
            </a:graphic>
          </wp:inline>
        </w:drawing>
      </w:r>
      <w:r w:rsidDel="00000000" w:rsidR="00000000" w:rsidRPr="00000000">
        <w:rPr>
          <w:b w:val="1"/>
          <w:rtl w:val="0"/>
        </w:rPr>
        <w:t xml:space="preserve">  </w:t>
      </w:r>
      <w:r w:rsidDel="00000000" w:rsidR="00000000" w:rsidRPr="00000000">
        <w:rPr>
          <w:b w:val="1"/>
        </w:rPr>
        <w:drawing>
          <wp:inline distB="114300" distT="114300" distL="114300" distR="114300">
            <wp:extent cx="2537135" cy="3386138"/>
            <wp:effectExtent b="0" l="0" r="0" t="0"/>
            <wp:docPr id="1" name="image3.jpg"/>
            <a:graphic>
              <a:graphicData uri="http://schemas.openxmlformats.org/drawingml/2006/picture">
                <pic:pic>
                  <pic:nvPicPr>
                    <pic:cNvPr id="0" name="image3.jpg"/>
                    <pic:cNvPicPr preferRelativeResize="0"/>
                  </pic:nvPicPr>
                  <pic:blipFill>
                    <a:blip r:embed="rId8"/>
                    <a:srcRect b="0" l="0" r="0" t="0"/>
                    <a:stretch>
                      <a:fillRect/>
                    </a:stretch>
                  </pic:blipFill>
                  <pic:spPr>
                    <a:xfrm>
                      <a:off x="0" y="0"/>
                      <a:ext cx="2537135" cy="3386138"/>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rPr>
          <w:b w:val="1"/>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3288338</wp:posOffset>
            </wp:positionH>
            <wp:positionV relativeFrom="paragraph">
              <wp:posOffset>219075</wp:posOffset>
            </wp:positionV>
            <wp:extent cx="3083887" cy="2303737"/>
            <wp:effectExtent b="0" l="0" r="0" t="0"/>
            <wp:wrapSquare wrapText="bothSides" distB="114300" distT="114300" distL="114300" distR="114300"/>
            <wp:docPr id="3" name="image2.jpg"/>
            <a:graphic>
              <a:graphicData uri="http://schemas.openxmlformats.org/drawingml/2006/picture">
                <pic:pic>
                  <pic:nvPicPr>
                    <pic:cNvPr id="0" name="image2.jpg"/>
                    <pic:cNvPicPr preferRelativeResize="0"/>
                  </pic:nvPicPr>
                  <pic:blipFill>
                    <a:blip r:embed="rId9"/>
                    <a:srcRect b="0" l="0" r="0" t="0"/>
                    <a:stretch>
                      <a:fillRect/>
                    </a:stretch>
                  </pic:blipFill>
                  <pic:spPr>
                    <a:xfrm>
                      <a:off x="0" y="0"/>
                      <a:ext cx="3083887" cy="2303737"/>
                    </a:xfrm>
                    <a:prstGeom prst="rect"/>
                    <a:ln/>
                  </pic:spPr>
                </pic:pic>
              </a:graphicData>
            </a:graphic>
          </wp:anchor>
        </w:drawing>
      </w:r>
    </w:p>
    <w:p w:rsidR="00000000" w:rsidDel="00000000" w:rsidP="00000000" w:rsidRDefault="00000000" w:rsidRPr="00000000" w14:paraId="00000003">
      <w:pPr>
        <w:rPr>
          <w:b w:val="1"/>
        </w:rPr>
      </w:pPr>
      <w:r w:rsidDel="00000000" w:rsidR="00000000" w:rsidRPr="00000000">
        <w:rPr>
          <w:rtl w:val="0"/>
        </w:rPr>
      </w:r>
    </w:p>
    <w:p w:rsidR="00000000" w:rsidDel="00000000" w:rsidP="00000000" w:rsidRDefault="00000000" w:rsidRPr="00000000" w14:paraId="00000004">
      <w:pPr>
        <w:rPr>
          <w:b w:val="1"/>
        </w:rPr>
      </w:pPr>
      <w:r w:rsidDel="00000000" w:rsidR="00000000" w:rsidRPr="00000000">
        <w:rPr>
          <w:b w:val="1"/>
          <w:rtl w:val="0"/>
        </w:rPr>
        <w:t xml:space="preserve">Wooden Female Figurine.</w:t>
      </w:r>
    </w:p>
    <w:p w:rsidR="00000000" w:rsidDel="00000000" w:rsidP="00000000" w:rsidRDefault="00000000" w:rsidRPr="00000000" w14:paraId="00000005">
      <w:pPr>
        <w:rPr>
          <w:b w:val="1"/>
        </w:rPr>
      </w:pPr>
      <w:r w:rsidDel="00000000" w:rsidR="00000000" w:rsidRPr="00000000">
        <w:rPr>
          <w:rtl w:val="0"/>
        </w:rPr>
      </w:r>
    </w:p>
    <w:p w:rsidR="00000000" w:rsidDel="00000000" w:rsidP="00000000" w:rsidRDefault="00000000" w:rsidRPr="00000000" w14:paraId="00000006">
      <w:pPr>
        <w:rPr>
          <w:b w:val="1"/>
        </w:rPr>
      </w:pPr>
      <w:r w:rsidDel="00000000" w:rsidR="00000000" w:rsidRPr="00000000">
        <w:rPr>
          <w:b w:val="1"/>
          <w:rtl w:val="0"/>
        </w:rPr>
        <w:t xml:space="preserve">Cyfarthfa Castle, Merthyr Tydfil CMM 1695.004.</w:t>
      </w:r>
    </w:p>
    <w:p w:rsidR="00000000" w:rsidDel="00000000" w:rsidP="00000000" w:rsidRDefault="00000000" w:rsidRPr="00000000" w14:paraId="00000007">
      <w:pPr>
        <w:rPr>
          <w:b w:val="1"/>
        </w:rPr>
      </w:pPr>
      <w:r w:rsidDel="00000000" w:rsidR="00000000" w:rsidRPr="00000000">
        <w:rPr>
          <w:rtl w:val="0"/>
        </w:rPr>
      </w:r>
    </w:p>
    <w:p w:rsidR="00000000" w:rsidDel="00000000" w:rsidP="00000000" w:rsidRDefault="00000000" w:rsidRPr="00000000" w14:paraId="00000008">
      <w:pPr>
        <w:rPr/>
      </w:pPr>
      <w:r w:rsidDel="00000000" w:rsidR="00000000" w:rsidRPr="00000000">
        <w:rPr>
          <w:b w:val="1"/>
          <w:rtl w:val="0"/>
        </w:rPr>
        <w:t xml:space="preserve">Object Type: </w:t>
      </w:r>
      <w:r w:rsidDel="00000000" w:rsidR="00000000" w:rsidRPr="00000000">
        <w:rPr>
          <w:rtl w:val="0"/>
        </w:rPr>
        <w:t xml:space="preserve">Figurine, doll, funerary object.</w:t>
      </w:r>
    </w:p>
    <w:p w:rsidR="00000000" w:rsidDel="00000000" w:rsidP="00000000" w:rsidRDefault="00000000" w:rsidRPr="00000000" w14:paraId="00000009">
      <w:pPr>
        <w:rPr>
          <w:b w:val="1"/>
        </w:rPr>
      </w:pPr>
      <w:r w:rsidDel="00000000" w:rsidR="00000000" w:rsidRPr="00000000">
        <w:rPr>
          <w:rtl w:val="0"/>
        </w:rPr>
      </w:r>
    </w:p>
    <w:p w:rsidR="00000000" w:rsidDel="00000000" w:rsidP="00000000" w:rsidRDefault="00000000" w:rsidRPr="00000000" w14:paraId="0000000A">
      <w:pPr>
        <w:rPr/>
      </w:pPr>
      <w:r w:rsidDel="00000000" w:rsidR="00000000" w:rsidRPr="00000000">
        <w:rPr>
          <w:b w:val="1"/>
          <w:rtl w:val="0"/>
        </w:rPr>
        <w:t xml:space="preserve">Material: </w:t>
      </w:r>
      <w:r w:rsidDel="00000000" w:rsidR="00000000" w:rsidRPr="00000000">
        <w:rPr>
          <w:rtl w:val="0"/>
        </w:rPr>
        <w:t xml:space="preserve">Wood.</w:t>
      </w:r>
    </w:p>
    <w:p w:rsidR="00000000" w:rsidDel="00000000" w:rsidP="00000000" w:rsidRDefault="00000000" w:rsidRPr="00000000" w14:paraId="0000000B">
      <w:pPr>
        <w:rPr>
          <w:b w:val="1"/>
        </w:rPr>
      </w:pPr>
      <w:r w:rsidDel="00000000" w:rsidR="00000000" w:rsidRPr="00000000">
        <w:rPr>
          <w:rtl w:val="0"/>
        </w:rPr>
      </w:r>
    </w:p>
    <w:p w:rsidR="00000000" w:rsidDel="00000000" w:rsidP="00000000" w:rsidRDefault="00000000" w:rsidRPr="00000000" w14:paraId="0000000C">
      <w:pPr>
        <w:rPr/>
      </w:pPr>
      <w:r w:rsidDel="00000000" w:rsidR="00000000" w:rsidRPr="00000000">
        <w:rPr>
          <w:b w:val="1"/>
          <w:rtl w:val="0"/>
        </w:rPr>
        <w:t xml:space="preserve">Period: </w:t>
      </w:r>
      <w:r w:rsidDel="00000000" w:rsidR="00000000" w:rsidRPr="00000000">
        <w:rPr>
          <w:rtl w:val="0"/>
        </w:rPr>
        <w:t xml:space="preserve">Middle Kingdom.</w:t>
      </w:r>
    </w:p>
    <w:p w:rsidR="00000000" w:rsidDel="00000000" w:rsidP="00000000" w:rsidRDefault="00000000" w:rsidRPr="00000000" w14:paraId="0000000D">
      <w:pPr>
        <w:rPr>
          <w:b w:val="1"/>
        </w:rPr>
      </w:pPr>
      <w:r w:rsidDel="00000000" w:rsidR="00000000" w:rsidRPr="00000000">
        <w:rPr>
          <w:rtl w:val="0"/>
        </w:rPr>
      </w:r>
    </w:p>
    <w:p w:rsidR="00000000" w:rsidDel="00000000" w:rsidP="00000000" w:rsidRDefault="00000000" w:rsidRPr="00000000" w14:paraId="0000000E">
      <w:pPr>
        <w:rPr/>
      </w:pPr>
      <w:r w:rsidDel="00000000" w:rsidR="00000000" w:rsidRPr="00000000">
        <w:rPr>
          <w:b w:val="1"/>
          <w:rtl w:val="0"/>
        </w:rPr>
        <w:t xml:space="preserve">Provenance: </w:t>
      </w:r>
      <w:r w:rsidDel="00000000" w:rsidR="00000000" w:rsidRPr="00000000">
        <w:rPr>
          <w:rtl w:val="0"/>
        </w:rPr>
        <w:t xml:space="preserve">Egypt; potentially Upper and Lower Egypt.</w:t>
      </w:r>
    </w:p>
    <w:p w:rsidR="00000000" w:rsidDel="00000000" w:rsidP="00000000" w:rsidRDefault="00000000" w:rsidRPr="00000000" w14:paraId="0000000F">
      <w:pPr>
        <w:rPr>
          <w:b w:val="1"/>
        </w:rPr>
      </w:pPr>
      <w:r w:rsidDel="00000000" w:rsidR="00000000" w:rsidRPr="00000000">
        <w:rPr>
          <w:rtl w:val="0"/>
        </w:rPr>
      </w:r>
    </w:p>
    <w:p w:rsidR="00000000" w:rsidDel="00000000" w:rsidP="00000000" w:rsidRDefault="00000000" w:rsidRPr="00000000" w14:paraId="00000010">
      <w:pPr>
        <w:rPr/>
      </w:pPr>
      <w:r w:rsidDel="00000000" w:rsidR="00000000" w:rsidRPr="00000000">
        <w:rPr>
          <w:b w:val="1"/>
          <w:rtl w:val="0"/>
        </w:rPr>
        <w:t xml:space="preserve">Dimensions: </w:t>
      </w:r>
      <w:r w:rsidDel="00000000" w:rsidR="00000000" w:rsidRPr="00000000">
        <w:rPr>
          <w:rtl w:val="0"/>
        </w:rPr>
        <w:t xml:space="preserve">Approximately:</w:t>
      </w:r>
    </w:p>
    <w:p w:rsidR="00000000" w:rsidDel="00000000" w:rsidP="00000000" w:rsidRDefault="00000000" w:rsidRPr="00000000" w14:paraId="00000011">
      <w:pPr>
        <w:ind w:left="0" w:firstLine="720"/>
        <w:rPr/>
      </w:pPr>
      <w:r w:rsidDel="00000000" w:rsidR="00000000" w:rsidRPr="00000000">
        <w:rPr>
          <w:b w:val="1"/>
          <w:rtl w:val="0"/>
        </w:rPr>
        <w:t xml:space="preserve">Height</w:t>
      </w:r>
      <w:r w:rsidDel="00000000" w:rsidR="00000000" w:rsidRPr="00000000">
        <w:rPr>
          <w:rtl w:val="0"/>
        </w:rPr>
        <w:t xml:space="preserve">; 17cm. </w:t>
      </w:r>
    </w:p>
    <w:p w:rsidR="00000000" w:rsidDel="00000000" w:rsidP="00000000" w:rsidRDefault="00000000" w:rsidRPr="00000000" w14:paraId="00000012">
      <w:pPr>
        <w:ind w:firstLine="720"/>
        <w:rPr/>
      </w:pPr>
      <w:r w:rsidDel="00000000" w:rsidR="00000000" w:rsidRPr="00000000">
        <w:rPr>
          <w:b w:val="1"/>
          <w:rtl w:val="0"/>
        </w:rPr>
        <w:t xml:space="preserve">Width</w:t>
      </w:r>
      <w:r w:rsidDel="00000000" w:rsidR="00000000" w:rsidRPr="00000000">
        <w:rPr>
          <w:rtl w:val="0"/>
        </w:rPr>
        <w:t xml:space="preserve">; Head: 2.5cm.</w:t>
      </w:r>
    </w:p>
    <w:p w:rsidR="00000000" w:rsidDel="00000000" w:rsidP="00000000" w:rsidRDefault="00000000" w:rsidRPr="00000000" w14:paraId="00000013">
      <w:pPr>
        <w:ind w:left="720" w:firstLine="720"/>
        <w:rPr/>
      </w:pPr>
      <w:r w:rsidDel="00000000" w:rsidR="00000000" w:rsidRPr="00000000">
        <w:rPr>
          <w:rtl w:val="0"/>
        </w:rPr>
        <w:t xml:space="preserve">Waist: 2.5cm - 3cm. </w:t>
      </w:r>
    </w:p>
    <w:p w:rsidR="00000000" w:rsidDel="00000000" w:rsidP="00000000" w:rsidRDefault="00000000" w:rsidRPr="00000000" w14:paraId="00000014">
      <w:pPr>
        <w:ind w:left="720" w:firstLine="720"/>
        <w:rPr/>
      </w:pPr>
      <w:r w:rsidDel="00000000" w:rsidR="00000000" w:rsidRPr="00000000">
        <w:rPr>
          <w:rtl w:val="0"/>
        </w:rPr>
        <w:t xml:space="preserve">Hips (at widest point): 4.5cm.</w:t>
      </w:r>
    </w:p>
    <w:p w:rsidR="00000000" w:rsidDel="00000000" w:rsidP="00000000" w:rsidRDefault="00000000" w:rsidRPr="00000000" w14:paraId="00000015">
      <w:pPr>
        <w:ind w:left="720" w:firstLine="720"/>
        <w:rPr/>
      </w:pPr>
      <w:r w:rsidDel="00000000" w:rsidR="00000000" w:rsidRPr="00000000">
        <w:rPr>
          <w:rtl w:val="0"/>
        </w:rPr>
        <w:t xml:space="preserve">Broken Base: 3cm.</w:t>
      </w:r>
    </w:p>
    <w:p w:rsidR="00000000" w:rsidDel="00000000" w:rsidP="00000000" w:rsidRDefault="00000000" w:rsidRPr="00000000" w14:paraId="00000016">
      <w:pPr>
        <w:ind w:left="720" w:firstLine="0"/>
        <w:rPr/>
      </w:pPr>
      <w:r w:rsidDel="00000000" w:rsidR="00000000" w:rsidRPr="00000000">
        <w:rPr>
          <w:b w:val="1"/>
          <w:rtl w:val="0"/>
        </w:rPr>
        <w:t xml:space="preserve">Depth</w:t>
      </w:r>
      <w:r w:rsidDel="00000000" w:rsidR="00000000" w:rsidRPr="00000000">
        <w:rPr>
          <w:rtl w:val="0"/>
        </w:rPr>
        <w:t xml:space="preserve">; Head and hair: 3cm.</w:t>
      </w:r>
    </w:p>
    <w:p w:rsidR="00000000" w:rsidDel="00000000" w:rsidP="00000000" w:rsidRDefault="00000000" w:rsidRPr="00000000" w14:paraId="00000017">
      <w:pPr>
        <w:ind w:left="720" w:firstLine="0"/>
        <w:rPr/>
      </w:pPr>
      <w:r w:rsidDel="00000000" w:rsidR="00000000" w:rsidRPr="00000000">
        <w:rPr>
          <w:rtl w:val="0"/>
        </w:rPr>
        <w:tab/>
        <w:t xml:space="preserve">Waist: 8mm - 1cm.</w:t>
      </w:r>
    </w:p>
    <w:p w:rsidR="00000000" w:rsidDel="00000000" w:rsidP="00000000" w:rsidRDefault="00000000" w:rsidRPr="00000000" w14:paraId="00000018">
      <w:pPr>
        <w:ind w:left="720" w:firstLine="0"/>
        <w:rPr/>
      </w:pPr>
      <w:r w:rsidDel="00000000" w:rsidR="00000000" w:rsidRPr="00000000">
        <w:rPr>
          <w:rtl w:val="0"/>
        </w:rPr>
        <w:tab/>
        <w:t xml:space="preserve">Hips: 2.5cm.</w:t>
      </w:r>
    </w:p>
    <w:p w:rsidR="00000000" w:rsidDel="00000000" w:rsidP="00000000" w:rsidRDefault="00000000" w:rsidRPr="00000000" w14:paraId="00000019">
      <w:pPr>
        <w:ind w:left="720" w:firstLine="0"/>
        <w:rPr/>
      </w:pPr>
      <w:r w:rsidDel="00000000" w:rsidR="00000000" w:rsidRPr="00000000">
        <w:rPr>
          <w:rtl w:val="0"/>
        </w:rPr>
        <w:tab/>
        <w:t xml:space="preserve">Broken Base: 2cm.</w:t>
      </w:r>
    </w:p>
    <w:p w:rsidR="00000000" w:rsidDel="00000000" w:rsidP="00000000" w:rsidRDefault="00000000" w:rsidRPr="00000000" w14:paraId="0000001A">
      <w:pPr>
        <w:ind w:left="0" w:firstLine="0"/>
        <w:rPr/>
      </w:pPr>
      <w:r w:rsidDel="00000000" w:rsidR="00000000" w:rsidRPr="00000000">
        <w:rPr>
          <w:rtl w:val="0"/>
        </w:rPr>
      </w:r>
    </w:p>
    <w:p w:rsidR="00000000" w:rsidDel="00000000" w:rsidP="00000000" w:rsidRDefault="00000000" w:rsidRPr="00000000" w14:paraId="0000001B">
      <w:pPr>
        <w:ind w:left="0" w:firstLine="0"/>
        <w:rPr>
          <w:b w:val="1"/>
        </w:rPr>
      </w:pPr>
      <w:r w:rsidDel="00000000" w:rsidR="00000000" w:rsidRPr="00000000">
        <w:rPr>
          <w:rtl w:val="0"/>
        </w:rPr>
        <w:t xml:space="preserve">Object Analysis by</w:t>
      </w:r>
      <w:r w:rsidDel="00000000" w:rsidR="00000000" w:rsidRPr="00000000">
        <w:rPr>
          <w:b w:val="1"/>
          <w:rtl w:val="0"/>
        </w:rPr>
        <w:t xml:space="preserve"> Jade Welsenaer.</w:t>
      </w:r>
    </w:p>
    <w:p w:rsidR="00000000" w:rsidDel="00000000" w:rsidP="00000000" w:rsidRDefault="00000000" w:rsidRPr="00000000" w14:paraId="0000001C">
      <w:pPr>
        <w:rPr>
          <w:b w:val="1"/>
        </w:rPr>
      </w:pPr>
      <w:r w:rsidDel="00000000" w:rsidR="00000000" w:rsidRPr="00000000">
        <w:rPr>
          <w:rtl w:val="0"/>
        </w:rPr>
      </w:r>
    </w:p>
    <w:p w:rsidR="00000000" w:rsidDel="00000000" w:rsidP="00000000" w:rsidRDefault="00000000" w:rsidRPr="00000000" w14:paraId="0000001D">
      <w:pPr>
        <w:rPr>
          <w:b w:val="1"/>
        </w:rPr>
      </w:pPr>
      <w:r w:rsidDel="00000000" w:rsidR="00000000" w:rsidRPr="00000000">
        <w:rPr>
          <w:rtl w:val="0"/>
        </w:rPr>
      </w:r>
    </w:p>
    <w:p w:rsidR="00000000" w:rsidDel="00000000" w:rsidP="00000000" w:rsidRDefault="00000000" w:rsidRPr="00000000" w14:paraId="0000001E">
      <w:pPr>
        <w:rPr>
          <w:b w:val="1"/>
          <w:u w:val="single"/>
        </w:rPr>
      </w:pPr>
      <w:r w:rsidDel="00000000" w:rsidR="00000000" w:rsidRPr="00000000">
        <w:rPr>
          <w:b w:val="1"/>
          <w:u w:val="single"/>
          <w:rtl w:val="0"/>
        </w:rPr>
        <w:t xml:space="preserve">Description.</w:t>
      </w:r>
    </w:p>
    <w:p w:rsidR="00000000" w:rsidDel="00000000" w:rsidP="00000000" w:rsidRDefault="00000000" w:rsidRPr="00000000" w14:paraId="0000001F">
      <w:pPr>
        <w:rPr>
          <w:b w:val="1"/>
          <w:u w:val="single"/>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t xml:space="preserve">Object 1695.004 from the Cyfarthfa Castle Museum is a wooden figurine shaped to depict a female body. The current standing height of this object, due to its broken base, is approximately 17cm tall with a general depth of around 2.5cm - 3cm. The figurine itself has a large crack running through the middle of the wood as well as a broken base. This damage may have been caused by a number of factors. For example, in some cases, archaeologists have suggested that broken figurines such as these were intentionally broken in some way.</w:t>
      </w:r>
      <w:r w:rsidDel="00000000" w:rsidR="00000000" w:rsidRPr="00000000">
        <w:rPr>
          <w:vertAlign w:val="superscript"/>
        </w:rPr>
        <w:footnoteReference w:customMarkFollows="0" w:id="0"/>
      </w:r>
      <w:r w:rsidDel="00000000" w:rsidR="00000000" w:rsidRPr="00000000">
        <w:rPr>
          <w:rtl w:val="0"/>
        </w:rPr>
        <w:t xml:space="preserve"> However, this is only thought of in some cases. The breakage of similar figures may have also been caused by looting of tombs, both in antiquity and modern excavations</w:t>
      </w:r>
      <w:r w:rsidDel="00000000" w:rsidR="00000000" w:rsidRPr="00000000">
        <w:rPr>
          <w:vertAlign w:val="superscript"/>
        </w:rPr>
        <w:footnoteReference w:customMarkFollows="0" w:id="1"/>
      </w:r>
      <w:r w:rsidDel="00000000" w:rsidR="00000000" w:rsidRPr="00000000">
        <w:rPr>
          <w:rtl w:val="0"/>
        </w:rPr>
        <w:t xml:space="preserve">, as well as the suggested idea that these figurines may have been used as toys for children, therefore rough use and handling of these figurines would have caused damage.</w:t>
      </w:r>
      <w:r w:rsidDel="00000000" w:rsidR="00000000" w:rsidRPr="00000000">
        <w:rPr>
          <w:vertAlign w:val="superscript"/>
        </w:rPr>
        <w:footnoteReference w:customMarkFollows="0" w:id="2"/>
      </w:r>
      <w:r w:rsidDel="00000000" w:rsidR="00000000" w:rsidRPr="00000000">
        <w:rPr>
          <w:rtl w:val="0"/>
        </w:rPr>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t xml:space="preserve">The most prominent aspect of this figurine is how it has been carved to take the shape of the female body. There have been many theories put forward to the significance of using a female model for figurines such as object 1695.004. One of these theories is that they would have been used in order to depict the female deities in ancient Egyptian culture.</w:t>
      </w:r>
      <w:r w:rsidDel="00000000" w:rsidR="00000000" w:rsidRPr="00000000">
        <w:rPr>
          <w:vertAlign w:val="superscript"/>
        </w:rPr>
        <w:footnoteReference w:customMarkFollows="0" w:id="3"/>
      </w:r>
      <w:r w:rsidDel="00000000" w:rsidR="00000000" w:rsidRPr="00000000">
        <w:rPr>
          <w:rtl w:val="0"/>
        </w:rPr>
        <w:t xml:space="preserve"> The reasoning behind this theory is due to the ‘Mother Goddess’ theory.</w:t>
      </w:r>
      <w:r w:rsidDel="00000000" w:rsidR="00000000" w:rsidRPr="00000000">
        <w:rPr>
          <w:vertAlign w:val="superscript"/>
        </w:rPr>
        <w:footnoteReference w:customMarkFollows="0" w:id="4"/>
      </w:r>
      <w:r w:rsidDel="00000000" w:rsidR="00000000" w:rsidRPr="00000000">
        <w:rPr>
          <w:rtl w:val="0"/>
        </w:rPr>
        <w:t xml:space="preserve"> In many ancient cultures, it can be seen that there was an appreciation and devotion given towards a ‘Mother Goddess’ which we can usually see depicted using artk, such as female figurines.</w:t>
      </w:r>
      <w:r w:rsidDel="00000000" w:rsidR="00000000" w:rsidRPr="00000000">
        <w:rPr>
          <w:vertAlign w:val="superscript"/>
        </w:rPr>
        <w:footnoteReference w:customMarkFollows="0" w:id="5"/>
      </w:r>
      <w:r w:rsidDel="00000000" w:rsidR="00000000" w:rsidRPr="00000000">
        <w:rPr>
          <w:rtl w:val="0"/>
        </w:rPr>
        <w:t xml:space="preserve"> This depiction can be seen in many cultures, such as the ancient Egyptians, Creten and Aegean.</w:t>
      </w:r>
      <w:r w:rsidDel="00000000" w:rsidR="00000000" w:rsidRPr="00000000">
        <w:rPr>
          <w:vertAlign w:val="superscript"/>
        </w:rPr>
        <w:footnoteReference w:customMarkFollows="0" w:id="6"/>
      </w:r>
      <w:r w:rsidDel="00000000" w:rsidR="00000000" w:rsidRPr="00000000">
        <w:rPr>
          <w:rtl w:val="0"/>
        </w:rPr>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t xml:space="preserve">However, despite the widespread worship of this singular female deity throughout many ancient cultures</w:t>
      </w:r>
      <w:r w:rsidDel="00000000" w:rsidR="00000000" w:rsidRPr="00000000">
        <w:rPr>
          <w:vertAlign w:val="superscript"/>
        </w:rPr>
        <w:footnoteReference w:customMarkFollows="0" w:id="7"/>
      </w:r>
      <w:r w:rsidDel="00000000" w:rsidR="00000000" w:rsidRPr="00000000">
        <w:rPr>
          <w:rtl w:val="0"/>
        </w:rPr>
        <w:t xml:space="preserve">, we cannot solely base our interpretations as to what this female figurine was used for on this theory. As a whole, there is a lack of evidence to substantially prove that these female figurines were used to represent this supreme female figure.</w:t>
      </w:r>
      <w:r w:rsidDel="00000000" w:rsidR="00000000" w:rsidRPr="00000000">
        <w:rPr>
          <w:vertAlign w:val="superscript"/>
        </w:rPr>
        <w:footnoteReference w:customMarkFollows="0" w:id="8"/>
      </w:r>
      <w:r w:rsidDel="00000000" w:rsidR="00000000" w:rsidRPr="00000000">
        <w:rPr>
          <w:rtl w:val="0"/>
        </w:rPr>
        <w:t xml:space="preserve"> Despite this, many have also put forward the potential link between these figurines and other female deities which the ancient Egyptians worshipped.</w:t>
      </w:r>
      <w:r w:rsidDel="00000000" w:rsidR="00000000" w:rsidRPr="00000000">
        <w:rPr>
          <w:vertAlign w:val="superscript"/>
        </w:rPr>
        <w:footnoteReference w:customMarkFollows="0" w:id="9"/>
      </w:r>
      <w:r w:rsidDel="00000000" w:rsidR="00000000" w:rsidRPr="00000000">
        <w:rPr>
          <w:rtl w:val="0"/>
        </w:rPr>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t xml:space="preserve">Besides this ‘mother Goddess’ figure, many have tried to link these figurines to deities such as Hathor</w:t>
      </w:r>
      <w:r w:rsidDel="00000000" w:rsidR="00000000" w:rsidRPr="00000000">
        <w:rPr>
          <w:vertAlign w:val="superscript"/>
        </w:rPr>
        <w:footnoteReference w:customMarkFollows="0" w:id="10"/>
      </w:r>
      <w:r w:rsidDel="00000000" w:rsidR="00000000" w:rsidRPr="00000000">
        <w:rPr>
          <w:rtl w:val="0"/>
        </w:rPr>
        <w:t xml:space="preserve">, Mut</w:t>
      </w:r>
      <w:r w:rsidDel="00000000" w:rsidR="00000000" w:rsidRPr="00000000">
        <w:rPr>
          <w:vertAlign w:val="superscript"/>
        </w:rPr>
        <w:footnoteReference w:customMarkFollows="0" w:id="11"/>
      </w:r>
      <w:r w:rsidDel="00000000" w:rsidR="00000000" w:rsidRPr="00000000">
        <w:rPr>
          <w:rtl w:val="0"/>
        </w:rPr>
        <w:t xml:space="preserve"> and Isis.</w:t>
      </w:r>
      <w:r w:rsidDel="00000000" w:rsidR="00000000" w:rsidRPr="00000000">
        <w:rPr>
          <w:vertAlign w:val="superscript"/>
        </w:rPr>
        <w:footnoteReference w:customMarkFollows="0" w:id="12"/>
      </w:r>
      <w:r w:rsidDel="00000000" w:rsidR="00000000" w:rsidRPr="00000000">
        <w:rPr>
          <w:rtl w:val="0"/>
        </w:rPr>
        <w:t xml:space="preserve"> Looking at Hathor, we can understand why many have come to theories that these figurines are, in a sense, linked to the Goddess. In order to understand this theory, we must understand Hathor as the Goddess of fertility, women</w:t>
      </w:r>
      <w:r w:rsidDel="00000000" w:rsidR="00000000" w:rsidRPr="00000000">
        <w:rPr>
          <w:vertAlign w:val="superscript"/>
        </w:rPr>
        <w:footnoteReference w:customMarkFollows="0" w:id="13"/>
      </w:r>
      <w:r w:rsidDel="00000000" w:rsidR="00000000" w:rsidRPr="00000000">
        <w:rPr>
          <w:rtl w:val="0"/>
        </w:rPr>
        <w:t xml:space="preserve"> and often the protector of women in childbirth.</w:t>
      </w:r>
      <w:r w:rsidDel="00000000" w:rsidR="00000000" w:rsidRPr="00000000">
        <w:rPr>
          <w:vertAlign w:val="superscript"/>
        </w:rPr>
        <w:footnoteReference w:customMarkFollows="0" w:id="14"/>
      </w:r>
      <w:r w:rsidDel="00000000" w:rsidR="00000000" w:rsidRPr="00000000">
        <w:rPr>
          <w:rtl w:val="0"/>
        </w:rPr>
        <w:t xml:space="preserve"> </w:t>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t xml:space="preserve">Due to Hathor being the Goddess of Fertility and protector of women in childbirth, it has been suggested that these Female figurines are, in many ways, fertility figurines.</w:t>
      </w:r>
      <w:r w:rsidDel="00000000" w:rsidR="00000000" w:rsidRPr="00000000">
        <w:rPr>
          <w:vertAlign w:val="superscript"/>
        </w:rPr>
        <w:footnoteReference w:customMarkFollows="0" w:id="15"/>
      </w:r>
      <w:r w:rsidDel="00000000" w:rsidR="00000000" w:rsidRPr="00000000">
        <w:rPr>
          <w:rtl w:val="0"/>
        </w:rPr>
        <w:t xml:space="preserve"> According to Pinch, for many female figurines which have been discovered, there were also offerings to Hathor amongst them.</w:t>
      </w:r>
      <w:r w:rsidDel="00000000" w:rsidR="00000000" w:rsidRPr="00000000">
        <w:rPr>
          <w:vertAlign w:val="superscript"/>
        </w:rPr>
        <w:footnoteReference w:customMarkFollows="0" w:id="16"/>
      </w:r>
      <w:r w:rsidDel="00000000" w:rsidR="00000000" w:rsidRPr="00000000">
        <w:rPr>
          <w:rtl w:val="0"/>
        </w:rPr>
        <w:t xml:space="preserve"> Her connection to women as a whole is one way in which we can attempt to connect to her these figurines. Like many Egyprian deities, Hathor also had cult followers who were primarily female.</w:t>
      </w:r>
      <w:r w:rsidDel="00000000" w:rsidR="00000000" w:rsidRPr="00000000">
        <w:rPr>
          <w:vertAlign w:val="superscript"/>
        </w:rPr>
        <w:footnoteReference w:customMarkFollows="0" w:id="17"/>
      </w:r>
      <w:r w:rsidDel="00000000" w:rsidR="00000000" w:rsidRPr="00000000">
        <w:rPr>
          <w:rtl w:val="0"/>
        </w:rPr>
        <w:t xml:space="preserve"> This once again shows us the potential link between the usage of female figurines and their connections to this female deity.</w:t>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t xml:space="preserve">These figurines may have been used in the context of fertility, as well as an almost physical way in which women could connect to Hathor, as well as Isis, during their time of need, especially with looking for help, guidance and reassurance when in childbirth.</w:t>
      </w:r>
      <w:r w:rsidDel="00000000" w:rsidR="00000000" w:rsidRPr="00000000">
        <w:rPr>
          <w:vertAlign w:val="superscript"/>
        </w:rPr>
        <w:footnoteReference w:customMarkFollows="0" w:id="18"/>
      </w:r>
      <w:r w:rsidDel="00000000" w:rsidR="00000000" w:rsidRPr="00000000">
        <w:rPr>
          <w:rtl w:val="0"/>
        </w:rPr>
        <w:t xml:space="preserve"> Although Pinch argues that these figurines could hold a possible link to fertility, which may also then link to Hathor, there is no archeological evidence to prove that these statues are inherently connected to the Goddess.</w:t>
      </w:r>
      <w:r w:rsidDel="00000000" w:rsidR="00000000" w:rsidRPr="00000000">
        <w:rPr>
          <w:vertAlign w:val="superscript"/>
        </w:rPr>
        <w:footnoteReference w:customMarkFollows="0" w:id="19"/>
      </w:r>
      <w:r w:rsidDel="00000000" w:rsidR="00000000" w:rsidRPr="00000000">
        <w:rPr>
          <w:rtl w:val="0"/>
        </w:rPr>
        <w:t xml:space="preserve"> Pinch mentions that these figures hold no physical representations of Hathor in look and design, despite many scholars coining these female figurines as ‘Hathor Statues’.</w:t>
      </w:r>
      <w:r w:rsidDel="00000000" w:rsidR="00000000" w:rsidRPr="00000000">
        <w:rPr>
          <w:vertAlign w:val="superscript"/>
        </w:rPr>
        <w:footnoteReference w:customMarkFollows="0" w:id="20"/>
      </w:r>
      <w:r w:rsidDel="00000000" w:rsidR="00000000" w:rsidRPr="00000000">
        <w:rPr>
          <w:rtl w:val="0"/>
        </w:rPr>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t xml:space="preserve">These figurines, such as object 1695.004, have also been linked to ancient funerary items in which the ancient Egyptians would use. Due to many being found in tomb sites and cemeteries, it is often believed that these figurines held important roles in the funerary rites and rituals the ancient Egyptians would partake in.</w:t>
      </w:r>
      <w:r w:rsidDel="00000000" w:rsidR="00000000" w:rsidRPr="00000000">
        <w:rPr>
          <w:vertAlign w:val="superscript"/>
        </w:rPr>
        <w:footnoteReference w:customMarkFollows="0" w:id="21"/>
      </w:r>
      <w:r w:rsidDel="00000000" w:rsidR="00000000" w:rsidRPr="00000000">
        <w:rPr>
          <w:rtl w:val="0"/>
        </w:rPr>
        <w:t xml:space="preserve"> Many figurines which have been found in cemeteries have been linked to the predynastic period in ancient Egyptian history.</w:t>
      </w:r>
      <w:r w:rsidDel="00000000" w:rsidR="00000000" w:rsidRPr="00000000">
        <w:rPr>
          <w:vertAlign w:val="superscript"/>
        </w:rPr>
        <w:footnoteReference w:customMarkFollows="0" w:id="22"/>
      </w:r>
      <w:r w:rsidDel="00000000" w:rsidR="00000000" w:rsidRPr="00000000">
        <w:rPr>
          <w:rtl w:val="0"/>
        </w:rPr>
        <w:t xml:space="preserve"> However, despite this, there have not been many figurines found in temple, tomb and cemetery sites due to a lack of excavation</w:t>
      </w:r>
      <w:r w:rsidDel="00000000" w:rsidR="00000000" w:rsidRPr="00000000">
        <w:rPr>
          <w:vertAlign w:val="superscript"/>
        </w:rPr>
        <w:footnoteReference w:customMarkFollows="0" w:id="23"/>
      </w:r>
      <w:r w:rsidDel="00000000" w:rsidR="00000000" w:rsidRPr="00000000">
        <w:rPr>
          <w:rtl w:val="0"/>
        </w:rPr>
        <w:t xml:space="preserve"> and the destruction of many artefacts due to looting.</w:t>
      </w:r>
      <w:r w:rsidDel="00000000" w:rsidR="00000000" w:rsidRPr="00000000">
        <w:rPr>
          <w:vertAlign w:val="superscript"/>
        </w:rPr>
        <w:footnoteReference w:customMarkFollows="0" w:id="24"/>
      </w:r>
      <w:r w:rsidDel="00000000" w:rsidR="00000000" w:rsidRPr="00000000">
        <w:rPr>
          <w:rtl w:val="0"/>
        </w:rPr>
        <w:t xml:space="preserve"> This obvious destruction, unfortunate breakage and the general lack of surviving evidence, it can be suggested that many of these fragments were ultimately mixed together, therefore causing archeologists to link these figurines to funerary items.</w:t>
      </w:r>
      <w:r w:rsidDel="00000000" w:rsidR="00000000" w:rsidRPr="00000000">
        <w:rPr>
          <w:vertAlign w:val="superscript"/>
        </w:rPr>
        <w:footnoteReference w:customMarkFollows="0" w:id="25"/>
      </w:r>
      <w:r w:rsidDel="00000000" w:rsidR="00000000" w:rsidRPr="00000000">
        <w:rPr>
          <w:rtl w:val="0"/>
        </w:rPr>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rPr/>
      </w:pPr>
      <w:r w:rsidDel="00000000" w:rsidR="00000000" w:rsidRPr="00000000">
        <w:rPr>
          <w:rtl w:val="0"/>
        </w:rPr>
        <w:t xml:space="preserve">To relate these female figurines to funerary rites and rituals, we have to look at the role of women during these funerary celebrations. The role of women in these situations was the act of performance.</w:t>
      </w:r>
      <w:r w:rsidDel="00000000" w:rsidR="00000000" w:rsidRPr="00000000">
        <w:rPr>
          <w:vertAlign w:val="superscript"/>
        </w:rPr>
        <w:footnoteReference w:customMarkFollows="0" w:id="26"/>
      </w:r>
      <w:r w:rsidDel="00000000" w:rsidR="00000000" w:rsidRPr="00000000">
        <w:rPr>
          <w:rtl w:val="0"/>
        </w:rPr>
        <w:t xml:space="preserve"> Funerals in ancient Egypt allowed women to perform and express their mourning in performative ways, such as Laments.</w:t>
      </w:r>
      <w:r w:rsidDel="00000000" w:rsidR="00000000" w:rsidRPr="00000000">
        <w:rPr>
          <w:vertAlign w:val="superscript"/>
        </w:rPr>
        <w:footnoteReference w:customMarkFollows="0" w:id="27"/>
      </w:r>
      <w:r w:rsidDel="00000000" w:rsidR="00000000" w:rsidRPr="00000000">
        <w:rPr>
          <w:rtl w:val="0"/>
        </w:rPr>
        <w:t xml:space="preserve"> Laments were an important aspect of funerals for the ancient Egyptians as it was seen as essential to the afterlife, especially the deceased who would be entering it.</w:t>
      </w:r>
      <w:r w:rsidDel="00000000" w:rsidR="00000000" w:rsidRPr="00000000">
        <w:rPr>
          <w:vertAlign w:val="superscript"/>
        </w:rPr>
        <w:footnoteReference w:customMarkFollows="0" w:id="28"/>
      </w:r>
      <w:r w:rsidDel="00000000" w:rsidR="00000000" w:rsidRPr="00000000">
        <w:rPr>
          <w:rtl w:val="0"/>
        </w:rPr>
        <w:t xml:space="preserve"> </w:t>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rPr/>
      </w:pPr>
      <w:r w:rsidDel="00000000" w:rsidR="00000000" w:rsidRPr="00000000">
        <w:rPr>
          <w:rtl w:val="0"/>
        </w:rPr>
        <w:t xml:space="preserve">Tomb decoration was also mainly orientated towards the husband, with very few depictions showing women.</w:t>
      </w:r>
      <w:r w:rsidDel="00000000" w:rsidR="00000000" w:rsidRPr="00000000">
        <w:rPr>
          <w:vertAlign w:val="superscript"/>
        </w:rPr>
        <w:footnoteReference w:customMarkFollows="0" w:id="29"/>
      </w:r>
      <w:r w:rsidDel="00000000" w:rsidR="00000000" w:rsidRPr="00000000">
        <w:rPr>
          <w:rtl w:val="0"/>
        </w:rPr>
        <w:t xml:space="preserve"> This also connects these female figurines to funerary objects as they may have been ‘wife statues’ or ‘concubines’ for the deceased male.</w:t>
      </w:r>
      <w:r w:rsidDel="00000000" w:rsidR="00000000" w:rsidRPr="00000000">
        <w:rPr>
          <w:vertAlign w:val="superscript"/>
        </w:rPr>
        <w:footnoteReference w:customMarkFollows="0" w:id="30"/>
      </w:r>
      <w:r w:rsidDel="00000000" w:rsidR="00000000" w:rsidRPr="00000000">
        <w:rPr>
          <w:rtl w:val="0"/>
        </w:rPr>
        <w:t xml:space="preserve"> These ‘concubine’ figurines would ultimately act as a sexual partner for the deceased male in the afterlife.</w:t>
      </w:r>
      <w:r w:rsidDel="00000000" w:rsidR="00000000" w:rsidRPr="00000000">
        <w:rPr>
          <w:vertAlign w:val="superscript"/>
        </w:rPr>
        <w:footnoteReference w:customMarkFollows="0" w:id="31"/>
      </w:r>
      <w:r w:rsidDel="00000000" w:rsidR="00000000" w:rsidRPr="00000000">
        <w:rPr>
          <w:rtl w:val="0"/>
        </w:rPr>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rPr/>
      </w:pPr>
      <w:r w:rsidDel="00000000" w:rsidR="00000000" w:rsidRPr="00000000">
        <w:rPr>
          <w:rtl w:val="0"/>
        </w:rPr>
      </w:r>
    </w:p>
    <w:p w:rsidR="00000000" w:rsidDel="00000000" w:rsidP="00000000" w:rsidRDefault="00000000" w:rsidRPr="00000000" w14:paraId="00000034">
      <w:pPr>
        <w:rPr/>
      </w:pPr>
      <w:r w:rsidDel="00000000" w:rsidR="00000000" w:rsidRPr="00000000">
        <w:rPr>
          <w:rtl w:val="0"/>
        </w:rPr>
      </w:r>
    </w:p>
    <w:p w:rsidR="00000000" w:rsidDel="00000000" w:rsidP="00000000" w:rsidRDefault="00000000" w:rsidRPr="00000000" w14:paraId="00000035">
      <w:pPr>
        <w:rPr/>
      </w:pPr>
      <w:r w:rsidDel="00000000" w:rsidR="00000000" w:rsidRPr="00000000">
        <w:rPr>
          <w:rtl w:val="0"/>
        </w:rPr>
      </w:r>
    </w:p>
    <w:p w:rsidR="00000000" w:rsidDel="00000000" w:rsidP="00000000" w:rsidRDefault="00000000" w:rsidRPr="00000000" w14:paraId="00000036">
      <w:pPr>
        <w:rPr/>
      </w:pPr>
      <w:r w:rsidDel="00000000" w:rsidR="00000000" w:rsidRPr="00000000">
        <w:rPr>
          <w:rtl w:val="0"/>
        </w:rPr>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rPr/>
      </w:pPr>
      <w:r w:rsidDel="00000000" w:rsidR="00000000" w:rsidRPr="00000000">
        <w:rPr>
          <w:rtl w:val="0"/>
        </w:rPr>
      </w:r>
    </w:p>
    <w:p w:rsidR="00000000" w:rsidDel="00000000" w:rsidP="00000000" w:rsidRDefault="00000000" w:rsidRPr="00000000" w14:paraId="00000039">
      <w:pPr>
        <w:rPr/>
      </w:pPr>
      <w:r w:rsidDel="00000000" w:rsidR="00000000" w:rsidRPr="00000000">
        <w:rPr>
          <w:rtl w:val="0"/>
        </w:rPr>
      </w:r>
    </w:p>
    <w:p w:rsidR="00000000" w:rsidDel="00000000" w:rsidP="00000000" w:rsidRDefault="00000000" w:rsidRPr="00000000" w14:paraId="0000003A">
      <w:pPr>
        <w:rPr/>
      </w:pPr>
      <w:r w:rsidDel="00000000" w:rsidR="00000000" w:rsidRPr="00000000">
        <w:rPr>
          <w:rtl w:val="0"/>
        </w:rPr>
      </w:r>
    </w:p>
    <w:p w:rsidR="00000000" w:rsidDel="00000000" w:rsidP="00000000" w:rsidRDefault="00000000" w:rsidRPr="00000000" w14:paraId="0000003B">
      <w:pPr>
        <w:rPr/>
      </w:pPr>
      <w:r w:rsidDel="00000000" w:rsidR="00000000" w:rsidRPr="00000000">
        <w:rPr>
          <w:rtl w:val="0"/>
        </w:rPr>
      </w:r>
    </w:p>
    <w:p w:rsidR="00000000" w:rsidDel="00000000" w:rsidP="00000000" w:rsidRDefault="00000000" w:rsidRPr="00000000" w14:paraId="0000003C">
      <w:pPr>
        <w:rPr/>
      </w:pPr>
      <w:r w:rsidDel="00000000" w:rsidR="00000000" w:rsidRPr="00000000">
        <w:rPr>
          <w:rtl w:val="0"/>
        </w:rPr>
      </w:r>
    </w:p>
    <w:p w:rsidR="00000000" w:rsidDel="00000000" w:rsidP="00000000" w:rsidRDefault="00000000" w:rsidRPr="00000000" w14:paraId="0000003D">
      <w:pPr>
        <w:rPr/>
      </w:pPr>
      <w:r w:rsidDel="00000000" w:rsidR="00000000" w:rsidRPr="00000000">
        <w:rPr>
          <w:rtl w:val="0"/>
        </w:rPr>
      </w:r>
    </w:p>
    <w:p w:rsidR="00000000" w:rsidDel="00000000" w:rsidP="00000000" w:rsidRDefault="00000000" w:rsidRPr="00000000" w14:paraId="0000003E">
      <w:pPr>
        <w:rPr/>
      </w:pPr>
      <w:r w:rsidDel="00000000" w:rsidR="00000000" w:rsidRPr="00000000">
        <w:rPr>
          <w:rtl w:val="0"/>
        </w:rPr>
      </w:r>
    </w:p>
    <w:p w:rsidR="00000000" w:rsidDel="00000000" w:rsidP="00000000" w:rsidRDefault="00000000" w:rsidRPr="00000000" w14:paraId="0000003F">
      <w:pPr>
        <w:rPr/>
      </w:pPr>
      <w:r w:rsidDel="00000000" w:rsidR="00000000" w:rsidRPr="00000000">
        <w:rPr>
          <w:rtl w:val="0"/>
        </w:rPr>
      </w:r>
    </w:p>
    <w:p w:rsidR="00000000" w:rsidDel="00000000" w:rsidP="00000000" w:rsidRDefault="00000000" w:rsidRPr="00000000" w14:paraId="00000040">
      <w:pPr>
        <w:rPr/>
      </w:pPr>
      <w:r w:rsidDel="00000000" w:rsidR="00000000" w:rsidRPr="00000000">
        <w:rPr>
          <w:rtl w:val="0"/>
        </w:rPr>
      </w:r>
    </w:p>
    <w:p w:rsidR="00000000" w:rsidDel="00000000" w:rsidP="00000000" w:rsidRDefault="00000000" w:rsidRPr="00000000" w14:paraId="00000041">
      <w:pPr>
        <w:rPr/>
      </w:pPr>
      <w:r w:rsidDel="00000000" w:rsidR="00000000" w:rsidRPr="00000000">
        <w:rPr>
          <w:rtl w:val="0"/>
        </w:rPr>
      </w:r>
    </w:p>
    <w:p w:rsidR="00000000" w:rsidDel="00000000" w:rsidP="00000000" w:rsidRDefault="00000000" w:rsidRPr="00000000" w14:paraId="00000042">
      <w:pPr>
        <w:rPr/>
      </w:pPr>
      <w:r w:rsidDel="00000000" w:rsidR="00000000" w:rsidRPr="00000000">
        <w:rPr>
          <w:rtl w:val="0"/>
        </w:rPr>
      </w:r>
    </w:p>
    <w:p w:rsidR="00000000" w:rsidDel="00000000" w:rsidP="00000000" w:rsidRDefault="00000000" w:rsidRPr="00000000" w14:paraId="00000043">
      <w:pPr>
        <w:rPr/>
      </w:pPr>
      <w:r w:rsidDel="00000000" w:rsidR="00000000" w:rsidRPr="00000000">
        <w:rPr>
          <w:rtl w:val="0"/>
        </w:rPr>
      </w:r>
    </w:p>
    <w:p w:rsidR="00000000" w:rsidDel="00000000" w:rsidP="00000000" w:rsidRDefault="00000000" w:rsidRPr="00000000" w14:paraId="00000044">
      <w:pPr>
        <w:rPr/>
      </w:pPr>
      <w:r w:rsidDel="00000000" w:rsidR="00000000" w:rsidRPr="00000000">
        <w:rPr>
          <w:rtl w:val="0"/>
        </w:rPr>
      </w:r>
    </w:p>
    <w:p w:rsidR="00000000" w:rsidDel="00000000" w:rsidP="00000000" w:rsidRDefault="00000000" w:rsidRPr="00000000" w14:paraId="00000045">
      <w:pPr>
        <w:rPr/>
      </w:pPr>
      <w:r w:rsidDel="00000000" w:rsidR="00000000" w:rsidRPr="00000000">
        <w:rPr>
          <w:rtl w:val="0"/>
        </w:rPr>
      </w:r>
    </w:p>
    <w:p w:rsidR="00000000" w:rsidDel="00000000" w:rsidP="00000000" w:rsidRDefault="00000000" w:rsidRPr="00000000" w14:paraId="00000046">
      <w:pPr>
        <w:rPr/>
      </w:pPr>
      <w:r w:rsidDel="00000000" w:rsidR="00000000" w:rsidRPr="00000000">
        <w:rPr>
          <w:rtl w:val="0"/>
        </w:rPr>
      </w:r>
    </w:p>
    <w:p w:rsidR="00000000" w:rsidDel="00000000" w:rsidP="00000000" w:rsidRDefault="00000000" w:rsidRPr="00000000" w14:paraId="00000047">
      <w:pPr>
        <w:rPr/>
      </w:pPr>
      <w:r w:rsidDel="00000000" w:rsidR="00000000" w:rsidRPr="00000000">
        <w:rPr>
          <w:rtl w:val="0"/>
        </w:rPr>
      </w:r>
    </w:p>
    <w:p w:rsidR="00000000" w:rsidDel="00000000" w:rsidP="00000000" w:rsidRDefault="00000000" w:rsidRPr="00000000" w14:paraId="00000048">
      <w:pPr>
        <w:rPr/>
      </w:pPr>
      <w:r w:rsidDel="00000000" w:rsidR="00000000" w:rsidRPr="00000000">
        <w:rPr>
          <w:rtl w:val="0"/>
        </w:rPr>
      </w:r>
    </w:p>
    <w:p w:rsidR="00000000" w:rsidDel="00000000" w:rsidP="00000000" w:rsidRDefault="00000000" w:rsidRPr="00000000" w14:paraId="00000049">
      <w:pPr>
        <w:rPr>
          <w:b w:val="1"/>
          <w:u w:val="single"/>
        </w:rPr>
      </w:pPr>
      <w:r w:rsidDel="00000000" w:rsidR="00000000" w:rsidRPr="00000000">
        <w:rPr>
          <w:b w:val="1"/>
          <w:u w:val="single"/>
          <w:rtl w:val="0"/>
        </w:rPr>
        <w:t xml:space="preserve">Bibliography.</w:t>
      </w:r>
    </w:p>
    <w:p w:rsidR="00000000" w:rsidDel="00000000" w:rsidP="00000000" w:rsidRDefault="00000000" w:rsidRPr="00000000" w14:paraId="0000004A">
      <w:pPr>
        <w:rPr/>
      </w:pPr>
      <w:r w:rsidDel="00000000" w:rsidR="00000000" w:rsidRPr="00000000">
        <w:rPr>
          <w:rtl w:val="0"/>
        </w:rPr>
      </w:r>
    </w:p>
    <w:p w:rsidR="00000000" w:rsidDel="00000000" w:rsidP="00000000" w:rsidRDefault="00000000" w:rsidRPr="00000000" w14:paraId="0000004B">
      <w:pPr>
        <w:rPr/>
      </w:pPr>
      <w:r w:rsidDel="00000000" w:rsidR="00000000" w:rsidRPr="00000000">
        <w:rPr>
          <w:rtl w:val="0"/>
        </w:rPr>
        <w:t xml:space="preserve">Lesure</w:t>
      </w:r>
      <w:r w:rsidDel="00000000" w:rsidR="00000000" w:rsidRPr="00000000">
        <w:rPr>
          <w:rtl w:val="0"/>
        </w:rPr>
        <w:t xml:space="preserve">, R. G. (2002) </w:t>
      </w:r>
      <w:r w:rsidDel="00000000" w:rsidR="00000000" w:rsidRPr="00000000">
        <w:rPr>
          <w:i w:val="1"/>
          <w:rtl w:val="0"/>
        </w:rPr>
        <w:t xml:space="preserve">The Goddess Diffracted: Thinking about the Figurines of Early Villages</w:t>
      </w:r>
      <w:r w:rsidDel="00000000" w:rsidR="00000000" w:rsidRPr="00000000">
        <w:rPr>
          <w:rtl w:val="0"/>
        </w:rPr>
        <w:t xml:space="preserve">.  Current Anthropology. Vol. 43.  No. 4. The University of Chicago Press.</w:t>
      </w:r>
    </w:p>
    <w:p w:rsidR="00000000" w:rsidDel="00000000" w:rsidP="00000000" w:rsidRDefault="00000000" w:rsidRPr="00000000" w14:paraId="0000004C">
      <w:pPr>
        <w:rPr/>
      </w:pPr>
      <w:r w:rsidDel="00000000" w:rsidR="00000000" w:rsidRPr="00000000">
        <w:rPr>
          <w:rtl w:val="0"/>
        </w:rPr>
      </w:r>
    </w:p>
    <w:p w:rsidR="00000000" w:rsidDel="00000000" w:rsidP="00000000" w:rsidRDefault="00000000" w:rsidRPr="00000000" w14:paraId="0000004D">
      <w:pPr>
        <w:rPr/>
      </w:pPr>
      <w:r w:rsidDel="00000000" w:rsidR="00000000" w:rsidRPr="00000000">
        <w:rPr>
          <w:rtl w:val="0"/>
        </w:rPr>
        <w:t xml:space="preserve">Menéndez, G. (2011) </w:t>
      </w:r>
      <w:r w:rsidDel="00000000" w:rsidR="00000000" w:rsidRPr="00000000">
        <w:rPr>
          <w:i w:val="1"/>
          <w:rtl w:val="0"/>
        </w:rPr>
        <w:t xml:space="preserve">Figurines and Statuettes from the Area of TT 11-12 in Dra Abu el-Naga</w:t>
      </w:r>
      <w:r w:rsidDel="00000000" w:rsidR="00000000" w:rsidRPr="00000000">
        <w:rPr>
          <w:rtl w:val="0"/>
        </w:rPr>
        <w:t xml:space="preserve">. Studien zur Altägyptischen Kultur.</w:t>
      </w:r>
    </w:p>
    <w:p w:rsidR="00000000" w:rsidDel="00000000" w:rsidP="00000000" w:rsidRDefault="00000000" w:rsidRPr="00000000" w14:paraId="0000004E">
      <w:pPr>
        <w:rPr/>
      </w:pPr>
      <w:r w:rsidDel="00000000" w:rsidR="00000000" w:rsidRPr="00000000">
        <w:rPr>
          <w:rtl w:val="0"/>
        </w:rPr>
      </w:r>
    </w:p>
    <w:p w:rsidR="00000000" w:rsidDel="00000000" w:rsidP="00000000" w:rsidRDefault="00000000" w:rsidRPr="00000000" w14:paraId="0000004F">
      <w:pPr>
        <w:rPr/>
      </w:pPr>
      <w:r w:rsidDel="00000000" w:rsidR="00000000" w:rsidRPr="00000000">
        <w:rPr>
          <w:rtl w:val="0"/>
        </w:rPr>
        <w:t xml:space="preserve">Pinch, G. (1983) </w:t>
      </w:r>
      <w:r w:rsidDel="00000000" w:rsidR="00000000" w:rsidRPr="00000000">
        <w:rPr>
          <w:i w:val="1"/>
          <w:rtl w:val="0"/>
        </w:rPr>
        <w:t xml:space="preserve">Childbirth and Female Figurines at Deir el-Medina and el-‛Amarna</w:t>
      </w:r>
      <w:r w:rsidDel="00000000" w:rsidR="00000000" w:rsidRPr="00000000">
        <w:rPr>
          <w:rtl w:val="0"/>
        </w:rPr>
        <w:t xml:space="preserve">. Orientalia, NOVA SERIES. Vol. 52. No. 3.</w:t>
      </w:r>
    </w:p>
    <w:p w:rsidR="00000000" w:rsidDel="00000000" w:rsidP="00000000" w:rsidRDefault="00000000" w:rsidRPr="00000000" w14:paraId="00000050">
      <w:pPr>
        <w:rPr/>
      </w:pPr>
      <w:r w:rsidDel="00000000" w:rsidR="00000000" w:rsidRPr="00000000">
        <w:rPr>
          <w:rtl w:val="0"/>
        </w:rPr>
      </w:r>
    </w:p>
    <w:p w:rsidR="00000000" w:rsidDel="00000000" w:rsidP="00000000" w:rsidRDefault="00000000" w:rsidRPr="00000000" w14:paraId="00000051">
      <w:pPr>
        <w:rPr/>
      </w:pPr>
      <w:r w:rsidDel="00000000" w:rsidR="00000000" w:rsidRPr="00000000">
        <w:rPr>
          <w:rtl w:val="0"/>
        </w:rPr>
        <w:t xml:space="preserve">Relke, J. (2011) </w:t>
      </w:r>
      <w:r w:rsidDel="00000000" w:rsidR="00000000" w:rsidRPr="00000000">
        <w:rPr>
          <w:i w:val="1"/>
          <w:rtl w:val="0"/>
        </w:rPr>
        <w:t xml:space="preserve">The Predynastic Dancing Egyptian Figurine</w:t>
      </w:r>
      <w:r w:rsidDel="00000000" w:rsidR="00000000" w:rsidRPr="00000000">
        <w:rPr>
          <w:rtl w:val="0"/>
        </w:rPr>
        <w:t xml:space="preserve">. Journal of Religion in Africa. Vol. 4.</w:t>
      </w:r>
    </w:p>
    <w:p w:rsidR="00000000" w:rsidDel="00000000" w:rsidP="00000000" w:rsidRDefault="00000000" w:rsidRPr="00000000" w14:paraId="00000052">
      <w:pPr>
        <w:rPr/>
      </w:pPr>
      <w:r w:rsidDel="00000000" w:rsidR="00000000" w:rsidRPr="00000000">
        <w:rPr>
          <w:rtl w:val="0"/>
        </w:rPr>
      </w:r>
    </w:p>
    <w:p w:rsidR="00000000" w:rsidDel="00000000" w:rsidP="00000000" w:rsidRDefault="00000000" w:rsidRPr="00000000" w14:paraId="00000053">
      <w:pPr>
        <w:rPr/>
      </w:pPr>
      <w:r w:rsidDel="00000000" w:rsidR="00000000" w:rsidRPr="00000000">
        <w:rPr>
          <w:rtl w:val="0"/>
        </w:rPr>
        <w:t xml:space="preserve">Sweeney, D. (2001) </w:t>
      </w:r>
      <w:r w:rsidDel="00000000" w:rsidR="00000000" w:rsidRPr="00000000">
        <w:rPr>
          <w:i w:val="1"/>
          <w:rtl w:val="0"/>
        </w:rPr>
        <w:t xml:space="preserve">Walking Alone Forever, Following You Gender Mourners’ Laments From Ancient Egypt</w:t>
      </w:r>
      <w:r w:rsidDel="00000000" w:rsidR="00000000" w:rsidRPr="00000000">
        <w:rPr>
          <w:rtl w:val="0"/>
        </w:rPr>
        <w:t xml:space="preserve">. Journal of Gender Studies In Antiquity.</w:t>
      </w:r>
    </w:p>
    <w:p w:rsidR="00000000" w:rsidDel="00000000" w:rsidP="00000000" w:rsidRDefault="00000000" w:rsidRPr="00000000" w14:paraId="00000054">
      <w:pPr>
        <w:rPr/>
      </w:pPr>
      <w:r w:rsidDel="00000000" w:rsidR="00000000" w:rsidRPr="00000000">
        <w:rPr>
          <w:rtl w:val="0"/>
        </w:rPr>
      </w:r>
    </w:p>
    <w:p w:rsidR="00000000" w:rsidDel="00000000" w:rsidP="00000000" w:rsidRDefault="00000000" w:rsidRPr="00000000" w14:paraId="00000055">
      <w:pPr>
        <w:rPr/>
      </w:pPr>
      <w:r w:rsidDel="00000000" w:rsidR="00000000" w:rsidRPr="00000000">
        <w:rPr>
          <w:color w:val="1a1a1a"/>
          <w:highlight w:val="white"/>
          <w:rtl w:val="0"/>
        </w:rPr>
        <w:t xml:space="preserve">The Editors of Encyclopaedia Britannica. (2020) </w:t>
      </w:r>
      <w:r w:rsidDel="00000000" w:rsidR="00000000" w:rsidRPr="00000000">
        <w:rPr>
          <w:i w:val="1"/>
          <w:color w:val="1a1a1a"/>
          <w:highlight w:val="white"/>
          <w:rtl w:val="0"/>
        </w:rPr>
        <w:t xml:space="preserve">Hathor</w:t>
      </w:r>
      <w:r w:rsidDel="00000000" w:rsidR="00000000" w:rsidRPr="00000000">
        <w:rPr>
          <w:color w:val="1a1a1a"/>
          <w:highlight w:val="white"/>
          <w:rtl w:val="0"/>
        </w:rPr>
        <w:t xml:space="preserve">. Encyclopedia Britannica. Available at: https://www.britannica.com/topic/Hathor-Egyptian-goddess. [Accessed 7 February 2021].</w:t>
      </w:r>
      <w:r w:rsidDel="00000000" w:rsidR="00000000" w:rsidRPr="00000000">
        <w:rPr>
          <w:rtl w:val="0"/>
        </w:rPr>
      </w:r>
    </w:p>
    <w:p w:rsidR="00000000" w:rsidDel="00000000" w:rsidP="00000000" w:rsidRDefault="00000000" w:rsidRPr="00000000" w14:paraId="00000056">
      <w:pPr>
        <w:rPr/>
      </w:pPr>
      <w:r w:rsidDel="00000000" w:rsidR="00000000" w:rsidRPr="00000000">
        <w:rPr>
          <w:rtl w:val="0"/>
        </w:rPr>
      </w:r>
    </w:p>
    <w:p w:rsidR="00000000" w:rsidDel="00000000" w:rsidP="00000000" w:rsidRDefault="00000000" w:rsidRPr="00000000" w14:paraId="00000057">
      <w:pPr>
        <w:rPr/>
      </w:pPr>
      <w:r w:rsidDel="00000000" w:rsidR="00000000" w:rsidRPr="00000000">
        <w:rPr>
          <w:rtl w:val="0"/>
        </w:rPr>
        <w:t xml:space="preserve">Waraksa, E. (2008)</w:t>
      </w:r>
      <w:r w:rsidDel="00000000" w:rsidR="00000000" w:rsidRPr="00000000">
        <w:rPr>
          <w:i w:val="1"/>
          <w:rtl w:val="0"/>
        </w:rPr>
        <w:t xml:space="preserve"> Female Figurines (Pharaonic Period)</w:t>
      </w:r>
      <w:r w:rsidDel="00000000" w:rsidR="00000000" w:rsidRPr="00000000">
        <w:rPr>
          <w:rtl w:val="0"/>
        </w:rPr>
        <w:t xml:space="preserve">. UCLA Encyclopaedia of Egyptology.</w:t>
      </w:r>
    </w:p>
    <w:p w:rsidR="00000000" w:rsidDel="00000000" w:rsidP="00000000" w:rsidRDefault="00000000" w:rsidRPr="00000000" w14:paraId="00000058">
      <w:pPr>
        <w:rPr/>
      </w:pPr>
      <w:r w:rsidDel="00000000" w:rsidR="00000000" w:rsidRPr="00000000">
        <w:rPr>
          <w:rtl w:val="0"/>
        </w:rPr>
      </w:r>
    </w:p>
    <w:p w:rsidR="00000000" w:rsidDel="00000000" w:rsidP="00000000" w:rsidRDefault="00000000" w:rsidRPr="00000000" w14:paraId="00000059">
      <w:pPr>
        <w:rPr/>
      </w:pPr>
      <w:r w:rsidDel="00000000" w:rsidR="00000000" w:rsidRPr="00000000">
        <w:rPr>
          <w:rtl w:val="0"/>
        </w:rPr>
        <w:t xml:space="preserve">Ucko, P. J. (1962) </w:t>
      </w:r>
      <w:r w:rsidDel="00000000" w:rsidR="00000000" w:rsidRPr="00000000">
        <w:rPr>
          <w:i w:val="1"/>
          <w:rtl w:val="0"/>
        </w:rPr>
        <w:t xml:space="preserve">The Interpretation of Prehistoric Anthropomorphic Figurines</w:t>
      </w:r>
      <w:r w:rsidDel="00000000" w:rsidR="00000000" w:rsidRPr="00000000">
        <w:rPr>
          <w:rtl w:val="0"/>
        </w:rPr>
        <w:t xml:space="preserve">. The Journal of the Royal Anthropological Institute of Great Britain and Ireland. Vol. 92, No. 1.</w:t>
      </w:r>
    </w:p>
    <w:p w:rsidR="00000000" w:rsidDel="00000000" w:rsidP="00000000" w:rsidRDefault="00000000" w:rsidRPr="00000000" w14:paraId="0000005A">
      <w:pPr>
        <w:rPr/>
      </w:pPr>
      <w:r w:rsidDel="00000000" w:rsidR="00000000" w:rsidRPr="00000000">
        <w:rPr>
          <w:rtl w:val="0"/>
        </w:rPr>
      </w:r>
    </w:p>
    <w:p w:rsidR="00000000" w:rsidDel="00000000" w:rsidP="00000000" w:rsidRDefault="00000000" w:rsidRPr="00000000" w14:paraId="0000005B">
      <w:pPr>
        <w:rPr/>
      </w:pPr>
      <w:r w:rsidDel="00000000" w:rsidR="00000000" w:rsidRPr="00000000">
        <w:rPr>
          <w:rtl w:val="0"/>
        </w:rPr>
      </w:r>
    </w:p>
    <w:p w:rsidR="00000000" w:rsidDel="00000000" w:rsidP="00000000" w:rsidRDefault="00000000" w:rsidRPr="00000000" w14:paraId="0000005C">
      <w:pPr>
        <w:rPr>
          <w:b w:val="1"/>
          <w:u w:val="single"/>
        </w:rPr>
      </w:pPr>
      <w:r w:rsidDel="00000000" w:rsidR="00000000" w:rsidRPr="00000000">
        <w:rPr>
          <w:b w:val="1"/>
          <w:u w:val="single"/>
          <w:rtl w:val="0"/>
        </w:rPr>
        <w:t xml:space="preserve">Images.</w:t>
      </w:r>
    </w:p>
    <w:p w:rsidR="00000000" w:rsidDel="00000000" w:rsidP="00000000" w:rsidRDefault="00000000" w:rsidRPr="00000000" w14:paraId="0000005D">
      <w:pPr>
        <w:rPr>
          <w:b w:val="1"/>
          <w:u w:val="single"/>
        </w:rPr>
      </w:pPr>
      <w:r w:rsidDel="00000000" w:rsidR="00000000" w:rsidRPr="00000000">
        <w:rPr>
          <w:rtl w:val="0"/>
        </w:rPr>
      </w:r>
    </w:p>
    <w:p w:rsidR="00000000" w:rsidDel="00000000" w:rsidP="00000000" w:rsidRDefault="00000000" w:rsidRPr="00000000" w14:paraId="0000005E">
      <w:pPr>
        <w:rPr/>
      </w:pPr>
      <w:r w:rsidDel="00000000" w:rsidR="00000000" w:rsidRPr="00000000">
        <w:rPr>
          <w:rtl w:val="0"/>
        </w:rPr>
        <w:t xml:space="preserve">Figure 1: Smith, R. (2020) Female Figurine (1695.004) [Front view]. Roderic Bowen Library and Archive. Lampeter.</w:t>
      </w:r>
    </w:p>
    <w:p w:rsidR="00000000" w:rsidDel="00000000" w:rsidP="00000000" w:rsidRDefault="00000000" w:rsidRPr="00000000" w14:paraId="0000005F">
      <w:pPr>
        <w:rPr/>
      </w:pPr>
      <w:r w:rsidDel="00000000" w:rsidR="00000000" w:rsidRPr="00000000">
        <w:rPr>
          <w:rtl w:val="0"/>
        </w:rPr>
      </w:r>
    </w:p>
    <w:p w:rsidR="00000000" w:rsidDel="00000000" w:rsidP="00000000" w:rsidRDefault="00000000" w:rsidRPr="00000000" w14:paraId="00000060">
      <w:pPr>
        <w:rPr/>
      </w:pPr>
      <w:r w:rsidDel="00000000" w:rsidR="00000000" w:rsidRPr="00000000">
        <w:rPr>
          <w:rtl w:val="0"/>
        </w:rPr>
        <w:t xml:space="preserve">Figure 2: Smith, R. (2020) Female Figurine (1695.004) [Back view]. Roderic Bowen Library and Archive. Lampeter.</w:t>
      </w:r>
    </w:p>
    <w:p w:rsidR="00000000" w:rsidDel="00000000" w:rsidP="00000000" w:rsidRDefault="00000000" w:rsidRPr="00000000" w14:paraId="00000061">
      <w:pPr>
        <w:rPr/>
      </w:pPr>
      <w:r w:rsidDel="00000000" w:rsidR="00000000" w:rsidRPr="00000000">
        <w:rPr>
          <w:rtl w:val="0"/>
        </w:rPr>
      </w:r>
    </w:p>
    <w:p w:rsidR="00000000" w:rsidDel="00000000" w:rsidP="00000000" w:rsidRDefault="00000000" w:rsidRPr="00000000" w14:paraId="00000062">
      <w:pPr>
        <w:rPr/>
      </w:pPr>
      <w:r w:rsidDel="00000000" w:rsidR="00000000" w:rsidRPr="00000000">
        <w:rPr>
          <w:rtl w:val="0"/>
        </w:rPr>
        <w:t xml:space="preserve">Figure 3: Smith, R. (2020) Female Figurine (1695.004)  [Side view]. Roderic Bowen Library and Archive. Lampeter.</w:t>
      </w: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otnote w:id="0">
    <w:p w:rsidR="00000000" w:rsidDel="00000000" w:rsidP="00000000" w:rsidRDefault="00000000" w:rsidRPr="00000000" w14:paraId="00000063">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20"/>
          <w:szCs w:val="20"/>
          <w:rtl w:val="0"/>
        </w:rPr>
        <w:t xml:space="preserve">Lesure.</w:t>
      </w:r>
      <w:r w:rsidDel="00000000" w:rsidR="00000000" w:rsidRPr="00000000">
        <w:rPr>
          <w:sz w:val="20"/>
          <w:szCs w:val="20"/>
          <w:rtl w:val="0"/>
        </w:rPr>
        <w:t xml:space="preserve"> 2002. p.590.</w:t>
      </w:r>
    </w:p>
  </w:footnote>
  <w:footnote w:id="1">
    <w:p w:rsidR="00000000" w:rsidDel="00000000" w:rsidP="00000000" w:rsidRDefault="00000000" w:rsidRPr="00000000" w14:paraId="00000064">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Menendez. 2011. p.302.</w:t>
      </w:r>
    </w:p>
  </w:footnote>
  <w:footnote w:id="2">
    <w:p w:rsidR="00000000" w:rsidDel="00000000" w:rsidP="00000000" w:rsidRDefault="00000000" w:rsidRPr="00000000" w14:paraId="00000065">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Ucko. 1962. p.45.</w:t>
      </w:r>
    </w:p>
  </w:footnote>
  <w:footnote w:id="3">
    <w:p w:rsidR="00000000" w:rsidDel="00000000" w:rsidP="00000000" w:rsidRDefault="00000000" w:rsidRPr="00000000" w14:paraId="00000066">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20"/>
          <w:szCs w:val="20"/>
          <w:rtl w:val="0"/>
        </w:rPr>
        <w:t xml:space="preserve">Lesure.</w:t>
      </w:r>
      <w:r w:rsidDel="00000000" w:rsidR="00000000" w:rsidRPr="00000000">
        <w:rPr>
          <w:sz w:val="20"/>
          <w:szCs w:val="20"/>
          <w:rtl w:val="0"/>
        </w:rPr>
        <w:t xml:space="preserve"> 2002. p.597.</w:t>
      </w:r>
    </w:p>
  </w:footnote>
  <w:footnote w:id="4">
    <w:p w:rsidR="00000000" w:rsidDel="00000000" w:rsidP="00000000" w:rsidRDefault="00000000" w:rsidRPr="00000000" w14:paraId="00000067">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Ucko. 1962. p.38.</w:t>
      </w:r>
    </w:p>
  </w:footnote>
  <w:footnote w:id="5">
    <w:p w:rsidR="00000000" w:rsidDel="00000000" w:rsidP="00000000" w:rsidRDefault="00000000" w:rsidRPr="00000000" w14:paraId="00000068">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Ucko. 1962. p.43.</w:t>
      </w:r>
    </w:p>
  </w:footnote>
  <w:footnote w:id="6">
    <w:p w:rsidR="00000000" w:rsidDel="00000000" w:rsidP="00000000" w:rsidRDefault="00000000" w:rsidRPr="00000000" w14:paraId="00000069">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Ucko. 1962. p.43.</w:t>
      </w:r>
    </w:p>
  </w:footnote>
  <w:footnote w:id="7">
    <w:p w:rsidR="00000000" w:rsidDel="00000000" w:rsidP="00000000" w:rsidRDefault="00000000" w:rsidRPr="00000000" w14:paraId="0000006A">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Relke. 2011. p.396.</w:t>
      </w:r>
    </w:p>
  </w:footnote>
  <w:footnote w:id="8">
    <w:p w:rsidR="00000000" w:rsidDel="00000000" w:rsidP="00000000" w:rsidRDefault="00000000" w:rsidRPr="00000000" w14:paraId="0000006B">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Relke. 2011. p.397.</w:t>
      </w:r>
    </w:p>
  </w:footnote>
  <w:footnote w:id="9">
    <w:p w:rsidR="00000000" w:rsidDel="00000000" w:rsidP="00000000" w:rsidRDefault="00000000" w:rsidRPr="00000000" w14:paraId="0000006C">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Waraksa. 2008. p.3.</w:t>
      </w:r>
    </w:p>
  </w:footnote>
  <w:footnote w:id="10">
    <w:p w:rsidR="00000000" w:rsidDel="00000000" w:rsidP="00000000" w:rsidRDefault="00000000" w:rsidRPr="00000000" w14:paraId="0000006D">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Waraksa. 2008. p.3.</w:t>
      </w:r>
    </w:p>
  </w:footnote>
  <w:footnote w:id="11">
    <w:p w:rsidR="00000000" w:rsidDel="00000000" w:rsidP="00000000" w:rsidRDefault="00000000" w:rsidRPr="00000000" w14:paraId="0000006E">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Waraksa. 2008. p.3.</w:t>
      </w:r>
    </w:p>
  </w:footnote>
  <w:footnote w:id="12">
    <w:p w:rsidR="00000000" w:rsidDel="00000000" w:rsidP="00000000" w:rsidRDefault="00000000" w:rsidRPr="00000000" w14:paraId="0000006F">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Pinch. 1983. p.413.</w:t>
      </w:r>
    </w:p>
  </w:footnote>
  <w:footnote w:id="13">
    <w:p w:rsidR="00000000" w:rsidDel="00000000" w:rsidP="00000000" w:rsidRDefault="00000000" w:rsidRPr="00000000" w14:paraId="00000070">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Encyclopaedia Britannica. 2020.</w:t>
      </w:r>
    </w:p>
  </w:footnote>
  <w:footnote w:id="14">
    <w:p w:rsidR="00000000" w:rsidDel="00000000" w:rsidP="00000000" w:rsidRDefault="00000000" w:rsidRPr="00000000" w14:paraId="00000071">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Pinch. 1983. p.412.</w:t>
      </w:r>
    </w:p>
  </w:footnote>
  <w:footnote w:id="15">
    <w:p w:rsidR="00000000" w:rsidDel="00000000" w:rsidP="00000000" w:rsidRDefault="00000000" w:rsidRPr="00000000" w14:paraId="00000072">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Pinch. 1983. p.405.</w:t>
      </w:r>
    </w:p>
  </w:footnote>
  <w:footnote w:id="16">
    <w:p w:rsidR="00000000" w:rsidDel="00000000" w:rsidP="00000000" w:rsidRDefault="00000000" w:rsidRPr="00000000" w14:paraId="00000073">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Pinch. 1983. p.412.</w:t>
      </w:r>
    </w:p>
  </w:footnote>
  <w:footnote w:id="17">
    <w:p w:rsidR="00000000" w:rsidDel="00000000" w:rsidP="00000000" w:rsidRDefault="00000000" w:rsidRPr="00000000" w14:paraId="00000074">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Encyclopaedia Britannica. 2020.</w:t>
      </w:r>
    </w:p>
  </w:footnote>
  <w:footnote w:id="18">
    <w:p w:rsidR="00000000" w:rsidDel="00000000" w:rsidP="00000000" w:rsidRDefault="00000000" w:rsidRPr="00000000" w14:paraId="00000075">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Pinch. 1983. p.413.</w:t>
      </w:r>
    </w:p>
  </w:footnote>
  <w:footnote w:id="19">
    <w:p w:rsidR="00000000" w:rsidDel="00000000" w:rsidP="00000000" w:rsidRDefault="00000000" w:rsidRPr="00000000" w14:paraId="00000076">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Pinch. 1983. p.413.</w:t>
      </w:r>
    </w:p>
  </w:footnote>
  <w:footnote w:id="20">
    <w:p w:rsidR="00000000" w:rsidDel="00000000" w:rsidP="00000000" w:rsidRDefault="00000000" w:rsidRPr="00000000" w14:paraId="00000077">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Pinch. 1983. p.412.</w:t>
      </w:r>
    </w:p>
  </w:footnote>
  <w:footnote w:id="21">
    <w:p w:rsidR="00000000" w:rsidDel="00000000" w:rsidP="00000000" w:rsidRDefault="00000000" w:rsidRPr="00000000" w14:paraId="00000078">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Waraksa. 2008. p.2.</w:t>
      </w:r>
    </w:p>
  </w:footnote>
  <w:footnote w:id="22">
    <w:p w:rsidR="00000000" w:rsidDel="00000000" w:rsidP="00000000" w:rsidRDefault="00000000" w:rsidRPr="00000000" w14:paraId="00000079">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Ucko. 1962. p.41.</w:t>
      </w:r>
    </w:p>
  </w:footnote>
  <w:footnote w:id="23">
    <w:p w:rsidR="00000000" w:rsidDel="00000000" w:rsidP="00000000" w:rsidRDefault="00000000" w:rsidRPr="00000000" w14:paraId="0000007A">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Ucko. 1962. p.41.</w:t>
      </w:r>
    </w:p>
  </w:footnote>
  <w:footnote w:id="24">
    <w:p w:rsidR="00000000" w:rsidDel="00000000" w:rsidP="00000000" w:rsidRDefault="00000000" w:rsidRPr="00000000" w14:paraId="0000007B">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Menendez. 2011. p.302.</w:t>
      </w:r>
    </w:p>
  </w:footnote>
  <w:footnote w:id="25">
    <w:p w:rsidR="00000000" w:rsidDel="00000000" w:rsidP="00000000" w:rsidRDefault="00000000" w:rsidRPr="00000000" w14:paraId="0000007C">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Menendez. 2011. p.302.</w:t>
      </w:r>
    </w:p>
  </w:footnote>
  <w:footnote w:id="26">
    <w:p w:rsidR="00000000" w:rsidDel="00000000" w:rsidP="00000000" w:rsidRDefault="00000000" w:rsidRPr="00000000" w14:paraId="0000007D">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Sweeney. 2001. p.27.</w:t>
      </w:r>
    </w:p>
  </w:footnote>
  <w:footnote w:id="27">
    <w:p w:rsidR="00000000" w:rsidDel="00000000" w:rsidP="00000000" w:rsidRDefault="00000000" w:rsidRPr="00000000" w14:paraId="0000007E">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Sweeney. 2001. p.27.</w:t>
      </w:r>
    </w:p>
  </w:footnote>
  <w:footnote w:id="28">
    <w:p w:rsidR="00000000" w:rsidDel="00000000" w:rsidP="00000000" w:rsidRDefault="00000000" w:rsidRPr="00000000" w14:paraId="0000007F">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Sweeney. 2001. p.27.</w:t>
      </w:r>
    </w:p>
  </w:footnote>
  <w:footnote w:id="29">
    <w:p w:rsidR="00000000" w:rsidDel="00000000" w:rsidP="00000000" w:rsidRDefault="00000000" w:rsidRPr="00000000" w14:paraId="00000080">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Sweeney. 2001. p.29.</w:t>
      </w:r>
    </w:p>
  </w:footnote>
  <w:footnote w:id="30">
    <w:p w:rsidR="00000000" w:rsidDel="00000000" w:rsidP="00000000" w:rsidRDefault="00000000" w:rsidRPr="00000000" w14:paraId="00000081">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Waraksa. 2008. p.3.</w:t>
      </w:r>
    </w:p>
  </w:footnote>
  <w:footnote w:id="31">
    <w:p w:rsidR="00000000" w:rsidDel="00000000" w:rsidP="00000000" w:rsidRDefault="00000000" w:rsidRPr="00000000" w14:paraId="00000082">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Waraksa. 2008. p.3.</w:t>
      </w:r>
    </w:p>
  </w:footnote>
</w:footnote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image" Target="media/image2.jpg"/><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image" Target="media/image1.jpg"/><Relationship Id="rId8" Type="http://schemas.openxmlformats.org/officeDocument/2006/relationships/image" Target="media/image3.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