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F6090" w14:textId="1BD760EF" w:rsidR="008100FE" w:rsidRDefault="0068357F" w:rsidP="0016389E">
      <w:pPr>
        <w:pStyle w:val="Heading1"/>
      </w:pPr>
      <w:r w:rsidRPr="00FF626C">
        <w:t>With reference to the historical development of two museums of your choice, explore how public museums became emblems of politically virtuous nation states.</w:t>
      </w:r>
    </w:p>
    <w:p w14:paraId="2F2CFBC2" w14:textId="77777777" w:rsidR="008100FE" w:rsidRPr="008100FE" w:rsidRDefault="008100FE" w:rsidP="008100FE"/>
    <w:p w14:paraId="6F0C46A2" w14:textId="6BC31BFD" w:rsidR="00A829BA" w:rsidRDefault="00A829BA" w:rsidP="00FF626C">
      <w:pPr>
        <w:rPr>
          <w:sz w:val="24"/>
          <w:szCs w:val="24"/>
        </w:rPr>
      </w:pPr>
      <w:r>
        <w:rPr>
          <w:sz w:val="24"/>
          <w:szCs w:val="24"/>
        </w:rPr>
        <w:t>Public museums have long been used in political ways; both the British Museum and the French Louvre owe their e</w:t>
      </w:r>
      <w:r w:rsidR="00ED36F1">
        <w:rPr>
          <w:sz w:val="24"/>
          <w:szCs w:val="24"/>
        </w:rPr>
        <w:t xml:space="preserve">xistence to political actions. Virtue, as well, is an old associate of these museums; their day to day interaction with the public is designed to raise visitors to a more virtuous state, whether by educating them or by teaching them appropriate patterns of behaviour.  Museums at their origin are collections, which while private may remain absent of any great political agenda, but </w:t>
      </w:r>
      <w:r w:rsidR="008100FE">
        <w:rPr>
          <w:sz w:val="24"/>
          <w:szCs w:val="24"/>
        </w:rPr>
        <w:t xml:space="preserve">with their </w:t>
      </w:r>
      <w:r w:rsidR="00ED36F1">
        <w:rPr>
          <w:sz w:val="24"/>
          <w:szCs w:val="24"/>
        </w:rPr>
        <w:t>emerge</w:t>
      </w:r>
      <w:r w:rsidR="008100FE">
        <w:rPr>
          <w:sz w:val="24"/>
          <w:szCs w:val="24"/>
        </w:rPr>
        <w:t>nce</w:t>
      </w:r>
      <w:r w:rsidR="00ED36F1">
        <w:rPr>
          <w:sz w:val="24"/>
          <w:szCs w:val="24"/>
        </w:rPr>
        <w:t xml:space="preserve"> into public view</w:t>
      </w:r>
      <w:r w:rsidR="008100FE">
        <w:rPr>
          <w:sz w:val="24"/>
          <w:szCs w:val="24"/>
        </w:rPr>
        <w:t>,</w:t>
      </w:r>
      <w:r w:rsidR="00ED36F1">
        <w:rPr>
          <w:sz w:val="24"/>
          <w:szCs w:val="24"/>
        </w:rPr>
        <w:t xml:space="preserve"> with the first public museums </w:t>
      </w:r>
      <w:r w:rsidR="008100FE">
        <w:rPr>
          <w:sz w:val="24"/>
          <w:szCs w:val="24"/>
        </w:rPr>
        <w:t xml:space="preserve">opened </w:t>
      </w:r>
      <w:r w:rsidR="00ED36F1">
        <w:rPr>
          <w:sz w:val="24"/>
          <w:szCs w:val="24"/>
        </w:rPr>
        <w:t xml:space="preserve">in the sixteen and </w:t>
      </w:r>
      <w:r w:rsidR="008100FE">
        <w:rPr>
          <w:sz w:val="24"/>
          <w:szCs w:val="24"/>
        </w:rPr>
        <w:t xml:space="preserve">seventeen-hundreds, they are no longer separable from politics. </w:t>
      </w:r>
    </w:p>
    <w:p w14:paraId="3715A2EF" w14:textId="466874D7" w:rsidR="008100FE" w:rsidRDefault="008100FE" w:rsidP="00FF626C">
      <w:pPr>
        <w:rPr>
          <w:sz w:val="24"/>
          <w:szCs w:val="24"/>
        </w:rPr>
      </w:pPr>
      <w:r>
        <w:rPr>
          <w:sz w:val="24"/>
          <w:szCs w:val="24"/>
        </w:rPr>
        <w:t xml:space="preserve">This </w:t>
      </w:r>
      <w:r w:rsidR="0016389E">
        <w:rPr>
          <w:sz w:val="24"/>
          <w:szCs w:val="24"/>
        </w:rPr>
        <w:t>study explores public museums and their status as emblems of politically virtuous nation states, exploring the ways in which museums are political and encourage virtue, political and otherwise, in their audience. Both the Louvre and the British Museum are discussed, with emphasis on their respective foundations and the inescapability of their political context.</w:t>
      </w:r>
    </w:p>
    <w:p w14:paraId="55BD0AB6" w14:textId="3B906C37" w:rsidR="00622E97" w:rsidRPr="008100FE" w:rsidRDefault="008100FE" w:rsidP="008100FE">
      <w:pPr>
        <w:rPr>
          <w:sz w:val="24"/>
          <w:szCs w:val="24"/>
        </w:rPr>
      </w:pPr>
      <w:r>
        <w:rPr>
          <w:sz w:val="24"/>
          <w:szCs w:val="24"/>
        </w:rPr>
        <w:t>Museums are agents, which tell a story around their objects; this story is affected by the perceptions and values of both its creators and its audience. They entertain, educate and engage the public, and in the case of national museums that story is generally focused around the history of their nation. Often, national museums are backed financially by their nation’s government, and sometimes they are run outright by a section of that government. This opens the museum’s displays up to be manipulated for political advantage, but that is not the only way that museums act in political ways. The arrangement and choice of objects on display in a museum have political aspects, especially as some objects have contested or controversial origins, which often date back to the colonial and imperial context of the early public museums.</w:t>
      </w:r>
    </w:p>
    <w:p w14:paraId="109DB696" w14:textId="032627CA" w:rsidR="00B44B2A" w:rsidRPr="00FF626C" w:rsidRDefault="00622E97" w:rsidP="00B44B2A">
      <w:pPr>
        <w:rPr>
          <w:sz w:val="24"/>
          <w:szCs w:val="24"/>
        </w:rPr>
      </w:pPr>
      <w:r w:rsidRPr="00622E97">
        <w:rPr>
          <w:sz w:val="24"/>
          <w:szCs w:val="24"/>
        </w:rPr>
        <w:t>From the first emergence of public museums, they have always been emblems of politically virtuous nation states</w:t>
      </w:r>
      <w:r>
        <w:rPr>
          <w:sz w:val="24"/>
          <w:szCs w:val="24"/>
        </w:rPr>
        <w:t xml:space="preserve">. </w:t>
      </w:r>
      <w:r w:rsidR="00B44B2A" w:rsidRPr="00FF626C">
        <w:rPr>
          <w:sz w:val="24"/>
          <w:szCs w:val="24"/>
        </w:rPr>
        <w:t>National galleries can symbolise the idealised community of the nation and affirm the international prestige of one nation among others, making them prized aspects of modern states. The foundation of the Louvre museum is the most dramatic demonstration of this, in the seizure of the royal art collection, made property of the nation and publicly available by the revolution. This turned what had been an accessory of royal splendour into a dramatic and idealistic celebration of a new state and its ideals.</w:t>
      </w:r>
      <w:r w:rsidR="00FE6116">
        <w:rPr>
          <w:rStyle w:val="FootnoteReference"/>
          <w:sz w:val="24"/>
          <w:szCs w:val="24"/>
        </w:rPr>
        <w:footnoteReference w:id="1"/>
      </w:r>
      <w:r w:rsidR="00B44B2A">
        <w:rPr>
          <w:sz w:val="24"/>
          <w:szCs w:val="24"/>
        </w:rPr>
        <w:t xml:space="preserve"> </w:t>
      </w:r>
      <w:r w:rsidR="00B44B2A" w:rsidRPr="00FF626C">
        <w:rPr>
          <w:sz w:val="24"/>
          <w:szCs w:val="24"/>
        </w:rPr>
        <w:t>Prior to 1793, the Louvre was host to exhibitions by the Royal Academy of Painting and Sculpture. It housed the different royal academies, and functioned as a royal residence.</w:t>
      </w:r>
      <w:r w:rsidR="00FE6116">
        <w:rPr>
          <w:rStyle w:val="FootnoteReference"/>
          <w:sz w:val="24"/>
          <w:szCs w:val="24"/>
        </w:rPr>
        <w:footnoteReference w:id="2"/>
      </w:r>
    </w:p>
    <w:p w14:paraId="73073D3D" w14:textId="408EF3EE" w:rsidR="003D4DF5" w:rsidRDefault="00622E97" w:rsidP="003D4DF5">
      <w:pPr>
        <w:rPr>
          <w:sz w:val="24"/>
          <w:szCs w:val="24"/>
        </w:rPr>
      </w:pPr>
      <w:r w:rsidRPr="00FF626C">
        <w:rPr>
          <w:sz w:val="24"/>
          <w:szCs w:val="24"/>
        </w:rPr>
        <w:lastRenderedPageBreak/>
        <w:t xml:space="preserve">Public art museums emerged in the same era as the modern nation state, the late eighteenth and early nineteenth century. </w:t>
      </w:r>
      <w:r w:rsidRPr="001B6274">
        <w:rPr>
          <w:sz w:val="24"/>
        </w:rPr>
        <w:t>The first university museum was opened in 1671, and the Ashmolean Museum opened in 1683. Circa 1750, the Vatican opened its own museums.</w:t>
      </w:r>
      <w:r w:rsidR="004A22F0">
        <w:rPr>
          <w:rStyle w:val="FootnoteReference"/>
          <w:sz w:val="24"/>
        </w:rPr>
        <w:footnoteReference w:id="3"/>
      </w:r>
      <w:r>
        <w:rPr>
          <w:sz w:val="24"/>
        </w:rPr>
        <w:t xml:space="preserve"> </w:t>
      </w:r>
      <w:r w:rsidR="00B44B2A" w:rsidRPr="00FF626C">
        <w:rPr>
          <w:sz w:val="24"/>
          <w:szCs w:val="24"/>
        </w:rPr>
        <w:t>From this point, displaying a nation's cultural treasures in a museum or gallery, acted to prove that the ruling power of a state was committed to serving its people. This would be ideally public property but at minimum accessible to all.</w:t>
      </w:r>
      <w:r w:rsidR="001B6274">
        <w:rPr>
          <w:sz w:val="24"/>
          <w:szCs w:val="24"/>
        </w:rPr>
        <w:t xml:space="preserve"> </w:t>
      </w:r>
      <w:r w:rsidR="00B44B2A" w:rsidRPr="00FF626C">
        <w:rPr>
          <w:sz w:val="24"/>
          <w:szCs w:val="24"/>
        </w:rPr>
        <w:t xml:space="preserve">Across Europe, royal collections were rebranded as national galleries. </w:t>
      </w:r>
      <w:r w:rsidR="00B44B2A" w:rsidRPr="00B44B2A">
        <w:rPr>
          <w:sz w:val="24"/>
          <w:szCs w:val="24"/>
        </w:rPr>
        <w:t xml:space="preserve"> </w:t>
      </w:r>
      <w:r w:rsidR="00B44B2A" w:rsidRPr="00FF626C">
        <w:rPr>
          <w:sz w:val="24"/>
          <w:szCs w:val="24"/>
        </w:rPr>
        <w:t xml:space="preserve">These museums were almost always housed in palatial spaces, scaled for large public gatherings, which gave visitors a sense of presence and emphasised the sense of public availability and sense of national community. </w:t>
      </w:r>
      <w:r w:rsidR="00B44B2A" w:rsidRPr="00B44B2A">
        <w:rPr>
          <w:sz w:val="24"/>
          <w:szCs w:val="24"/>
        </w:rPr>
        <w:t xml:space="preserve"> </w:t>
      </w:r>
      <w:r w:rsidR="00B44B2A" w:rsidRPr="00FF626C">
        <w:rPr>
          <w:sz w:val="24"/>
          <w:szCs w:val="24"/>
        </w:rPr>
        <w:t>Gallery space was designed to focus attention on the works inside, emphasising the aesthetic aspect of a work over its original purpose.</w:t>
      </w:r>
      <w:r w:rsidR="003D4DF5">
        <w:rPr>
          <w:sz w:val="24"/>
          <w:szCs w:val="24"/>
        </w:rPr>
        <w:t xml:space="preserve"> </w:t>
      </w:r>
      <w:r w:rsidR="00FE6116">
        <w:rPr>
          <w:rStyle w:val="FootnoteReference"/>
          <w:sz w:val="24"/>
          <w:szCs w:val="24"/>
        </w:rPr>
        <w:footnoteReference w:id="4"/>
      </w:r>
    </w:p>
    <w:p w14:paraId="42B73C03" w14:textId="056DBCE8" w:rsidR="00622E97" w:rsidRPr="00622E97" w:rsidRDefault="00622E97" w:rsidP="003D4DF5">
      <w:pPr>
        <w:rPr>
          <w:sz w:val="24"/>
        </w:rPr>
      </w:pPr>
      <w:r>
        <w:rPr>
          <w:sz w:val="24"/>
          <w:szCs w:val="24"/>
        </w:rPr>
        <w:t xml:space="preserve">Macdonald describes </w:t>
      </w:r>
      <w:r w:rsidR="008C0BB6">
        <w:rPr>
          <w:sz w:val="24"/>
          <w:szCs w:val="24"/>
        </w:rPr>
        <w:t xml:space="preserve">nineteenth century </w:t>
      </w:r>
      <w:r>
        <w:rPr>
          <w:sz w:val="24"/>
          <w:szCs w:val="24"/>
        </w:rPr>
        <w:t>museu</w:t>
      </w:r>
      <w:r w:rsidR="008C0BB6">
        <w:rPr>
          <w:sz w:val="24"/>
          <w:szCs w:val="24"/>
        </w:rPr>
        <w:t xml:space="preserve">ms and exhibitions as a way of presenting newly realised nations as fact, using the material objects there as a means to picture nations as tangible. She links the purpose of nations, desiring to present their own story of achievement and civilising influence, with the purpose of individual citizens, self-educating and acquiring knowledge. </w:t>
      </w:r>
      <w:r w:rsidR="004A22F0">
        <w:rPr>
          <w:rStyle w:val="FootnoteReference"/>
          <w:sz w:val="24"/>
          <w:szCs w:val="24"/>
        </w:rPr>
        <w:footnoteReference w:id="5"/>
      </w:r>
    </w:p>
    <w:p w14:paraId="0EED92C2" w14:textId="0E0E841B" w:rsidR="00622E97" w:rsidRDefault="00622E97" w:rsidP="00622E97">
      <w:pPr>
        <w:rPr>
          <w:sz w:val="24"/>
          <w:szCs w:val="24"/>
        </w:rPr>
      </w:pPr>
      <w:r>
        <w:rPr>
          <w:sz w:val="24"/>
          <w:szCs w:val="24"/>
        </w:rPr>
        <w:t>Knell argues against the idea that national museums are a product of nations doing the same things; instead the seemingly cohesive image of a museum is dependent on local needs and local interests, reflecting nationalism, identity and political relationships.</w:t>
      </w:r>
      <w:r w:rsidR="00FE6116">
        <w:rPr>
          <w:rStyle w:val="FootnoteReference"/>
          <w:sz w:val="24"/>
          <w:szCs w:val="24"/>
        </w:rPr>
        <w:footnoteReference w:id="6"/>
      </w:r>
      <w:r>
        <w:rPr>
          <w:sz w:val="24"/>
          <w:szCs w:val="24"/>
        </w:rPr>
        <w:t xml:space="preserve"> Knell emphasises the power of the past in anchoring nationhood.</w:t>
      </w:r>
      <w:r w:rsidR="00FE6116">
        <w:rPr>
          <w:rStyle w:val="FootnoteReference"/>
          <w:sz w:val="24"/>
          <w:szCs w:val="24"/>
        </w:rPr>
        <w:footnoteReference w:id="7"/>
      </w:r>
      <w:r>
        <w:rPr>
          <w:sz w:val="24"/>
          <w:szCs w:val="24"/>
        </w:rPr>
        <w:t xml:space="preserve"> National museums anchor national identity and history together, connecting land, history and people.</w:t>
      </w:r>
      <w:r w:rsidR="00FE6116">
        <w:rPr>
          <w:rStyle w:val="FootnoteReference"/>
          <w:sz w:val="24"/>
          <w:szCs w:val="24"/>
        </w:rPr>
        <w:footnoteReference w:id="8"/>
      </w:r>
      <w:r>
        <w:rPr>
          <w:sz w:val="24"/>
          <w:szCs w:val="24"/>
        </w:rPr>
        <w:t xml:space="preserve"> </w:t>
      </w:r>
    </w:p>
    <w:p w14:paraId="4B23C743" w14:textId="54404DE8" w:rsidR="00622E97" w:rsidRDefault="00622E97" w:rsidP="00622E97">
      <w:pPr>
        <w:rPr>
          <w:sz w:val="24"/>
          <w:szCs w:val="24"/>
        </w:rPr>
      </w:pPr>
      <w:r>
        <w:rPr>
          <w:sz w:val="24"/>
          <w:szCs w:val="24"/>
        </w:rPr>
        <w:t xml:space="preserve">Knell argues that national museums reflect embedded values and perceptions in the positioning and presentation of objects, shaping a particular imaging of the nation. </w:t>
      </w:r>
      <w:r w:rsidRPr="001105C0">
        <w:rPr>
          <w:sz w:val="24"/>
          <w:szCs w:val="24"/>
        </w:rPr>
        <w:t xml:space="preserve"> </w:t>
      </w:r>
      <w:r>
        <w:rPr>
          <w:sz w:val="24"/>
          <w:szCs w:val="24"/>
        </w:rPr>
        <w:t xml:space="preserve">Nation states are sentimentalised through material objects and architecture, in the same way that these items represent the concept of the nation in the physical realm. </w:t>
      </w:r>
      <w:r w:rsidR="00FE6116">
        <w:rPr>
          <w:rStyle w:val="FootnoteReference"/>
          <w:sz w:val="24"/>
          <w:szCs w:val="24"/>
        </w:rPr>
        <w:footnoteReference w:id="9"/>
      </w:r>
    </w:p>
    <w:p w14:paraId="4543C05C" w14:textId="61786CED" w:rsidR="00622E97" w:rsidRPr="00B44B2A" w:rsidRDefault="00622E97" w:rsidP="003D4DF5">
      <w:pPr>
        <w:rPr>
          <w:sz w:val="24"/>
          <w:szCs w:val="24"/>
        </w:rPr>
      </w:pPr>
      <w:r>
        <w:rPr>
          <w:sz w:val="24"/>
          <w:szCs w:val="24"/>
        </w:rPr>
        <w:t>National museums connect the material culture within the museum with the landscape outside, in both tangible ways and through imagination.</w:t>
      </w:r>
      <w:r w:rsidR="00FE6116">
        <w:rPr>
          <w:rStyle w:val="FootnoteReference"/>
          <w:sz w:val="24"/>
          <w:szCs w:val="24"/>
        </w:rPr>
        <w:footnoteReference w:id="10"/>
      </w:r>
      <w:r>
        <w:rPr>
          <w:sz w:val="24"/>
          <w:szCs w:val="24"/>
        </w:rPr>
        <w:t xml:space="preserve"> The nation of the past performed within the museum is connected to the future, to the nation outside the museum walls and to popular imagination.</w:t>
      </w:r>
      <w:r w:rsidR="00FE6116">
        <w:rPr>
          <w:rStyle w:val="FootnoteReference"/>
          <w:sz w:val="24"/>
          <w:szCs w:val="24"/>
        </w:rPr>
        <w:footnoteReference w:id="11"/>
      </w:r>
      <w:r>
        <w:rPr>
          <w:sz w:val="24"/>
          <w:szCs w:val="24"/>
        </w:rPr>
        <w:t xml:space="preserve"> The performance of a museum is directly connected to the outside world; a museum is not an isolated space, nor does it strip its objects of agency or their relationship with the world outside.</w:t>
      </w:r>
      <w:r w:rsidR="00FE6116">
        <w:rPr>
          <w:rStyle w:val="FootnoteReference"/>
          <w:sz w:val="24"/>
          <w:szCs w:val="24"/>
        </w:rPr>
        <w:footnoteReference w:id="12"/>
      </w:r>
      <w:r>
        <w:rPr>
          <w:sz w:val="24"/>
          <w:szCs w:val="24"/>
        </w:rPr>
        <w:t xml:space="preserve"> </w:t>
      </w:r>
    </w:p>
    <w:p w14:paraId="63A6839A" w14:textId="6C65A9D4" w:rsidR="003D4DF5" w:rsidRPr="001B6274" w:rsidRDefault="003D4DF5" w:rsidP="003D4DF5">
      <w:r w:rsidRPr="00FF626C">
        <w:rPr>
          <w:rStyle w:val="CommentReference"/>
          <w:sz w:val="24"/>
          <w:szCs w:val="24"/>
        </w:rPr>
        <w:annotationRef/>
      </w:r>
      <w:r w:rsidRPr="00FF626C">
        <w:rPr>
          <w:sz w:val="24"/>
          <w:szCs w:val="24"/>
        </w:rPr>
        <w:t>The British museum has always been at the same site; it was originally hosted there in Montagu House, a seventeenth century mansion. It opened to the public on 15 January 1759. The two World Wars are the only time it has not been open since then.</w:t>
      </w:r>
      <w:r w:rsidR="004A22F0">
        <w:rPr>
          <w:rStyle w:val="FootnoteReference"/>
          <w:sz w:val="24"/>
          <w:szCs w:val="24"/>
        </w:rPr>
        <w:footnoteReference w:id="13"/>
      </w:r>
      <w:r>
        <w:rPr>
          <w:sz w:val="24"/>
          <w:szCs w:val="24"/>
        </w:rPr>
        <w:t xml:space="preserve"> The museum was expanded almost constantly from 1852 to 1914. </w:t>
      </w:r>
      <w:r w:rsidRPr="00FF626C">
        <w:rPr>
          <w:sz w:val="24"/>
          <w:szCs w:val="24"/>
        </w:rPr>
        <w:t xml:space="preserve">In the 1880s, the natural history collections were moved to a new building in South Kensington which later became the Natural History Museum. This was done to make room for the Museum's increasing collection. </w:t>
      </w:r>
      <w:r w:rsidR="004A22F0">
        <w:rPr>
          <w:rStyle w:val="FootnoteReference"/>
          <w:sz w:val="24"/>
          <w:szCs w:val="24"/>
        </w:rPr>
        <w:footnoteReference w:id="14"/>
      </w:r>
      <w:r>
        <w:rPr>
          <w:sz w:val="24"/>
          <w:szCs w:val="24"/>
        </w:rPr>
        <w:t xml:space="preserve"> </w:t>
      </w:r>
    </w:p>
    <w:p w14:paraId="382FC9CB" w14:textId="77777777" w:rsidR="003D4DF5" w:rsidRPr="00FF626C" w:rsidRDefault="003D4DF5" w:rsidP="003D4DF5">
      <w:pPr>
        <w:rPr>
          <w:sz w:val="24"/>
          <w:szCs w:val="24"/>
        </w:rPr>
      </w:pPr>
      <w:r w:rsidRPr="00FF626C">
        <w:rPr>
          <w:sz w:val="24"/>
          <w:szCs w:val="24"/>
        </w:rPr>
        <w:t xml:space="preserve">After World War I, the Louvre was reorganised and had electricity installed, beginning night openings. Access was made easier with new connecting underground passageways. A central reception area was created, and two new museums were created to house works which did not fit the scope of the Louvre’s exhibits. </w:t>
      </w:r>
      <w:r>
        <w:rPr>
          <w:sz w:val="24"/>
          <w:szCs w:val="24"/>
        </w:rPr>
        <w:t xml:space="preserve"> </w:t>
      </w:r>
      <w:r w:rsidRPr="00FF626C">
        <w:rPr>
          <w:sz w:val="24"/>
          <w:szCs w:val="24"/>
        </w:rPr>
        <w:t xml:space="preserve">During World War II and the German occupation, most of the works in the Louvre had been sent away as a protective measure, but the Louvre opened regardless. </w:t>
      </w:r>
    </w:p>
    <w:p w14:paraId="05B7E441" w14:textId="0E8B4F2E" w:rsidR="00D82D4D" w:rsidRPr="00FF626C" w:rsidRDefault="00D82D4D" w:rsidP="00FF626C">
      <w:pPr>
        <w:rPr>
          <w:sz w:val="24"/>
          <w:szCs w:val="24"/>
        </w:rPr>
      </w:pPr>
    </w:p>
    <w:p w14:paraId="6D3C4C15" w14:textId="31F95432" w:rsidR="00B34FE1" w:rsidRPr="00FF626C" w:rsidRDefault="00D82D4D" w:rsidP="001B6274">
      <w:pPr>
        <w:pStyle w:val="Heading3"/>
      </w:pPr>
      <w:r w:rsidRPr="00FF626C">
        <w:t xml:space="preserve">From the first emergence of public museums, they have always been emblems of politically virtuous nation states. </w:t>
      </w:r>
    </w:p>
    <w:p w14:paraId="1A68FB8E" w14:textId="72E4DA84" w:rsidR="00B34FE1" w:rsidRDefault="00B44B2A" w:rsidP="00C845F5">
      <w:pPr>
        <w:rPr>
          <w:sz w:val="24"/>
          <w:szCs w:val="24"/>
        </w:rPr>
      </w:pPr>
      <w:r w:rsidRPr="00FF626C">
        <w:rPr>
          <w:sz w:val="24"/>
          <w:szCs w:val="24"/>
        </w:rPr>
        <w:t>One of the major arguments in favour of the exis</w:t>
      </w:r>
      <w:r>
        <w:rPr>
          <w:sz w:val="24"/>
          <w:szCs w:val="24"/>
        </w:rPr>
        <w:t>tence of the early Louvre was "</w:t>
      </w:r>
      <w:r w:rsidRPr="00FF626C">
        <w:rPr>
          <w:sz w:val="24"/>
          <w:szCs w:val="24"/>
        </w:rPr>
        <w:t>the notion that it was better for the artworks to be kept in Paris rather than in the place they had been originally designed for"</w:t>
      </w:r>
      <w:r w:rsidR="00FE6116">
        <w:rPr>
          <w:sz w:val="24"/>
          <w:szCs w:val="24"/>
        </w:rPr>
        <w:t xml:space="preserve">. </w:t>
      </w:r>
      <w:r w:rsidR="00B34FE1" w:rsidRPr="00FF626C">
        <w:rPr>
          <w:sz w:val="24"/>
          <w:szCs w:val="24"/>
        </w:rPr>
        <w:t xml:space="preserve">The revolutionary assembly's 1792 decree ordered the creation of a national museum for the express purpose of monumentalising and commemorating the fall of the monarchy. It was ordered to be open to all, as a representation of the renewed nation and its principle of equal citizenship, </w:t>
      </w:r>
      <w:r w:rsidR="00FE6116">
        <w:rPr>
          <w:rStyle w:val="FootnoteReference"/>
          <w:sz w:val="24"/>
          <w:szCs w:val="24"/>
        </w:rPr>
        <w:footnoteReference w:id="15"/>
      </w:r>
    </w:p>
    <w:p w14:paraId="75ADE903" w14:textId="56F8AFF5" w:rsidR="00C845F5" w:rsidRDefault="00C845F5" w:rsidP="00C845F5">
      <w:pPr>
        <w:rPr>
          <w:sz w:val="24"/>
          <w:szCs w:val="24"/>
        </w:rPr>
      </w:pPr>
      <w:r w:rsidRPr="00FF626C">
        <w:rPr>
          <w:sz w:val="24"/>
          <w:szCs w:val="24"/>
        </w:rPr>
        <w:t>The Louvre was opened on August 10, 1793 as a symbol of the French Revolution, but did not open regularly until the following October. It showed primarily paintings from the royal collections, with some antique busts and objets d'art. As the Louvre’s own website says, it had a political objective, to display to all what was previously reserved for the "tyrants". This took precedence over study, and other purposes we might find usual for a museum.</w:t>
      </w:r>
      <w:r w:rsidR="00B34FE1">
        <w:rPr>
          <w:sz w:val="24"/>
          <w:szCs w:val="24"/>
        </w:rPr>
        <w:t xml:space="preserve"> </w:t>
      </w:r>
      <w:r w:rsidR="00FE6116">
        <w:rPr>
          <w:rStyle w:val="FootnoteReference"/>
          <w:sz w:val="24"/>
          <w:szCs w:val="24"/>
        </w:rPr>
        <w:footnoteReference w:id="16"/>
      </w:r>
    </w:p>
    <w:p w14:paraId="2617643D" w14:textId="7125DC25" w:rsidR="00B34FE1" w:rsidRDefault="00B34FE1" w:rsidP="00C845F5">
      <w:pPr>
        <w:rPr>
          <w:sz w:val="24"/>
          <w:szCs w:val="24"/>
        </w:rPr>
      </w:pPr>
      <w:r w:rsidRPr="00FF626C">
        <w:rPr>
          <w:sz w:val="24"/>
          <w:szCs w:val="24"/>
        </w:rPr>
        <w:t>The Louvre in the first two decades following its founding was designed to symbolise the new relationship of nation and citizenry, with the aim to be equally uplifting to all visitors. Practically, it characterised its viewer as part of the "educated and self-educating strata of French society."</w:t>
      </w:r>
      <w:r w:rsidR="00FE6116">
        <w:rPr>
          <w:rStyle w:val="FootnoteReference"/>
          <w:sz w:val="24"/>
          <w:szCs w:val="24"/>
        </w:rPr>
        <w:footnoteReference w:id="17"/>
      </w:r>
      <w:r w:rsidRPr="00FF626C">
        <w:rPr>
          <w:sz w:val="24"/>
          <w:szCs w:val="24"/>
        </w:rPr>
        <w:t xml:space="preserve">In celebrating the advantages of being a French citizen, it also asserted French pre-eminence within the common elite art culture shared by certain nations. </w:t>
      </w:r>
      <w:r w:rsidR="00FE6116">
        <w:rPr>
          <w:rStyle w:val="FootnoteReference"/>
          <w:sz w:val="24"/>
          <w:szCs w:val="24"/>
        </w:rPr>
        <w:footnoteReference w:id="18"/>
      </w:r>
    </w:p>
    <w:p w14:paraId="722F3CBB" w14:textId="71FC8E7D" w:rsidR="00B34FE1" w:rsidRPr="00FF626C" w:rsidRDefault="00B34FE1" w:rsidP="00B34FE1">
      <w:pPr>
        <w:rPr>
          <w:sz w:val="24"/>
          <w:szCs w:val="24"/>
        </w:rPr>
      </w:pPr>
      <w:r w:rsidRPr="00FF626C">
        <w:rPr>
          <w:sz w:val="24"/>
          <w:szCs w:val="24"/>
        </w:rPr>
        <w:t xml:space="preserve">From 1993, the Louvre museum became a public institution, gaining more autonomy; it has previously been </w:t>
      </w:r>
      <w:r w:rsidR="00622E97">
        <w:rPr>
          <w:sz w:val="24"/>
          <w:szCs w:val="24"/>
        </w:rPr>
        <w:t>supervised by the Musées de France.</w:t>
      </w:r>
      <w:r w:rsidR="00FE6116">
        <w:rPr>
          <w:rStyle w:val="FootnoteReference"/>
          <w:sz w:val="24"/>
          <w:szCs w:val="24"/>
        </w:rPr>
        <w:footnoteReference w:id="19"/>
      </w:r>
    </w:p>
    <w:p w14:paraId="2F734F17" w14:textId="4982E543" w:rsidR="00C845F5" w:rsidRPr="00E265F4" w:rsidRDefault="00C845F5" w:rsidP="00E265F4"/>
    <w:p w14:paraId="1C339253" w14:textId="16EE7FE5" w:rsidR="00D82D4D" w:rsidRDefault="00D82D4D" w:rsidP="00E265F4">
      <w:pPr>
        <w:pStyle w:val="Heading3"/>
      </w:pPr>
      <w:r w:rsidRPr="00FF626C">
        <w:t xml:space="preserve">The </w:t>
      </w:r>
      <w:r w:rsidR="005A6E09" w:rsidRPr="00FF626C">
        <w:t>British Museum</w:t>
      </w:r>
      <w:r w:rsidRPr="00FF626C">
        <w:t xml:space="preserve"> originate from the donations of private collections for public display. </w:t>
      </w:r>
    </w:p>
    <w:p w14:paraId="56AD3FDE" w14:textId="21BB415B" w:rsidR="008D6F49" w:rsidRPr="003E44A0" w:rsidRDefault="008D6F49" w:rsidP="008D6F49">
      <w:pPr>
        <w:rPr>
          <w:sz w:val="24"/>
          <w:szCs w:val="24"/>
        </w:rPr>
      </w:pPr>
      <w:r w:rsidRPr="00FF626C">
        <w:rPr>
          <w:sz w:val="24"/>
          <w:szCs w:val="24"/>
        </w:rPr>
        <w:t>Sir Hands Sloane, a physician, naturalist and collector, died in 1753, leaving a collection of over 71000 objects. In order to preserve the collection intact, and in return for a payment of £20,000 to his heirs, Sloane left the collection to King George II. for the nation.</w:t>
      </w:r>
      <w:r w:rsidR="003E44A0">
        <w:rPr>
          <w:sz w:val="24"/>
          <w:szCs w:val="24"/>
        </w:rPr>
        <w:t xml:space="preserve"> </w:t>
      </w:r>
      <w:r w:rsidR="003E44A0" w:rsidRPr="00FF626C">
        <w:rPr>
          <w:sz w:val="24"/>
          <w:szCs w:val="24"/>
        </w:rPr>
        <w:t>Sloane's condition was that a freely accessible, public, new museum was created to house his collection.</w:t>
      </w:r>
      <w:r w:rsidRPr="00FF626C">
        <w:rPr>
          <w:sz w:val="24"/>
          <w:szCs w:val="24"/>
        </w:rPr>
        <w:t xml:space="preserve"> On 7 June 1753, the British Museum was established by an Act of Parliament. In 1757 King George II donated the "Old Royal Library" to the Museum</w:t>
      </w:r>
      <w:r w:rsidR="003E44A0">
        <w:rPr>
          <w:sz w:val="24"/>
          <w:szCs w:val="24"/>
        </w:rPr>
        <w:t xml:space="preserve">. </w:t>
      </w:r>
      <w:r w:rsidR="004A22F0">
        <w:rPr>
          <w:rStyle w:val="FootnoteReference"/>
          <w:sz w:val="24"/>
          <w:szCs w:val="24"/>
        </w:rPr>
        <w:footnoteReference w:id="20"/>
      </w:r>
      <w:r w:rsidR="004A22F0">
        <w:rPr>
          <w:rStyle w:val="FootnoteReference"/>
          <w:sz w:val="24"/>
          <w:szCs w:val="24"/>
        </w:rPr>
        <w:footnoteReference w:id="21"/>
      </w:r>
    </w:p>
    <w:p w14:paraId="725FC6B3" w14:textId="5826C38D" w:rsidR="00D82D4D" w:rsidRDefault="00D82D4D" w:rsidP="00E265F4">
      <w:pPr>
        <w:pStyle w:val="Heading3"/>
      </w:pPr>
      <w:r w:rsidRPr="00FF626C">
        <w:t xml:space="preserve">The </w:t>
      </w:r>
      <w:r w:rsidR="005A6E09" w:rsidRPr="00FF626C">
        <w:t>British Museum</w:t>
      </w:r>
      <w:r w:rsidRPr="00FF626C">
        <w:t xml:space="preserve"> originated as a social display model for the British people – again, the “educ</w:t>
      </w:r>
      <w:r w:rsidR="00083274">
        <w:t>ated and self-educating class” which the Louvre also targeted.</w:t>
      </w:r>
    </w:p>
    <w:p w14:paraId="07F99F14" w14:textId="29ED1291" w:rsidR="001E0F51" w:rsidRPr="001E0F51" w:rsidRDefault="001E0F51" w:rsidP="001E0F51">
      <w:pPr>
        <w:rPr>
          <w:sz w:val="24"/>
          <w:szCs w:val="24"/>
        </w:rPr>
      </w:pPr>
      <w:r>
        <w:rPr>
          <w:sz w:val="24"/>
          <w:szCs w:val="24"/>
        </w:rPr>
        <w:t xml:space="preserve">In his book “The birth of the Museum”, </w:t>
      </w:r>
      <w:r w:rsidRPr="001E0F51">
        <w:rPr>
          <w:sz w:val="24"/>
          <w:szCs w:val="24"/>
        </w:rPr>
        <w:t xml:space="preserve">Bennet discusses the triple purpose museum; in one way an elitist hall of art, in a second an instrument of democracy and education, and in the third an instrument with which to tune society. He links this to the division between visitors, passive consumers of education, and the “producers of knowledge” behind the museum displays. </w:t>
      </w:r>
      <w:r w:rsidR="004A22F0">
        <w:rPr>
          <w:rStyle w:val="FootnoteReference"/>
          <w:sz w:val="24"/>
          <w:szCs w:val="24"/>
        </w:rPr>
        <w:footnoteReference w:id="22"/>
      </w:r>
    </w:p>
    <w:p w14:paraId="6B6AFBF6" w14:textId="02189057" w:rsidR="001E0F51" w:rsidRDefault="001E0F51" w:rsidP="001E0F51">
      <w:pPr>
        <w:rPr>
          <w:sz w:val="24"/>
          <w:szCs w:val="24"/>
        </w:rPr>
      </w:pPr>
      <w:r w:rsidRPr="001E0F51">
        <w:rPr>
          <w:sz w:val="24"/>
          <w:szCs w:val="24"/>
        </w:rPr>
        <w:t xml:space="preserve">Bennet further links this to the two primary principles of improvement in museums- the first, that museums be equally accessible and open to all, which requires that the public be </w:t>
      </w:r>
      <w:r>
        <w:rPr>
          <w:sz w:val="24"/>
          <w:szCs w:val="24"/>
        </w:rPr>
        <w:t>treated as equals</w:t>
      </w:r>
      <w:r w:rsidRPr="001E0F51">
        <w:rPr>
          <w:sz w:val="24"/>
          <w:szCs w:val="24"/>
        </w:rPr>
        <w:t>, and the second, that museums be an adequate representation of all sections of the public and their values and cultures, which requires that the public be differentiated by class, race, gender or other social criteria.</w:t>
      </w:r>
      <w:r>
        <w:rPr>
          <w:sz w:val="24"/>
          <w:szCs w:val="24"/>
        </w:rPr>
        <w:t xml:space="preserve"> He tracks the emergence of the concept of open access to museums as a public right in itself and argues that it emerged from the concept of public access to museums for the betterment of the people for the sake of society, whose benefit was the primary goal- as opposed to the modern sense, which promotes public access for the benefit of the individual members of the public themselves.</w:t>
      </w:r>
      <w:r w:rsidRPr="001E0F51">
        <w:rPr>
          <w:sz w:val="24"/>
          <w:szCs w:val="24"/>
        </w:rPr>
        <w:t xml:space="preserve"> </w:t>
      </w:r>
      <w:r w:rsidR="004A22F0">
        <w:rPr>
          <w:rStyle w:val="FootnoteReference"/>
          <w:sz w:val="24"/>
          <w:szCs w:val="24"/>
        </w:rPr>
        <w:footnoteReference w:id="23"/>
      </w:r>
    </w:p>
    <w:p w14:paraId="0E5882B5" w14:textId="10BFA817" w:rsidR="001E0F51" w:rsidRPr="00906D48" w:rsidRDefault="001E0F51" w:rsidP="001E0F51">
      <w:pPr>
        <w:rPr>
          <w:sz w:val="24"/>
          <w:szCs w:val="24"/>
        </w:rPr>
      </w:pPr>
      <w:r w:rsidRPr="00FF626C">
        <w:rPr>
          <w:sz w:val="24"/>
          <w:szCs w:val="24"/>
        </w:rPr>
        <w:t>The British Museum was founded in 1753, granting admission free of charge to all "studious and curious persons"</w:t>
      </w:r>
      <w:r>
        <w:rPr>
          <w:sz w:val="24"/>
          <w:szCs w:val="24"/>
        </w:rPr>
        <w:t xml:space="preserve">. </w:t>
      </w:r>
      <w:r w:rsidRPr="00FF626C">
        <w:rPr>
          <w:sz w:val="24"/>
          <w:szCs w:val="24"/>
        </w:rPr>
        <w:t>Nearly six million people visit a year nowadays; from the beginning it had about 5000 visitors a year.</w:t>
      </w:r>
      <w:r w:rsidR="004A22F0">
        <w:rPr>
          <w:rStyle w:val="FootnoteReference"/>
          <w:sz w:val="24"/>
          <w:szCs w:val="24"/>
        </w:rPr>
        <w:footnoteReference w:id="24"/>
      </w:r>
      <w:r w:rsidRPr="001E0F51">
        <w:rPr>
          <w:sz w:val="24"/>
          <w:szCs w:val="24"/>
        </w:rPr>
        <w:t xml:space="preserve"> </w:t>
      </w:r>
      <w:r>
        <w:rPr>
          <w:sz w:val="24"/>
          <w:szCs w:val="24"/>
        </w:rPr>
        <w:t xml:space="preserve">A 1784 note by Museum Trustees mentioned that visitors “consisted chiefly of Mechanics and persons of the lower classes”. Parliament took an interest on the grounds that “the public paid for the museum and therefore had a right to insist on every facility of ingress”. In 1836 a government grant was issued to encourage visitors to the museum- especially the lower classes, who were thought otherwise likely to be “besotting themselves in public houses”. </w:t>
      </w:r>
      <w:r w:rsidR="00FE6116">
        <w:rPr>
          <w:rStyle w:val="FootnoteReference"/>
          <w:sz w:val="24"/>
          <w:szCs w:val="24"/>
        </w:rPr>
        <w:footnoteReference w:id="25"/>
      </w:r>
    </w:p>
    <w:p w14:paraId="1E62EB56" w14:textId="6B4F6CCD" w:rsidR="00D82D4D" w:rsidRDefault="00B34FE1" w:rsidP="00906D48">
      <w:pPr>
        <w:rPr>
          <w:sz w:val="24"/>
          <w:szCs w:val="24"/>
        </w:rPr>
      </w:pPr>
      <w:r w:rsidRPr="00FF626C">
        <w:rPr>
          <w:sz w:val="24"/>
          <w:szCs w:val="24"/>
        </w:rPr>
        <w:t>The early Louvre also had an educational purpose, as it served as a learning centre for artists attracted to study major artworks there; this practice continues today. However, artists were driven out of the Louvre in 1802 and 1806, as the Louvre became devoted to the presentation of collections.</w:t>
      </w:r>
      <w:r w:rsidR="00FE6116">
        <w:rPr>
          <w:rStyle w:val="FootnoteReference"/>
          <w:sz w:val="24"/>
          <w:szCs w:val="24"/>
        </w:rPr>
        <w:footnoteReference w:id="26"/>
      </w:r>
    </w:p>
    <w:p w14:paraId="4AF9D0A7" w14:textId="4DC26EF3" w:rsidR="00906D48" w:rsidRPr="001B6274" w:rsidRDefault="003E1D11" w:rsidP="001B6274">
      <w:pPr>
        <w:rPr>
          <w:sz w:val="24"/>
          <w:szCs w:val="24"/>
        </w:rPr>
      </w:pPr>
      <w:r w:rsidRPr="003E1D11">
        <w:rPr>
          <w:sz w:val="24"/>
          <w:szCs w:val="24"/>
        </w:rPr>
        <w:t>Bennett ci</w:t>
      </w:r>
      <w:r w:rsidR="001E0F51">
        <w:rPr>
          <w:sz w:val="24"/>
          <w:szCs w:val="24"/>
        </w:rPr>
        <w:t>tes views from the 1800s on the</w:t>
      </w:r>
      <w:r w:rsidRPr="003E1D11">
        <w:rPr>
          <w:sz w:val="24"/>
          <w:szCs w:val="24"/>
        </w:rPr>
        <w:t xml:space="preserve"> belief that “high culture” in the form of museums was thought capable of regulating social behaviour, encouraging moral restraint and drawing the public away from drunkenness and the frequenting of alehouses. Museums were called on to shape the characteristics of the population, leading men to gentility and wisdom. In this way they were extensions of the power of governments, resources to change or reinforce acceptable social and behavioural norms.</w:t>
      </w:r>
      <w:r w:rsidR="004A22F0">
        <w:rPr>
          <w:rStyle w:val="FootnoteReference"/>
          <w:sz w:val="24"/>
          <w:szCs w:val="24"/>
        </w:rPr>
        <w:footnoteReference w:id="27"/>
      </w:r>
    </w:p>
    <w:p w14:paraId="5B40B036" w14:textId="6CC67560" w:rsidR="00D82D4D" w:rsidRDefault="00D82D4D" w:rsidP="00E265F4">
      <w:pPr>
        <w:pStyle w:val="Heading3"/>
      </w:pPr>
      <w:r w:rsidRPr="00FF626C">
        <w:t>During the British colonial period, items were brought from all corners of the world to show the populace the riches of the British empire- displaying the glory and righteousness, the benefits of Empire and colonisation.</w:t>
      </w:r>
    </w:p>
    <w:p w14:paraId="23F90C38" w14:textId="5D94245C" w:rsidR="00A829BA" w:rsidRDefault="00A829BA" w:rsidP="00A829BA">
      <w:pPr>
        <w:rPr>
          <w:sz w:val="24"/>
          <w:szCs w:val="24"/>
        </w:rPr>
      </w:pPr>
      <w:r>
        <w:rPr>
          <w:sz w:val="24"/>
          <w:szCs w:val="24"/>
        </w:rPr>
        <w:t>The British Museum has historically purported to show civilisation over nation, but the concept of civilisation is strongly linked to particular historical narratives, and in this case civilisation is nation: the word civilisation, as Wingfield suggests, compasses the self-image of a nation which has colonised far across its borders and across the world.</w:t>
      </w:r>
      <w:r w:rsidR="004A22F0">
        <w:rPr>
          <w:rStyle w:val="FootnoteReference"/>
          <w:sz w:val="24"/>
          <w:szCs w:val="24"/>
        </w:rPr>
        <w:footnoteReference w:id="28"/>
      </w:r>
    </w:p>
    <w:p w14:paraId="1491D47F" w14:textId="5A04734E" w:rsidR="00906D48" w:rsidRPr="001B6274" w:rsidRDefault="00906D48" w:rsidP="00906D48">
      <w:pPr>
        <w:rPr>
          <w:sz w:val="24"/>
          <w:szCs w:val="24"/>
        </w:rPr>
      </w:pPr>
      <w:r>
        <w:rPr>
          <w:sz w:val="24"/>
          <w:szCs w:val="24"/>
        </w:rPr>
        <w:t>in 1802 the Museum acquired the Rosetta stone and other Egyptian antiquities, which were presented to the museum by George 3 as a result of the British military expedition to Egypt. The Elgin marbles arrived in 1816.</w:t>
      </w:r>
      <w:r w:rsidR="00FE6116">
        <w:rPr>
          <w:rStyle w:val="FootnoteReference"/>
          <w:sz w:val="24"/>
          <w:szCs w:val="24"/>
        </w:rPr>
        <w:footnoteReference w:id="29"/>
      </w:r>
    </w:p>
    <w:p w14:paraId="55356822" w14:textId="304871F3" w:rsidR="003D4DF5" w:rsidRPr="00FF626C" w:rsidRDefault="003D4DF5" w:rsidP="003D4DF5">
      <w:pPr>
        <w:rPr>
          <w:sz w:val="24"/>
          <w:szCs w:val="24"/>
        </w:rPr>
      </w:pPr>
      <w:r w:rsidRPr="00FF626C">
        <w:rPr>
          <w:sz w:val="24"/>
          <w:szCs w:val="24"/>
        </w:rPr>
        <w:t xml:space="preserve">The </w:t>
      </w:r>
      <w:r>
        <w:rPr>
          <w:sz w:val="24"/>
          <w:szCs w:val="24"/>
        </w:rPr>
        <w:t xml:space="preserve">Louvre’s </w:t>
      </w:r>
      <w:r w:rsidRPr="00FF626C">
        <w:rPr>
          <w:sz w:val="24"/>
          <w:szCs w:val="24"/>
        </w:rPr>
        <w:t xml:space="preserve">collections expanded with the seizure of goods from fled nobility and the nationalisation of clergy property, as well as the campaigns of the French Revolutionary Wars. The Vatican museum provided many of the exhibits at the Louvre after the Treaty of Tolentino. </w:t>
      </w:r>
      <w:r w:rsidRPr="00C845F5">
        <w:rPr>
          <w:sz w:val="24"/>
          <w:szCs w:val="24"/>
        </w:rPr>
        <w:t xml:space="preserve"> </w:t>
      </w:r>
      <w:r w:rsidRPr="00FF626C">
        <w:rPr>
          <w:sz w:val="24"/>
          <w:szCs w:val="24"/>
        </w:rPr>
        <w:t xml:space="preserve">The 1824 and 1836 purchases of the Durand and Salt collections added Egyptian artefacts to the Department of Greek and Roman Antiquities. </w:t>
      </w:r>
      <w:r w:rsidR="00FE6116">
        <w:rPr>
          <w:rStyle w:val="FootnoteReference"/>
          <w:sz w:val="24"/>
          <w:szCs w:val="24"/>
        </w:rPr>
        <w:footnoteReference w:id="30"/>
      </w:r>
    </w:p>
    <w:p w14:paraId="7893B28B" w14:textId="77777777" w:rsidR="003D4DF5" w:rsidRPr="00906D48" w:rsidRDefault="003D4DF5" w:rsidP="00906D48"/>
    <w:p w14:paraId="14B45D16" w14:textId="1532DCEC" w:rsidR="00D82D4D" w:rsidRDefault="00D82D4D" w:rsidP="00E265F4">
      <w:pPr>
        <w:pStyle w:val="Heading3"/>
      </w:pPr>
      <w:r w:rsidRPr="00FF626C">
        <w:t>The acquisition of items of important cultural heritage for the colonies was a statement of imperial power by Britain over its conquered nations.</w:t>
      </w:r>
    </w:p>
    <w:p w14:paraId="4E776154" w14:textId="6311B4D9" w:rsidR="003D4DF5" w:rsidRPr="00FF626C" w:rsidRDefault="003D4DF5" w:rsidP="003D4DF5">
      <w:pPr>
        <w:rPr>
          <w:sz w:val="24"/>
          <w:szCs w:val="24"/>
        </w:rPr>
      </w:pPr>
      <w:r>
        <w:rPr>
          <w:sz w:val="24"/>
          <w:szCs w:val="24"/>
        </w:rPr>
        <w:t xml:space="preserve">Knell’s description of Britain’s national museum characterises it as a nexus of appropriated materials gathered via Imperial means, both military and otherwise. The power here was in ownership, not in creation. </w:t>
      </w:r>
      <w:r w:rsidR="001B6274" w:rsidRPr="001B6274">
        <w:rPr>
          <w:sz w:val="24"/>
          <w:szCs w:val="24"/>
        </w:rPr>
        <w:t xml:space="preserve"> </w:t>
      </w:r>
      <w:r w:rsidR="001B6274">
        <w:rPr>
          <w:sz w:val="24"/>
          <w:szCs w:val="24"/>
        </w:rPr>
        <w:t>Knell describes the globalisation of museums as the British Museum’s political salvation, where objects arrive not due to imperialism but as a result of smaller countries’ desire to promote their culture and history.</w:t>
      </w:r>
      <w:r w:rsidR="00FE6116">
        <w:rPr>
          <w:rStyle w:val="FootnoteReference"/>
          <w:sz w:val="24"/>
          <w:szCs w:val="24"/>
        </w:rPr>
        <w:footnoteReference w:id="31"/>
      </w:r>
    </w:p>
    <w:p w14:paraId="625ABFA7" w14:textId="603DB39E" w:rsidR="003D4DF5" w:rsidRPr="004A22F0" w:rsidRDefault="003D4DF5" w:rsidP="004A22F0">
      <w:pPr>
        <w:rPr>
          <w:sz w:val="24"/>
          <w:szCs w:val="24"/>
        </w:rPr>
      </w:pPr>
      <w:r>
        <w:rPr>
          <w:sz w:val="24"/>
          <w:szCs w:val="24"/>
        </w:rPr>
        <w:t>Knell shows a photo of the Victoria and Albert Museum’s Cast Courts, and example of the avoidance of imperial appropriation; an 1867 convention on reproductions lead to cultural exchange of copies of great works of art for the illumination of scholars and students.</w:t>
      </w:r>
      <w:r w:rsidR="00FE6116">
        <w:rPr>
          <w:rStyle w:val="FootnoteReference"/>
          <w:sz w:val="24"/>
          <w:szCs w:val="24"/>
        </w:rPr>
        <w:footnoteReference w:id="32"/>
      </w:r>
    </w:p>
    <w:p w14:paraId="2A800878" w14:textId="21032F0C" w:rsidR="003D4DF5" w:rsidRPr="004A22F0" w:rsidRDefault="00D82D4D" w:rsidP="004A22F0">
      <w:pPr>
        <w:rPr>
          <w:sz w:val="24"/>
        </w:rPr>
      </w:pPr>
      <w:r w:rsidRPr="004A22F0">
        <w:rPr>
          <w:sz w:val="24"/>
        </w:rPr>
        <w:t>Issues of cultural appropriation remain with the retention of cultural artefacts from former colonies and other countries, and these must be considered within the political context they are inexorably connected to.</w:t>
      </w:r>
    </w:p>
    <w:p w14:paraId="4A29576E" w14:textId="5B3B2F6F" w:rsidR="00D82D4D" w:rsidRPr="004A22F0" w:rsidRDefault="00D82D4D" w:rsidP="004A22F0">
      <w:pPr>
        <w:rPr>
          <w:sz w:val="24"/>
        </w:rPr>
      </w:pPr>
      <w:r w:rsidRPr="004A22F0">
        <w:rPr>
          <w:sz w:val="24"/>
        </w:rPr>
        <w:t xml:space="preserve">Museums as interpreters of history have a key role and responsibility in presenting the history and artefacts of their own and other countries appropriately. </w:t>
      </w:r>
    </w:p>
    <w:p w14:paraId="3DE83B8E" w14:textId="67EEF4AF" w:rsidR="00C845F5" w:rsidRPr="00FF626C" w:rsidRDefault="00C845F5" w:rsidP="00C845F5">
      <w:pPr>
        <w:rPr>
          <w:sz w:val="24"/>
          <w:szCs w:val="24"/>
        </w:rPr>
      </w:pPr>
      <w:r w:rsidRPr="00FF626C">
        <w:rPr>
          <w:sz w:val="24"/>
          <w:szCs w:val="24"/>
        </w:rPr>
        <w:t xml:space="preserve">Keene argues that a 21st century museum should be accountable and responsive to its public, as wells as recognisant of the multiplicity of perceptions held by itself, its visitors and others, and know the necessity of representing the interests and cultures of its varied audiences both in its collections and its communications. This is a consensus, but the strength of this view varies among countries. </w:t>
      </w:r>
      <w:r w:rsidR="0003678A">
        <w:rPr>
          <w:rStyle w:val="FootnoteReference"/>
          <w:sz w:val="24"/>
          <w:szCs w:val="24"/>
        </w:rPr>
        <w:footnoteReference w:id="33"/>
      </w:r>
    </w:p>
    <w:p w14:paraId="0897AD83" w14:textId="77777777" w:rsidR="00C845F5" w:rsidRPr="00C845F5" w:rsidRDefault="00C845F5" w:rsidP="00C845F5"/>
    <w:p w14:paraId="756B0B42" w14:textId="64FE7630" w:rsidR="00C845F5" w:rsidRDefault="00D82D4D" w:rsidP="00C845F5">
      <w:pPr>
        <w:pStyle w:val="Heading3"/>
      </w:pPr>
      <w:r w:rsidRPr="00FF626C">
        <w:t>Th</w:t>
      </w:r>
      <w:r w:rsidR="005A6E09" w:rsidRPr="00FF626C">
        <w:t>e</w:t>
      </w:r>
      <w:r w:rsidRPr="00FF626C">
        <w:t xml:space="preserve"> narrative of a collection presents history in its museum</w:t>
      </w:r>
      <w:r w:rsidR="005A6E09" w:rsidRPr="00FF626C">
        <w:t>’</w:t>
      </w:r>
      <w:r w:rsidRPr="00FF626C">
        <w:t xml:space="preserve">s chosen light, which intrinsically will have </w:t>
      </w:r>
      <w:r w:rsidR="005A6E09" w:rsidRPr="00FF626C">
        <w:t>political</w:t>
      </w:r>
      <w:r w:rsidRPr="00FF626C">
        <w:t xml:space="preserve"> aspects. The </w:t>
      </w:r>
      <w:r w:rsidR="005A6E09" w:rsidRPr="00FF626C">
        <w:t>British Museum does this one way, the L</w:t>
      </w:r>
      <w:r w:rsidRPr="00FF626C">
        <w:t>ouvre another.</w:t>
      </w:r>
    </w:p>
    <w:p w14:paraId="210586D2" w14:textId="7D8C7030" w:rsidR="00C845F5" w:rsidRPr="004A22F0" w:rsidRDefault="001B6274" w:rsidP="00C845F5">
      <w:pPr>
        <w:rPr>
          <w:sz w:val="24"/>
        </w:rPr>
      </w:pPr>
      <w:r w:rsidRPr="001B6274">
        <w:rPr>
          <w:sz w:val="24"/>
        </w:rPr>
        <w:t>Alexander argues that tours, exhibits and events are all ways in which museums communicate a message, shaped by their collecting rationale and choices in display and emphasis.</w:t>
      </w:r>
      <w:r w:rsidR="004A22F0">
        <w:rPr>
          <w:rStyle w:val="FootnoteReference"/>
          <w:sz w:val="24"/>
        </w:rPr>
        <w:footnoteReference w:id="34"/>
      </w:r>
      <w:r w:rsidR="004A22F0">
        <w:rPr>
          <w:sz w:val="24"/>
        </w:rPr>
        <w:t xml:space="preserve"> </w:t>
      </w:r>
      <w:r w:rsidR="00C845F5" w:rsidRPr="00FF626C">
        <w:rPr>
          <w:sz w:val="24"/>
          <w:szCs w:val="24"/>
        </w:rPr>
        <w:t>A museum controls access to and use of the objects on display; this also controls the meaning and associations of the objects to an extent.</w:t>
      </w:r>
      <w:r w:rsidR="0003678A">
        <w:rPr>
          <w:rStyle w:val="FootnoteReference"/>
          <w:sz w:val="24"/>
          <w:szCs w:val="24"/>
        </w:rPr>
        <w:footnoteReference w:id="35"/>
      </w:r>
      <w:r w:rsidR="00C845F5">
        <w:rPr>
          <w:sz w:val="24"/>
          <w:szCs w:val="24"/>
        </w:rPr>
        <w:t xml:space="preserve"> </w:t>
      </w:r>
      <w:r w:rsidR="00C845F5" w:rsidRPr="00C845F5">
        <w:rPr>
          <w:sz w:val="24"/>
          <w:szCs w:val="24"/>
        </w:rPr>
        <w:t xml:space="preserve"> </w:t>
      </w:r>
      <w:r w:rsidR="00C845F5" w:rsidRPr="00FF626C">
        <w:rPr>
          <w:sz w:val="24"/>
          <w:szCs w:val="24"/>
        </w:rPr>
        <w:t>Keene argues that collections cannot escape the perceptions and governmental policies that form their context.</w:t>
      </w:r>
      <w:r w:rsidR="0003678A">
        <w:rPr>
          <w:rStyle w:val="FootnoteReference"/>
          <w:sz w:val="24"/>
          <w:szCs w:val="24"/>
        </w:rPr>
        <w:footnoteReference w:id="36"/>
      </w:r>
      <w:r w:rsidR="00C845F5" w:rsidRPr="00C845F5">
        <w:rPr>
          <w:sz w:val="24"/>
          <w:szCs w:val="24"/>
        </w:rPr>
        <w:t xml:space="preserve"> </w:t>
      </w:r>
      <w:r w:rsidR="00C845F5" w:rsidRPr="00FF626C">
        <w:rPr>
          <w:sz w:val="24"/>
          <w:szCs w:val="24"/>
        </w:rPr>
        <w:t xml:space="preserve">Political circumstances constrain museums, as much as economic </w:t>
      </w:r>
      <w:r w:rsidR="00C845F5">
        <w:rPr>
          <w:sz w:val="24"/>
          <w:szCs w:val="24"/>
        </w:rPr>
        <w:t>and</w:t>
      </w:r>
      <w:r w:rsidR="00C845F5" w:rsidRPr="00FF626C">
        <w:rPr>
          <w:sz w:val="24"/>
          <w:szCs w:val="24"/>
        </w:rPr>
        <w:t xml:space="preserve"> social circumstances do. </w:t>
      </w:r>
      <w:r w:rsidR="00FE6116">
        <w:rPr>
          <w:rStyle w:val="FootnoteReference"/>
          <w:sz w:val="24"/>
          <w:szCs w:val="24"/>
        </w:rPr>
        <w:footnoteReference w:id="37"/>
      </w:r>
    </w:p>
    <w:p w14:paraId="3ABF3882" w14:textId="09884F16" w:rsidR="003D4DF5" w:rsidRDefault="003D4DF5" w:rsidP="003D4DF5">
      <w:pPr>
        <w:rPr>
          <w:sz w:val="24"/>
          <w:szCs w:val="24"/>
        </w:rPr>
      </w:pPr>
      <w:r>
        <w:rPr>
          <w:sz w:val="24"/>
          <w:szCs w:val="24"/>
        </w:rPr>
        <w:t>“Public and professionals alike continue to imagine the museum as neutral, authoritative and trustworthy; an accurate rendition of the world as it ought to be understood” Knell contends that this image is created by the professional actions of a museum. He posits that this allows national museums to aid impressions of nationhood by “providing scenery and staging”, a rare commonality among national museums, whose history and national circumstance render otherwise particular different from each other.</w:t>
      </w:r>
      <w:r w:rsidR="00FE6116">
        <w:rPr>
          <w:rStyle w:val="FootnoteReference"/>
          <w:sz w:val="24"/>
          <w:szCs w:val="24"/>
        </w:rPr>
        <w:footnoteReference w:id="38"/>
      </w:r>
    </w:p>
    <w:p w14:paraId="54E7A6D8" w14:textId="29F67B2C" w:rsidR="003D4DF5" w:rsidRDefault="003D4DF5" w:rsidP="003D4DF5">
      <w:pPr>
        <w:rPr>
          <w:sz w:val="24"/>
          <w:szCs w:val="24"/>
        </w:rPr>
      </w:pPr>
      <w:r>
        <w:rPr>
          <w:sz w:val="24"/>
          <w:szCs w:val="24"/>
        </w:rPr>
        <w:t xml:space="preserve">Knell contends that the primary authority of a museum is a product of its reputation as a place of knowledge of education, rather than any inherent moral authority. He also highlights that such thinking is more associated with the educated classes, primarily the middle class, rather than all people, and the ripple effects of the realisation of this and the propagation of cultural bias and social division by museums are still ongoing. </w:t>
      </w:r>
      <w:r w:rsidR="00FE6116">
        <w:rPr>
          <w:rStyle w:val="FootnoteReference"/>
          <w:sz w:val="24"/>
          <w:szCs w:val="24"/>
        </w:rPr>
        <w:footnoteReference w:id="39"/>
      </w:r>
    </w:p>
    <w:p w14:paraId="658644C5" w14:textId="3E7C23CD" w:rsidR="00C845F5" w:rsidRPr="00FF626C" w:rsidRDefault="004A22F0" w:rsidP="00C845F5">
      <w:pPr>
        <w:rPr>
          <w:sz w:val="24"/>
          <w:szCs w:val="24"/>
        </w:rPr>
      </w:pPr>
      <w:r>
        <w:rPr>
          <w:sz w:val="24"/>
          <w:szCs w:val="24"/>
        </w:rPr>
        <w:t>The L</w:t>
      </w:r>
      <w:r w:rsidR="003D4DF5">
        <w:rPr>
          <w:sz w:val="24"/>
          <w:szCs w:val="24"/>
        </w:rPr>
        <w:t>ouvre</w:t>
      </w:r>
      <w:r>
        <w:rPr>
          <w:sz w:val="24"/>
          <w:szCs w:val="24"/>
        </w:rPr>
        <w:t>’</w:t>
      </w:r>
      <w:r w:rsidR="003D4DF5">
        <w:rPr>
          <w:sz w:val="24"/>
          <w:szCs w:val="24"/>
        </w:rPr>
        <w:t>s early aim to stage exhibitions in such a way as to foster detached thought demonstrates this authority and the ways in which museums can encourage virtue; in this case, the Enlightenment’s cool appreciation of aesthetics.</w:t>
      </w:r>
      <w:r w:rsidR="0003678A">
        <w:rPr>
          <w:rStyle w:val="FootnoteReference"/>
          <w:sz w:val="24"/>
          <w:szCs w:val="24"/>
        </w:rPr>
        <w:footnoteReference w:id="40"/>
      </w:r>
      <w:r w:rsidR="00877713">
        <w:rPr>
          <w:sz w:val="24"/>
          <w:szCs w:val="24"/>
        </w:rPr>
        <w:t xml:space="preserve"> </w:t>
      </w:r>
    </w:p>
    <w:p w14:paraId="26D786E1" w14:textId="1BF327BB" w:rsidR="008D6F49" w:rsidRPr="008D6F49" w:rsidRDefault="008D6F49" w:rsidP="008D6F49"/>
    <w:p w14:paraId="57A160CF" w14:textId="1AD1612C" w:rsidR="00C845F5" w:rsidRPr="00C845F5" w:rsidRDefault="005A6E09" w:rsidP="00C845F5">
      <w:pPr>
        <w:pStyle w:val="Heading3"/>
      </w:pPr>
      <w:r w:rsidRPr="00FF626C">
        <w:t>Museums</w:t>
      </w:r>
      <w:r w:rsidR="00D82D4D" w:rsidRPr="00FF626C">
        <w:t xml:space="preserve">, </w:t>
      </w:r>
      <w:r w:rsidRPr="00FF626C">
        <w:t>especially</w:t>
      </w:r>
      <w:r w:rsidR="00D82D4D" w:rsidRPr="00FF626C">
        <w:t xml:space="preserve"> </w:t>
      </w:r>
      <w:r w:rsidRPr="00FF626C">
        <w:t>state</w:t>
      </w:r>
      <w:r w:rsidR="00D82D4D" w:rsidRPr="00FF626C">
        <w:t xml:space="preserve"> </w:t>
      </w:r>
      <w:r w:rsidRPr="00FF626C">
        <w:t>museums</w:t>
      </w:r>
      <w:r w:rsidR="00D82D4D" w:rsidRPr="00FF626C">
        <w:t xml:space="preserve">, have inherent political </w:t>
      </w:r>
      <w:r w:rsidRPr="00FF626C">
        <w:t>aspects</w:t>
      </w:r>
      <w:r w:rsidR="00D82D4D" w:rsidRPr="00FF626C">
        <w:t xml:space="preserve"> which in modern </w:t>
      </w:r>
      <w:r w:rsidRPr="00FF626C">
        <w:t>times</w:t>
      </w:r>
      <w:r w:rsidR="00D82D4D" w:rsidRPr="00FF626C">
        <w:t xml:space="preserve"> </w:t>
      </w:r>
      <w:r w:rsidRPr="00FF626C">
        <w:t>tend</w:t>
      </w:r>
      <w:r w:rsidR="00D82D4D" w:rsidRPr="00FF626C">
        <w:t xml:space="preserve"> </w:t>
      </w:r>
      <w:r w:rsidRPr="00FF626C">
        <w:t>toward</w:t>
      </w:r>
      <w:r w:rsidR="00D82D4D" w:rsidRPr="00FF626C">
        <w:t xml:space="preserve"> presenting </w:t>
      </w:r>
      <w:r w:rsidRPr="00FF626C">
        <w:t>their</w:t>
      </w:r>
      <w:r w:rsidR="00D82D4D" w:rsidRPr="00FF626C">
        <w:t xml:space="preserve"> </w:t>
      </w:r>
      <w:r w:rsidRPr="00FF626C">
        <w:t>countries</w:t>
      </w:r>
      <w:r w:rsidR="00D82D4D" w:rsidRPr="00FF626C">
        <w:t xml:space="preserve"> as </w:t>
      </w:r>
      <w:r w:rsidRPr="00FF626C">
        <w:t>enlightened</w:t>
      </w:r>
      <w:r w:rsidR="00D82D4D" w:rsidRPr="00FF626C">
        <w:t xml:space="preserve">, </w:t>
      </w:r>
      <w:r w:rsidRPr="00FF626C">
        <w:t>educated</w:t>
      </w:r>
      <w:r w:rsidR="00D82D4D" w:rsidRPr="00FF626C">
        <w:t xml:space="preserve">, </w:t>
      </w:r>
      <w:r w:rsidRPr="00FF626C">
        <w:t>modern</w:t>
      </w:r>
      <w:r w:rsidR="00D82D4D" w:rsidRPr="00FF626C">
        <w:t xml:space="preserve"> and inclusive.</w:t>
      </w:r>
    </w:p>
    <w:p w14:paraId="762C5889" w14:textId="4F6894D4" w:rsidR="00B44B2A" w:rsidRPr="00FF626C" w:rsidRDefault="00C845F5" w:rsidP="00C845F5">
      <w:pPr>
        <w:rPr>
          <w:sz w:val="24"/>
          <w:szCs w:val="24"/>
        </w:rPr>
      </w:pPr>
      <w:r w:rsidRPr="00FF626C">
        <w:rPr>
          <w:sz w:val="24"/>
          <w:szCs w:val="24"/>
        </w:rPr>
        <w:t>Per Suzanne Keene's book on the uses of museum collections, a 2004 report by the UK government identified increased cultural understanding, respect and tolerance for others, satisfaction and fulfilment from achievement, desire for future experiences and positive attitudes to experience as a benefit of museums. Keene notes that economic rather than cultural values have dominated policy on</w:t>
      </w:r>
      <w:r>
        <w:rPr>
          <w:sz w:val="24"/>
          <w:szCs w:val="24"/>
        </w:rPr>
        <w:t xml:space="preserve"> museums until recently. </w:t>
      </w:r>
      <w:r w:rsidRPr="00FF626C">
        <w:rPr>
          <w:sz w:val="24"/>
          <w:szCs w:val="24"/>
        </w:rPr>
        <w:t>This comes from the post-war and nineteenth century view that culture’s educational and aspirational value rendered it an economic good. From the mid-1980s, culture's importance came from its contribution to the regeneration of places and economies, and diversification of industries in the 21st century, cultural institutions assist people to understand a rapidly changing world, providing a frame of reference contextualising past, present and future. The increasing availability of information and increasing tourism means that culture is a central part of social policy and a</w:t>
      </w:r>
      <w:r w:rsidR="0003678A">
        <w:rPr>
          <w:sz w:val="24"/>
          <w:szCs w:val="24"/>
        </w:rPr>
        <w:t>ll aspects of government.</w:t>
      </w:r>
      <w:r w:rsidR="0003678A">
        <w:rPr>
          <w:rStyle w:val="FootnoteReference"/>
          <w:sz w:val="24"/>
          <w:szCs w:val="24"/>
        </w:rPr>
        <w:footnoteReference w:id="41"/>
      </w:r>
    </w:p>
    <w:p w14:paraId="12552088" w14:textId="1AA457C7" w:rsidR="00A86969" w:rsidRPr="00FF626C" w:rsidRDefault="00C845F5" w:rsidP="00FF626C">
      <w:pPr>
        <w:rPr>
          <w:sz w:val="24"/>
          <w:szCs w:val="24"/>
        </w:rPr>
      </w:pPr>
      <w:r w:rsidRPr="00FF626C">
        <w:rPr>
          <w:sz w:val="24"/>
          <w:szCs w:val="24"/>
        </w:rPr>
        <w:t>The values of collections are related to culture and to identity, but hard to satisfactorily define, according to Keene. Museums, in a more concrete and economic sense, bring measurable benefits in area regeneration, education, skills, quality of life and cultural tourism. I would add that the concrete connection to the history of both visitor and country has political benefits in assisting the one to identify and claim the other.</w:t>
      </w:r>
      <w:r w:rsidR="0003678A">
        <w:rPr>
          <w:rStyle w:val="FootnoteReference"/>
          <w:sz w:val="24"/>
          <w:szCs w:val="24"/>
        </w:rPr>
        <w:footnoteReference w:id="42"/>
      </w:r>
    </w:p>
    <w:p w14:paraId="2E8E5190" w14:textId="3B763FB9" w:rsidR="00A86969" w:rsidRDefault="004A22F0" w:rsidP="00083274">
      <w:pPr>
        <w:pStyle w:val="Heading1"/>
      </w:pPr>
      <w:r>
        <w:t>C</w:t>
      </w:r>
      <w:r w:rsidR="00A86969" w:rsidRPr="00FF626C">
        <w:t xml:space="preserve">onclusion </w:t>
      </w:r>
    </w:p>
    <w:p w14:paraId="4277644A" w14:textId="1969A788" w:rsidR="00877713" w:rsidRPr="00877713" w:rsidRDefault="00877713" w:rsidP="008F2D7C">
      <w:pPr>
        <w:tabs>
          <w:tab w:val="left" w:pos="7133"/>
        </w:tabs>
      </w:pPr>
      <w:r>
        <w:t>This study has discussed the</w:t>
      </w:r>
      <w:r w:rsidR="008F2D7C">
        <w:t xml:space="preserve"> historical development of both the</w:t>
      </w:r>
      <w:r>
        <w:t xml:space="preserve"> British Museum and the Louvre as part of the</w:t>
      </w:r>
      <w:r w:rsidR="008F2D7C">
        <w:t xml:space="preserve"> exploration of the status of public museums as emblems of politically virtuous nation states. Both of these museums are prominent in the history of the development of public museums, but have vastly different national contexts and origins. They do not, of course, encompass or stand for all possible types of public museum, but they are suitably different as to provide an interesting contrast to discuss.</w:t>
      </w:r>
    </w:p>
    <w:p w14:paraId="3D964985" w14:textId="23D20A6D" w:rsidR="004A22F0" w:rsidRPr="004A22F0" w:rsidRDefault="004A22F0" w:rsidP="004A22F0">
      <w:r w:rsidRPr="004A22F0">
        <w:t>From the first emergence of public museums, they have always been emblems of politically virtuous nation states.  This is evident in the Louvre's first opening, an almost purely political demonstration, and in the complex interactions of the British Museum with its imperial heritage and viewpoint. Museums since then have been used for political purposes, shaping virtue in their visitors for political and cultural reasons, and to see them without that context is to see them absent a huge part of their history. The political aspect of museums is not always governmental; often it is in political perceptions carried by their collections, by their collecting strategies, and by the perceptions and values of their visitors. To have a museum without politics is as absurd as to have a museum without traces of the creators of the objects on display. Collections have a narrative, both inherent and shaped by display; this is political, and it is the responsibility of a museum to treat that power carefully and knowledgably, keeping accountability for their messages and actions. The messages of material objects are connected to their nation, to their museum and to the political circumstances of present and past.</w:t>
      </w:r>
    </w:p>
    <w:p w14:paraId="0659B998" w14:textId="456EBD1A" w:rsidR="00906D48" w:rsidRDefault="00906D48" w:rsidP="00906D48">
      <w:pPr>
        <w:pStyle w:val="Heading1"/>
      </w:pPr>
      <w:r>
        <w:t>Bibliography</w:t>
      </w:r>
      <w:r w:rsidR="00601CB8">
        <w:t xml:space="preserve"> and References</w:t>
      </w:r>
    </w:p>
    <w:p w14:paraId="4F2B56D0" w14:textId="20CA962C" w:rsidR="00906D48" w:rsidRPr="00906D48" w:rsidRDefault="00906D48" w:rsidP="00906D48">
      <w:r>
        <w:rPr>
          <w:rStyle w:val="EndnoteReference"/>
        </w:rPr>
        <w:endnoteReference w:id="1"/>
      </w:r>
      <w:bookmarkStart w:id="0" w:name="_GoBack"/>
      <w:bookmarkEnd w:id="0"/>
    </w:p>
    <w:sectPr w:rsidR="00906D48" w:rsidRPr="00906D48">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8D031" w14:textId="77777777" w:rsidR="009D0785" w:rsidRDefault="009D0785" w:rsidP="00323EE3">
      <w:pPr>
        <w:spacing w:after="0" w:line="240" w:lineRule="auto"/>
      </w:pPr>
      <w:r>
        <w:separator/>
      </w:r>
    </w:p>
  </w:endnote>
  <w:endnote w:type="continuationSeparator" w:id="0">
    <w:p w14:paraId="43FB08DD" w14:textId="77777777" w:rsidR="009D0785" w:rsidRDefault="009D0785" w:rsidP="00323EE3">
      <w:pPr>
        <w:spacing w:after="0" w:line="240" w:lineRule="auto"/>
      </w:pPr>
      <w:r>
        <w:continuationSeparator/>
      </w:r>
    </w:p>
  </w:endnote>
  <w:endnote w:id="1">
    <w:p w14:paraId="0971AD49" w14:textId="7EFCE915" w:rsidR="0024448D" w:rsidRDefault="0024448D" w:rsidP="00906D48">
      <w:pPr>
        <w:pStyle w:val="CommentText"/>
      </w:pPr>
    </w:p>
    <w:p w14:paraId="32EDAD48" w14:textId="77777777" w:rsidR="0016389E" w:rsidRDefault="0016389E" w:rsidP="0016389E">
      <w:pPr>
        <w:pStyle w:val="CommentText"/>
      </w:pPr>
      <w:r>
        <w:t>Alexander, E.P., Alexander, M. and Decker, J. (2017) Museums in Motion: An Introduction to the History and Functions of Museums. Rowman &amp; Littlefield.</w:t>
      </w:r>
    </w:p>
    <w:p w14:paraId="631D77F9" w14:textId="77777777" w:rsidR="0016389E" w:rsidRDefault="0016389E" w:rsidP="0016389E">
      <w:pPr>
        <w:pStyle w:val="CommentText"/>
      </w:pPr>
      <w:r>
        <w:t>Bennett, T. (2013) The Birth of the Museum: History, Theory, Politics. Routledge.</w:t>
      </w:r>
    </w:p>
    <w:p w14:paraId="5F36FF07" w14:textId="1C11161A" w:rsidR="0016389E" w:rsidRDefault="0003678A" w:rsidP="0016389E">
      <w:r>
        <w:t xml:space="preserve">British Museum. (2018a) </w:t>
      </w:r>
      <w:r w:rsidR="0016389E">
        <w:t>British Museum - General history. Available from : http://www.britishmuseum.org/about_us/the_museums_story/general_history.aspx [Accessed 08/05/18a].</w:t>
      </w:r>
    </w:p>
    <w:p w14:paraId="5BE29179" w14:textId="3341F7E3" w:rsidR="0016389E" w:rsidRDefault="0003678A" w:rsidP="0016389E">
      <w:r>
        <w:t>British Museum. (2018</w:t>
      </w:r>
      <w:r>
        <w:t>b</w:t>
      </w:r>
      <w:r>
        <w:t xml:space="preserve">) </w:t>
      </w:r>
      <w:r w:rsidR="0016389E">
        <w:t>British Museum - History of the collection. Available from : http://www.britishmuseum.org/about_us/the_museums_story/the_collection.aspx [Accessed 08/05/18b].</w:t>
      </w:r>
    </w:p>
    <w:p w14:paraId="1DF3B84F" w14:textId="54FA1C5E" w:rsidR="0016389E" w:rsidRDefault="0003678A" w:rsidP="0016389E">
      <w:r>
        <w:t>British Museum. (2018</w:t>
      </w:r>
      <w:r>
        <w:t xml:space="preserve">c) </w:t>
      </w:r>
      <w:r w:rsidR="0016389E">
        <w:t>British Museum - Sir Hans Sloane. Available from : http://www.britishmuseum.org/about_us/the_museums_story/general_history/sir_hans_sloane.aspx [Accessed 08/05/18c].</w:t>
      </w:r>
    </w:p>
    <w:p w14:paraId="190BFFF5" w14:textId="1EDE4F8D" w:rsidR="0003678A" w:rsidRDefault="0003678A" w:rsidP="0003678A">
      <w:pPr>
        <w:pStyle w:val="CommentText"/>
      </w:pPr>
      <w:r>
        <w:t>Duncan</w:t>
      </w:r>
      <w:r>
        <w:t xml:space="preserve">, C. </w:t>
      </w:r>
      <w:r>
        <w:t xml:space="preserve"> </w:t>
      </w:r>
      <w:r>
        <w:t xml:space="preserve">(2013) </w:t>
      </w:r>
      <w:r>
        <w:t>Ritual in the Louvre Museum</w:t>
      </w:r>
      <w:r>
        <w:t xml:space="preserve">. In: </w:t>
      </w:r>
      <w:r>
        <w:t>Tsang, R. and Woods, E.T. (2013) The Cultural Politics of Nationalism and Nation-Building: Ritual and Performance in the</w:t>
      </w:r>
      <w:r>
        <w:t xml:space="preserve"> Forging of Nations. Routledge.</w:t>
      </w:r>
    </w:p>
    <w:p w14:paraId="15FDD199" w14:textId="4786CA4E" w:rsidR="0003678A" w:rsidRDefault="0003678A" w:rsidP="0003678A">
      <w:pPr>
        <w:pStyle w:val="CommentText"/>
      </w:pPr>
      <w:r>
        <w:t>Encyclopedia Britannica (2018) Louvre Museum | Facts, History, Collections, &amp; Pyramid. [Online] Encyclopedia Britannica. Available from : https://www.britannica.com/topic/Louvre-Museum [Accessed 2</w:t>
      </w:r>
      <w:r>
        <w:t>0/02/18e].</w:t>
      </w:r>
    </w:p>
    <w:p w14:paraId="7C907CF8" w14:textId="12D16138" w:rsidR="0016389E" w:rsidRDefault="0016389E" w:rsidP="0016389E">
      <w:pPr>
        <w:pStyle w:val="CommentText"/>
      </w:pPr>
      <w:r>
        <w:t>Hooper-Greenhill</w:t>
      </w:r>
      <w:r>
        <w:t>, E.</w:t>
      </w:r>
      <w:r>
        <w:t xml:space="preserve"> (1992) Museums and the shaping of knowledge. London: Routledge.</w:t>
      </w:r>
    </w:p>
    <w:p w14:paraId="30225FFF" w14:textId="77777777" w:rsidR="0016389E" w:rsidRDefault="0016389E" w:rsidP="0016389E">
      <w:pPr>
        <w:pStyle w:val="CommentText"/>
      </w:pPr>
      <w:r>
        <w:t>Karp, I. (2012) Exhibiting Cultures: The Poetics and Politics of Museum Display. Smithsonian Institution.</w:t>
      </w:r>
    </w:p>
    <w:p w14:paraId="17DB0B15" w14:textId="77777777" w:rsidR="0003678A" w:rsidRDefault="0003678A" w:rsidP="0003678A">
      <w:r>
        <w:t>Keene, S. (2005) Fragments of the world: uses of museum collections. Amsterdam ; London: Elsevier Butterworth-Heinemann.</w:t>
      </w:r>
    </w:p>
    <w:p w14:paraId="31C98A8F" w14:textId="77777777" w:rsidR="0016389E" w:rsidRDefault="0016389E" w:rsidP="0016389E">
      <w:pPr>
        <w:pStyle w:val="CommentText"/>
      </w:pPr>
      <w:r>
        <w:t>Knell, S.J. (2011) National museums: new studies from around the world. London: Routledge.</w:t>
      </w:r>
    </w:p>
    <w:p w14:paraId="351F6E8B" w14:textId="77777777" w:rsidR="0003678A" w:rsidRDefault="0003678A" w:rsidP="0003678A">
      <w:pPr>
        <w:pStyle w:val="CommentText"/>
      </w:pPr>
      <w:r>
        <w:t>Louvre. (2018a). Site officiel du musée du Louvre. Available from: https://www.louvre.fr/ [Accessed 20/02/18h].</w:t>
      </w:r>
    </w:p>
    <w:p w14:paraId="11E09953" w14:textId="77777777" w:rsidR="0003678A" w:rsidRDefault="0003678A" w:rsidP="0003678A">
      <w:pPr>
        <w:pStyle w:val="CommentText"/>
      </w:pPr>
      <w:r>
        <w:t>Louvre. (2018b). History of the Louvre | Louvre Museum | Paris. (2016) Available from : https://www.louvre.fr/en/histoirelouvres/history-louvre [Accessed 20/02/18].</w:t>
      </w:r>
    </w:p>
    <w:p w14:paraId="7066BBEC" w14:textId="77777777" w:rsidR="0003678A" w:rsidRDefault="0003678A" w:rsidP="0003678A">
      <w:pPr>
        <w:pStyle w:val="CommentText"/>
      </w:pPr>
      <w:r>
        <w:t>Louvre. (2018c). History of the Louvre | Louvre Museum | Paris. Available from : https://www.louvre.fr/en/histoirelouvres/history-louvre/periode-2 [Accessed 20/02/18a].</w:t>
      </w:r>
    </w:p>
    <w:p w14:paraId="30444479" w14:textId="6B75DD32" w:rsidR="0003678A" w:rsidRDefault="0003678A" w:rsidP="0003678A">
      <w:pPr>
        <w:pStyle w:val="CommentText"/>
      </w:pPr>
      <w:r>
        <w:t>Louvre. (2018d). History of the Louvre | Louvre Museum | Paris. Available from : https://www.louvre.fr/en/histoirelouvres/</w:t>
      </w:r>
      <w:r w:rsidR="00FE6116">
        <w:t>history-louvre/periode-3</w:t>
      </w:r>
      <w:r>
        <w:t>#tabs [Accessed 29/04/18b].</w:t>
      </w:r>
    </w:p>
    <w:p w14:paraId="4603939F" w14:textId="6EFF7C38" w:rsidR="0003678A" w:rsidRDefault="0003678A" w:rsidP="0003678A">
      <w:pPr>
        <w:pStyle w:val="CommentText"/>
      </w:pPr>
      <w:r>
        <w:t>Louvre. (2018e). History of the Louvre | Louvre Museum | Paris. Available from : https://www.louvre.fr/en/histoire</w:t>
      </w:r>
      <w:r w:rsidR="00FE6116">
        <w:t>louvres/history-louvre/periode-4</w:t>
      </w:r>
      <w:r>
        <w:t>#tabs [Accessed 29/04/18c].</w:t>
      </w:r>
    </w:p>
    <w:p w14:paraId="12432769" w14:textId="77777777" w:rsidR="0003678A" w:rsidRDefault="0003678A" w:rsidP="0003678A">
      <w:pPr>
        <w:pStyle w:val="CommentText"/>
      </w:pPr>
      <w:r>
        <w:t>Louvre. (2018f). History of the Louvre | Louvre Museum | Paris. Available from : https://www.louvre.fr/en/histoirelouvres/history-louvre/periode-5#tabs [Accessed 29/04/18d].</w:t>
      </w:r>
    </w:p>
    <w:p w14:paraId="67B7AE63" w14:textId="74A77658" w:rsidR="0016389E" w:rsidRDefault="0016389E" w:rsidP="0016389E">
      <w:pPr>
        <w:pStyle w:val="CommentText"/>
      </w:pPr>
      <w:r>
        <w:t>Macdonald, S. (2010) A Companion to Museum Studies. John Wiley &amp; Sons.</w:t>
      </w:r>
    </w:p>
    <w:p w14:paraId="0CA9FB16" w14:textId="77777777" w:rsidR="0016389E" w:rsidRDefault="0016389E" w:rsidP="0016389E">
      <w:pPr>
        <w:pStyle w:val="CommentText"/>
      </w:pPr>
      <w:r>
        <w:t>Macdonald, S. (1997) Politics of Display: Museums, Science, Culture. London: Routledge.</w:t>
      </w:r>
    </w:p>
    <w:p w14:paraId="70123CC7" w14:textId="77777777" w:rsidR="0016389E" w:rsidRDefault="0016389E" w:rsidP="0016389E">
      <w:pPr>
        <w:pStyle w:val="CommentText"/>
      </w:pPr>
      <w:r>
        <w:t>McClellan, A. (1994) Inventing the Louvre: Art, Politics, and the Origins of the Modern Museum in Eighteenth-Century Paris. University of California Press.</w:t>
      </w:r>
    </w:p>
    <w:p w14:paraId="0A7AA24A" w14:textId="3CF9B1C3" w:rsidR="0016389E" w:rsidRDefault="0016389E" w:rsidP="0016389E">
      <w:pPr>
        <w:pStyle w:val="CommentText"/>
      </w:pPr>
      <w:r>
        <w:t>Tsang, R. and Woods, E.T. (2013) The Cultural Politics of Nationalism and Nation-Building: Ritual and Performance in the Forging of Nations. Routledge.</w:t>
      </w:r>
    </w:p>
    <w:p w14:paraId="56A58735" w14:textId="0DFAB36B" w:rsidR="0024448D" w:rsidRDefault="0016389E" w:rsidP="0016389E">
      <w:pPr>
        <w:pStyle w:val="CommentText"/>
      </w:pPr>
      <w:r>
        <w:t>Wilson, D.M. (1989) The British Museum: purpose and politics. British Museum Publications.</w:t>
      </w:r>
    </w:p>
    <w:p w14:paraId="4CCFF60E" w14:textId="55DAAD17" w:rsidR="004A22F0" w:rsidRDefault="004A22F0" w:rsidP="004A22F0">
      <w:pPr>
        <w:pStyle w:val="CommentText"/>
      </w:pPr>
      <w:r>
        <w:t>Wingfield, C. (</w:t>
      </w:r>
      <w:r>
        <w:t xml:space="preserve">2011) </w:t>
      </w:r>
      <w:r>
        <w:t xml:space="preserve">Placing Britain in the British Museum. In: </w:t>
      </w:r>
      <w:r>
        <w:t>Knell, S.J. (2011) National museums: new studies from around the world. London: Routledge.</w:t>
      </w:r>
    </w:p>
    <w:p w14:paraId="65C1DB52" w14:textId="039BCA64" w:rsidR="004A22F0" w:rsidRDefault="004A22F0" w:rsidP="0016389E">
      <w:pPr>
        <w:pStyle w:val="CommentText"/>
      </w:pPr>
    </w:p>
    <w:p w14:paraId="225267EA" w14:textId="77777777" w:rsidR="0024448D" w:rsidRDefault="0024448D" w:rsidP="00906D48"/>
    <w:p w14:paraId="6B291EC4" w14:textId="77777777" w:rsidR="0024448D" w:rsidRDefault="0024448D" w:rsidP="00906D48"/>
    <w:p w14:paraId="7F91A2BB" w14:textId="77777777" w:rsidR="0024448D" w:rsidRDefault="0024448D" w:rsidP="00906D48">
      <w:pPr>
        <w:pStyle w:val="CommentText"/>
      </w:pPr>
    </w:p>
    <w:p w14:paraId="657A89D5" w14:textId="77777777" w:rsidR="0024448D" w:rsidRDefault="0024448D" w:rsidP="00906D48">
      <w:pPr>
        <w:pStyle w:val="CommentText"/>
      </w:pPr>
    </w:p>
    <w:p w14:paraId="16EFD348" w14:textId="6E5A807E" w:rsidR="0024448D" w:rsidRDefault="0024448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1810827"/>
      <w:docPartObj>
        <w:docPartGallery w:val="Page Numbers (Bottom of Page)"/>
        <w:docPartUnique/>
      </w:docPartObj>
    </w:sdtPr>
    <w:sdtEndPr>
      <w:rPr>
        <w:noProof/>
      </w:rPr>
    </w:sdtEndPr>
    <w:sdtContent>
      <w:p w14:paraId="2F9735EA" w14:textId="7A3B8E42" w:rsidR="00601CB8" w:rsidRDefault="00601CB8">
        <w:pPr>
          <w:pStyle w:val="Footer"/>
          <w:jc w:val="right"/>
        </w:pPr>
        <w:r>
          <w:fldChar w:fldCharType="begin"/>
        </w:r>
        <w:r>
          <w:instrText xml:space="preserve"> PAGE   \* MERGEFORMAT </w:instrText>
        </w:r>
        <w:r>
          <w:fldChar w:fldCharType="separate"/>
        </w:r>
        <w:r w:rsidR="00D7299F">
          <w:rPr>
            <w:noProof/>
          </w:rPr>
          <w:t>9</w:t>
        </w:r>
        <w:r>
          <w:rPr>
            <w:noProof/>
          </w:rPr>
          <w:fldChar w:fldCharType="end"/>
        </w:r>
      </w:p>
    </w:sdtContent>
  </w:sdt>
  <w:p w14:paraId="404E68E4" w14:textId="77777777" w:rsidR="001F3ABE" w:rsidRDefault="001F3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8D05F" w14:textId="77777777" w:rsidR="009D0785" w:rsidRDefault="009D0785" w:rsidP="00323EE3">
      <w:pPr>
        <w:spacing w:after="0" w:line="240" w:lineRule="auto"/>
      </w:pPr>
      <w:r>
        <w:separator/>
      </w:r>
    </w:p>
  </w:footnote>
  <w:footnote w:type="continuationSeparator" w:id="0">
    <w:p w14:paraId="58CF6DB2" w14:textId="77777777" w:rsidR="009D0785" w:rsidRDefault="009D0785" w:rsidP="00323EE3">
      <w:pPr>
        <w:spacing w:after="0" w:line="240" w:lineRule="auto"/>
      </w:pPr>
      <w:r>
        <w:continuationSeparator/>
      </w:r>
    </w:p>
  </w:footnote>
  <w:footnote w:id="1">
    <w:p w14:paraId="69D11026" w14:textId="5C54EB8C" w:rsidR="00FE6116" w:rsidRDefault="00FE6116">
      <w:pPr>
        <w:pStyle w:val="FootnoteText"/>
      </w:pPr>
      <w:r>
        <w:rPr>
          <w:rStyle w:val="FootnoteReference"/>
        </w:rPr>
        <w:footnoteRef/>
      </w:r>
      <w:r>
        <w:t xml:space="preserve"> </w:t>
      </w:r>
      <w:r>
        <w:t>Duncan</w:t>
      </w:r>
      <w:r>
        <w:t xml:space="preserve"> </w:t>
      </w:r>
      <w:r>
        <w:t>(2013)</w:t>
      </w:r>
      <w:r>
        <w:t xml:space="preserve"> 88</w:t>
      </w:r>
    </w:p>
  </w:footnote>
  <w:footnote w:id="2">
    <w:p w14:paraId="12B953C4" w14:textId="262E8581" w:rsidR="00FE6116" w:rsidRDefault="00FE6116">
      <w:pPr>
        <w:pStyle w:val="FootnoteText"/>
      </w:pPr>
      <w:r>
        <w:rPr>
          <w:rStyle w:val="FootnoteReference"/>
        </w:rPr>
        <w:footnoteRef/>
      </w:r>
      <w:r>
        <w:t xml:space="preserve"> </w:t>
      </w:r>
      <w:r>
        <w:t>Louvre. (2018d).</w:t>
      </w:r>
    </w:p>
  </w:footnote>
  <w:footnote w:id="3">
    <w:p w14:paraId="4730C0F6" w14:textId="4B5306BD" w:rsidR="004A22F0" w:rsidRDefault="004A22F0">
      <w:pPr>
        <w:pStyle w:val="FootnoteText"/>
      </w:pPr>
      <w:r>
        <w:rPr>
          <w:rStyle w:val="FootnoteReference"/>
        </w:rPr>
        <w:footnoteRef/>
      </w:r>
      <w:r>
        <w:t xml:space="preserve"> </w:t>
      </w:r>
      <w:r>
        <w:t>Alexander, E.P., Alexander, M. and Decker, J. (2017)</w:t>
      </w:r>
      <w:r>
        <w:t xml:space="preserve"> 5-6</w:t>
      </w:r>
    </w:p>
  </w:footnote>
  <w:footnote w:id="4">
    <w:p w14:paraId="3887BA94" w14:textId="3ED449F4" w:rsidR="00FE6116" w:rsidRDefault="00FE6116">
      <w:pPr>
        <w:pStyle w:val="FootnoteText"/>
      </w:pPr>
      <w:r>
        <w:rPr>
          <w:rStyle w:val="FootnoteReference"/>
        </w:rPr>
        <w:footnoteRef/>
      </w:r>
      <w:r>
        <w:t xml:space="preserve"> </w:t>
      </w:r>
      <w:r>
        <w:t>Duncan (2013)</w:t>
      </w:r>
      <w:r>
        <w:t xml:space="preserve"> 89-90</w:t>
      </w:r>
    </w:p>
  </w:footnote>
  <w:footnote w:id="5">
    <w:p w14:paraId="5DF4BB10" w14:textId="5D342A2B" w:rsidR="004A22F0" w:rsidRDefault="004A22F0">
      <w:pPr>
        <w:pStyle w:val="FootnoteText"/>
      </w:pPr>
      <w:r>
        <w:rPr>
          <w:rStyle w:val="FootnoteReference"/>
        </w:rPr>
        <w:footnoteRef/>
      </w:r>
      <w:r>
        <w:t xml:space="preserve"> Macdonald</w:t>
      </w:r>
      <w:r>
        <w:t>. (1997)</w:t>
      </w:r>
      <w:r>
        <w:t xml:space="preserve"> 11-12</w:t>
      </w:r>
    </w:p>
  </w:footnote>
  <w:footnote w:id="6">
    <w:p w14:paraId="041EE13F" w14:textId="4F9D8A33" w:rsidR="00FE6116" w:rsidRDefault="00FE6116">
      <w:pPr>
        <w:pStyle w:val="FootnoteText"/>
      </w:pPr>
      <w:r>
        <w:rPr>
          <w:rStyle w:val="FootnoteReference"/>
        </w:rPr>
        <w:footnoteRef/>
      </w:r>
      <w:r>
        <w:t xml:space="preserve"> Knell, 2011. 6</w:t>
      </w:r>
    </w:p>
  </w:footnote>
  <w:footnote w:id="7">
    <w:p w14:paraId="4768FE91" w14:textId="315B13AC" w:rsidR="00FE6116" w:rsidRDefault="00FE6116">
      <w:pPr>
        <w:pStyle w:val="FootnoteText"/>
      </w:pPr>
      <w:r>
        <w:rPr>
          <w:rStyle w:val="FootnoteReference"/>
        </w:rPr>
        <w:footnoteRef/>
      </w:r>
      <w:r>
        <w:t xml:space="preserve"> </w:t>
      </w:r>
      <w:r>
        <w:t>Knell, 2011</w:t>
      </w:r>
      <w:r>
        <w:t>. 8</w:t>
      </w:r>
    </w:p>
  </w:footnote>
  <w:footnote w:id="8">
    <w:p w14:paraId="5DEEB262" w14:textId="7FE0F859" w:rsidR="00FE6116" w:rsidRDefault="00FE6116">
      <w:pPr>
        <w:pStyle w:val="FootnoteText"/>
      </w:pPr>
      <w:r>
        <w:rPr>
          <w:rStyle w:val="FootnoteReference"/>
        </w:rPr>
        <w:footnoteRef/>
      </w:r>
      <w:r>
        <w:t xml:space="preserve"> </w:t>
      </w:r>
      <w:r>
        <w:t>Knell, 2011</w:t>
      </w:r>
      <w:r>
        <w:t>. 11</w:t>
      </w:r>
    </w:p>
  </w:footnote>
  <w:footnote w:id="9">
    <w:p w14:paraId="41F99FAA" w14:textId="4183FF2B" w:rsidR="00FE6116" w:rsidRDefault="00FE6116">
      <w:pPr>
        <w:pStyle w:val="FootnoteText"/>
      </w:pPr>
      <w:r>
        <w:rPr>
          <w:rStyle w:val="FootnoteReference"/>
        </w:rPr>
        <w:footnoteRef/>
      </w:r>
      <w:r>
        <w:t xml:space="preserve"> </w:t>
      </w:r>
      <w:r>
        <w:t>Knell, 2011</w:t>
      </w:r>
      <w:r>
        <w:t>. 21-22</w:t>
      </w:r>
    </w:p>
  </w:footnote>
  <w:footnote w:id="10">
    <w:p w14:paraId="61D57F3D" w14:textId="18A45D0D" w:rsidR="00FE6116" w:rsidRDefault="00FE6116">
      <w:pPr>
        <w:pStyle w:val="FootnoteText"/>
      </w:pPr>
      <w:r>
        <w:rPr>
          <w:rStyle w:val="FootnoteReference"/>
        </w:rPr>
        <w:footnoteRef/>
      </w:r>
      <w:r>
        <w:t xml:space="preserve"> </w:t>
      </w:r>
      <w:r>
        <w:t>Knell, 2011</w:t>
      </w:r>
      <w:r>
        <w:t>. 24</w:t>
      </w:r>
    </w:p>
  </w:footnote>
  <w:footnote w:id="11">
    <w:p w14:paraId="32281909" w14:textId="0221B063" w:rsidR="00FE6116" w:rsidRDefault="00FE6116">
      <w:pPr>
        <w:pStyle w:val="FootnoteText"/>
      </w:pPr>
      <w:r>
        <w:rPr>
          <w:rStyle w:val="FootnoteReference"/>
        </w:rPr>
        <w:footnoteRef/>
      </w:r>
      <w:r>
        <w:t xml:space="preserve"> </w:t>
      </w:r>
      <w:r>
        <w:t>Knell, 2011</w:t>
      </w:r>
      <w:r>
        <w:t>. 27</w:t>
      </w:r>
    </w:p>
  </w:footnote>
  <w:footnote w:id="12">
    <w:p w14:paraId="63F7AB52" w14:textId="7DD803AB" w:rsidR="00FE6116" w:rsidRDefault="00FE6116">
      <w:pPr>
        <w:pStyle w:val="FootnoteText"/>
      </w:pPr>
      <w:r>
        <w:rPr>
          <w:rStyle w:val="FootnoteReference"/>
        </w:rPr>
        <w:footnoteRef/>
      </w:r>
      <w:r>
        <w:t xml:space="preserve"> </w:t>
      </w:r>
      <w:r>
        <w:t>Knell, 2011</w:t>
      </w:r>
      <w:r>
        <w:t>. 26</w:t>
      </w:r>
    </w:p>
  </w:footnote>
  <w:footnote w:id="13">
    <w:p w14:paraId="1331140B" w14:textId="29507C91" w:rsidR="004A22F0" w:rsidRDefault="004A22F0">
      <w:pPr>
        <w:pStyle w:val="FootnoteText"/>
      </w:pPr>
      <w:r>
        <w:rPr>
          <w:rStyle w:val="FootnoteReference"/>
        </w:rPr>
        <w:footnoteRef/>
      </w:r>
      <w:r>
        <w:t xml:space="preserve"> </w:t>
      </w:r>
      <w:r>
        <w:t>British Museum. (2018a)</w:t>
      </w:r>
    </w:p>
  </w:footnote>
  <w:footnote w:id="14">
    <w:p w14:paraId="79487D02" w14:textId="7E285584" w:rsidR="004A22F0" w:rsidRDefault="004A22F0">
      <w:pPr>
        <w:pStyle w:val="FootnoteText"/>
      </w:pPr>
      <w:r>
        <w:rPr>
          <w:rStyle w:val="FootnoteReference"/>
        </w:rPr>
        <w:footnoteRef/>
      </w:r>
      <w:r>
        <w:t xml:space="preserve"> </w:t>
      </w:r>
      <w:r>
        <w:t>British Museum. (2018a)</w:t>
      </w:r>
    </w:p>
  </w:footnote>
  <w:footnote w:id="15">
    <w:p w14:paraId="509FE879" w14:textId="3793BA56" w:rsidR="00FE6116" w:rsidRDefault="00FE6116">
      <w:pPr>
        <w:pStyle w:val="FootnoteText"/>
      </w:pPr>
      <w:r>
        <w:rPr>
          <w:rStyle w:val="FootnoteReference"/>
        </w:rPr>
        <w:footnoteRef/>
      </w:r>
      <w:r>
        <w:t xml:space="preserve"> </w:t>
      </w:r>
      <w:r>
        <w:t>Louvre. (2018</w:t>
      </w:r>
      <w:r>
        <w:t>e</w:t>
      </w:r>
      <w:r>
        <w:t>).</w:t>
      </w:r>
    </w:p>
  </w:footnote>
  <w:footnote w:id="16">
    <w:p w14:paraId="1D832B6A" w14:textId="55E1534C" w:rsidR="00FE6116" w:rsidRDefault="00FE6116">
      <w:pPr>
        <w:pStyle w:val="FootnoteText"/>
      </w:pPr>
      <w:r>
        <w:rPr>
          <w:rStyle w:val="FootnoteReference"/>
        </w:rPr>
        <w:footnoteRef/>
      </w:r>
      <w:r>
        <w:t xml:space="preserve"> </w:t>
      </w:r>
      <w:r>
        <w:t>Louvre. (2018e).</w:t>
      </w:r>
    </w:p>
  </w:footnote>
  <w:footnote w:id="17">
    <w:p w14:paraId="5A8D0958" w14:textId="5FC3B4D1" w:rsidR="00FE6116" w:rsidRDefault="00FE6116">
      <w:pPr>
        <w:pStyle w:val="FootnoteText"/>
      </w:pPr>
      <w:r>
        <w:rPr>
          <w:rStyle w:val="FootnoteReference"/>
        </w:rPr>
        <w:footnoteRef/>
      </w:r>
      <w:r>
        <w:t xml:space="preserve"> </w:t>
      </w:r>
      <w:r>
        <w:t>Louvre. (2018e).</w:t>
      </w:r>
    </w:p>
  </w:footnote>
  <w:footnote w:id="18">
    <w:p w14:paraId="547B74B8" w14:textId="2519F9A3" w:rsidR="00FE6116" w:rsidRDefault="00FE6116">
      <w:pPr>
        <w:pStyle w:val="FootnoteText"/>
      </w:pPr>
      <w:r>
        <w:rPr>
          <w:rStyle w:val="FootnoteReference"/>
        </w:rPr>
        <w:footnoteRef/>
      </w:r>
      <w:r>
        <w:t xml:space="preserve"> </w:t>
      </w:r>
      <w:r>
        <w:t>Duncan (2013)</w:t>
      </w:r>
      <w:r>
        <w:t xml:space="preserve"> 87</w:t>
      </w:r>
    </w:p>
  </w:footnote>
  <w:footnote w:id="19">
    <w:p w14:paraId="00F34614" w14:textId="27C687C5" w:rsidR="00FE6116" w:rsidRDefault="00FE6116">
      <w:pPr>
        <w:pStyle w:val="FootnoteText"/>
      </w:pPr>
      <w:r>
        <w:rPr>
          <w:rStyle w:val="FootnoteReference"/>
        </w:rPr>
        <w:footnoteRef/>
      </w:r>
      <w:r>
        <w:t xml:space="preserve"> </w:t>
      </w:r>
      <w:r>
        <w:t>Louvre. (2018</w:t>
      </w:r>
      <w:r>
        <w:t>f</w:t>
      </w:r>
      <w:r>
        <w:t>).</w:t>
      </w:r>
    </w:p>
  </w:footnote>
  <w:footnote w:id="20">
    <w:p w14:paraId="16B4ED98" w14:textId="00CFEFFA" w:rsidR="004A22F0" w:rsidRDefault="004A22F0">
      <w:pPr>
        <w:pStyle w:val="FootnoteText"/>
      </w:pPr>
      <w:r>
        <w:rPr>
          <w:rStyle w:val="FootnoteReference"/>
        </w:rPr>
        <w:footnoteRef/>
      </w:r>
      <w:r>
        <w:t xml:space="preserve"> </w:t>
      </w:r>
      <w:r>
        <w:t>British Museum. (2018c)</w:t>
      </w:r>
    </w:p>
  </w:footnote>
  <w:footnote w:id="21">
    <w:p w14:paraId="27C712A2" w14:textId="09F4096D" w:rsidR="004A22F0" w:rsidRDefault="004A22F0">
      <w:pPr>
        <w:pStyle w:val="FootnoteText"/>
      </w:pPr>
      <w:r>
        <w:rPr>
          <w:rStyle w:val="FootnoteReference"/>
        </w:rPr>
        <w:footnoteRef/>
      </w:r>
      <w:r>
        <w:t xml:space="preserve"> </w:t>
      </w:r>
      <w:r>
        <w:t>British Museum. (2018a)</w:t>
      </w:r>
    </w:p>
  </w:footnote>
  <w:footnote w:id="22">
    <w:p w14:paraId="06EE0677" w14:textId="0E428002" w:rsidR="004A22F0" w:rsidRDefault="004A22F0">
      <w:pPr>
        <w:pStyle w:val="FootnoteText"/>
      </w:pPr>
      <w:r>
        <w:rPr>
          <w:rStyle w:val="FootnoteReference"/>
        </w:rPr>
        <w:footnoteRef/>
      </w:r>
      <w:r>
        <w:t xml:space="preserve"> </w:t>
      </w:r>
      <w:r>
        <w:t>Bennett, T. (2013)</w:t>
      </w:r>
      <w:r>
        <w:t xml:space="preserve"> 99-105</w:t>
      </w:r>
    </w:p>
  </w:footnote>
  <w:footnote w:id="23">
    <w:p w14:paraId="03660BA9" w14:textId="2A7B0D85" w:rsidR="004A22F0" w:rsidRDefault="004A22F0">
      <w:pPr>
        <w:pStyle w:val="FootnoteText"/>
      </w:pPr>
      <w:r>
        <w:rPr>
          <w:rStyle w:val="FootnoteReference"/>
        </w:rPr>
        <w:footnoteRef/>
      </w:r>
      <w:r>
        <w:t xml:space="preserve"> </w:t>
      </w:r>
      <w:r>
        <w:t>Bennett, T. (2013) 99-105</w:t>
      </w:r>
    </w:p>
  </w:footnote>
  <w:footnote w:id="24">
    <w:p w14:paraId="23A02C1D" w14:textId="61415087" w:rsidR="004A22F0" w:rsidRDefault="004A22F0">
      <w:pPr>
        <w:pStyle w:val="FootnoteText"/>
      </w:pPr>
      <w:r>
        <w:rPr>
          <w:rStyle w:val="FootnoteReference"/>
        </w:rPr>
        <w:footnoteRef/>
      </w:r>
      <w:r>
        <w:t xml:space="preserve"> </w:t>
      </w:r>
      <w:r>
        <w:t>British Museum. (2018a)</w:t>
      </w:r>
    </w:p>
  </w:footnote>
  <w:footnote w:id="25">
    <w:p w14:paraId="78FE0BF3" w14:textId="349E1865" w:rsidR="00FE6116" w:rsidRDefault="00FE6116">
      <w:pPr>
        <w:pStyle w:val="FootnoteText"/>
      </w:pPr>
      <w:r>
        <w:rPr>
          <w:rStyle w:val="FootnoteReference"/>
        </w:rPr>
        <w:footnoteRef/>
      </w:r>
      <w:r>
        <w:t xml:space="preserve"> </w:t>
      </w:r>
      <w:r w:rsidRPr="00FE6116">
        <w:t xml:space="preserve">Wilson </w:t>
      </w:r>
      <w:r>
        <w:t>(</w:t>
      </w:r>
      <w:r w:rsidRPr="00FE6116">
        <w:t>1989</w:t>
      </w:r>
      <w:r>
        <w:t>).</w:t>
      </w:r>
      <w:r>
        <w:t xml:space="preserve"> 19</w:t>
      </w:r>
    </w:p>
  </w:footnote>
  <w:footnote w:id="26">
    <w:p w14:paraId="610DED41" w14:textId="646FCE41" w:rsidR="00FE6116" w:rsidRDefault="00FE6116">
      <w:pPr>
        <w:pStyle w:val="FootnoteText"/>
      </w:pPr>
      <w:r>
        <w:rPr>
          <w:rStyle w:val="FootnoteReference"/>
        </w:rPr>
        <w:footnoteRef/>
      </w:r>
      <w:r>
        <w:t xml:space="preserve"> </w:t>
      </w:r>
      <w:r>
        <w:t>Louvre. (2018</w:t>
      </w:r>
      <w:r>
        <w:t>e</w:t>
      </w:r>
      <w:r>
        <w:t>).</w:t>
      </w:r>
    </w:p>
  </w:footnote>
  <w:footnote w:id="27">
    <w:p w14:paraId="37272CA1" w14:textId="0C6A69C4" w:rsidR="004A22F0" w:rsidRDefault="004A22F0">
      <w:pPr>
        <w:pStyle w:val="FootnoteText"/>
      </w:pPr>
      <w:r>
        <w:rPr>
          <w:rStyle w:val="FootnoteReference"/>
        </w:rPr>
        <w:footnoteRef/>
      </w:r>
      <w:r>
        <w:t xml:space="preserve"> </w:t>
      </w:r>
      <w:r>
        <w:t>Bennett, T. (2013) 99-105</w:t>
      </w:r>
    </w:p>
  </w:footnote>
  <w:footnote w:id="28">
    <w:p w14:paraId="1743BE75" w14:textId="63D0F769" w:rsidR="004A22F0" w:rsidRDefault="004A22F0" w:rsidP="004A22F0">
      <w:pPr>
        <w:pStyle w:val="CommentText"/>
      </w:pPr>
      <w:r>
        <w:rPr>
          <w:rStyle w:val="FootnoteReference"/>
        </w:rPr>
        <w:footnoteRef/>
      </w:r>
      <w:r>
        <w:rPr>
          <w:rStyle w:val="FootnoteReference"/>
        </w:rPr>
        <w:footnoteRef/>
      </w:r>
      <w:r>
        <w:t xml:space="preserve"> </w:t>
      </w:r>
      <w:r>
        <w:t xml:space="preserve">Wingfield </w:t>
      </w:r>
      <w:r>
        <w:t xml:space="preserve">(2011). </w:t>
      </w:r>
      <w:r>
        <w:t>123</w:t>
      </w:r>
    </w:p>
  </w:footnote>
  <w:footnote w:id="29">
    <w:p w14:paraId="77C85FEF" w14:textId="393A3DAC" w:rsidR="00FE6116" w:rsidRDefault="00FE6116">
      <w:pPr>
        <w:pStyle w:val="FootnoteText"/>
      </w:pPr>
      <w:r>
        <w:rPr>
          <w:rStyle w:val="FootnoteReference"/>
        </w:rPr>
        <w:footnoteRef/>
      </w:r>
      <w:r>
        <w:t xml:space="preserve"> </w:t>
      </w:r>
      <w:r w:rsidRPr="00FE6116">
        <w:t xml:space="preserve">Wilson </w:t>
      </w:r>
      <w:r>
        <w:t>(</w:t>
      </w:r>
      <w:r w:rsidRPr="00FE6116">
        <w:t>1989</w:t>
      </w:r>
      <w:r>
        <w:t>).</w:t>
      </w:r>
      <w:r w:rsidRPr="00FE6116">
        <w:t xml:space="preserve"> 14-15</w:t>
      </w:r>
    </w:p>
  </w:footnote>
  <w:footnote w:id="30">
    <w:p w14:paraId="6648450D" w14:textId="0F547B50" w:rsidR="00FE6116" w:rsidRDefault="00FE6116">
      <w:pPr>
        <w:pStyle w:val="FootnoteText"/>
      </w:pPr>
      <w:r>
        <w:rPr>
          <w:rStyle w:val="FootnoteReference"/>
        </w:rPr>
        <w:footnoteRef/>
      </w:r>
      <w:r>
        <w:t xml:space="preserve"> </w:t>
      </w:r>
      <w:r>
        <w:t>Louvre. (2018</w:t>
      </w:r>
      <w:r>
        <w:t>e</w:t>
      </w:r>
      <w:r>
        <w:t>).</w:t>
      </w:r>
    </w:p>
  </w:footnote>
  <w:footnote w:id="31">
    <w:p w14:paraId="3953E13E" w14:textId="0377E771" w:rsidR="00FE6116" w:rsidRDefault="00FE6116">
      <w:pPr>
        <w:pStyle w:val="FootnoteText"/>
      </w:pPr>
      <w:r>
        <w:rPr>
          <w:rStyle w:val="FootnoteReference"/>
        </w:rPr>
        <w:footnoteRef/>
      </w:r>
      <w:r>
        <w:t xml:space="preserve"> </w:t>
      </w:r>
      <w:r>
        <w:t>Knell, 2011</w:t>
      </w:r>
      <w:r>
        <w:t>. 15-17</w:t>
      </w:r>
    </w:p>
  </w:footnote>
  <w:footnote w:id="32">
    <w:p w14:paraId="74CE2BF8" w14:textId="2BB7A707" w:rsidR="00FE6116" w:rsidRDefault="00FE6116">
      <w:pPr>
        <w:pStyle w:val="FootnoteText"/>
      </w:pPr>
      <w:r>
        <w:rPr>
          <w:rStyle w:val="FootnoteReference"/>
        </w:rPr>
        <w:footnoteRef/>
      </w:r>
      <w:r>
        <w:t xml:space="preserve"> </w:t>
      </w:r>
      <w:r>
        <w:t>Knell, 2011</w:t>
      </w:r>
      <w:r>
        <w:t>. 15</w:t>
      </w:r>
    </w:p>
  </w:footnote>
  <w:footnote w:id="33">
    <w:p w14:paraId="552DCFC4" w14:textId="3FB07CB8" w:rsidR="0003678A" w:rsidRDefault="0003678A">
      <w:pPr>
        <w:pStyle w:val="FootnoteText"/>
      </w:pPr>
      <w:r>
        <w:rPr>
          <w:rStyle w:val="FootnoteReference"/>
        </w:rPr>
        <w:footnoteRef/>
      </w:r>
      <w:r>
        <w:t xml:space="preserve"> Keene, 2005. 178</w:t>
      </w:r>
    </w:p>
  </w:footnote>
  <w:footnote w:id="34">
    <w:p w14:paraId="48599053" w14:textId="1D7F87F1" w:rsidR="004A22F0" w:rsidRDefault="004A22F0">
      <w:pPr>
        <w:pStyle w:val="FootnoteText"/>
      </w:pPr>
      <w:r>
        <w:rPr>
          <w:rStyle w:val="FootnoteReference"/>
        </w:rPr>
        <w:footnoteRef/>
      </w:r>
      <w:r>
        <w:t xml:space="preserve"> </w:t>
      </w:r>
      <w:r>
        <w:t>Alexander, E.P., Alexander, M. and Decker, J. (2017)</w:t>
      </w:r>
      <w:r>
        <w:t xml:space="preserve"> 257-8</w:t>
      </w:r>
    </w:p>
  </w:footnote>
  <w:footnote w:id="35">
    <w:p w14:paraId="4B4ED3FC" w14:textId="46DA0982" w:rsidR="0003678A" w:rsidRDefault="0003678A">
      <w:pPr>
        <w:pStyle w:val="FootnoteText"/>
      </w:pPr>
      <w:r>
        <w:rPr>
          <w:rStyle w:val="FootnoteReference"/>
        </w:rPr>
        <w:footnoteRef/>
      </w:r>
      <w:r>
        <w:t xml:space="preserve"> Keene, 2005. 92</w:t>
      </w:r>
    </w:p>
  </w:footnote>
  <w:footnote w:id="36">
    <w:p w14:paraId="14170648" w14:textId="348574D4" w:rsidR="0003678A" w:rsidRDefault="0003678A">
      <w:pPr>
        <w:pStyle w:val="FootnoteText"/>
      </w:pPr>
      <w:r>
        <w:rPr>
          <w:rStyle w:val="FootnoteReference"/>
        </w:rPr>
        <w:footnoteRef/>
      </w:r>
      <w:r>
        <w:t xml:space="preserve"> Keene, 2005. </w:t>
      </w:r>
      <w:r w:rsidR="00FE6116">
        <w:t>171</w:t>
      </w:r>
    </w:p>
  </w:footnote>
  <w:footnote w:id="37">
    <w:p w14:paraId="67F88C1A" w14:textId="674DC5F5" w:rsidR="00FE6116" w:rsidRDefault="00FE6116">
      <w:pPr>
        <w:pStyle w:val="FootnoteText"/>
      </w:pPr>
      <w:r>
        <w:rPr>
          <w:rStyle w:val="FootnoteReference"/>
        </w:rPr>
        <w:footnoteRef/>
      </w:r>
      <w:r>
        <w:t xml:space="preserve"> Keene, 2005. 177</w:t>
      </w:r>
    </w:p>
  </w:footnote>
  <w:footnote w:id="38">
    <w:p w14:paraId="4D4EB610" w14:textId="15BFFD88" w:rsidR="00FE6116" w:rsidRDefault="00FE6116">
      <w:pPr>
        <w:pStyle w:val="FootnoteText"/>
      </w:pPr>
      <w:r>
        <w:rPr>
          <w:rStyle w:val="FootnoteReference"/>
        </w:rPr>
        <w:footnoteRef/>
      </w:r>
      <w:r>
        <w:t xml:space="preserve"> </w:t>
      </w:r>
      <w:r>
        <w:t>Knell, 2011</w:t>
      </w:r>
      <w:r>
        <w:t>. 4</w:t>
      </w:r>
    </w:p>
  </w:footnote>
  <w:footnote w:id="39">
    <w:p w14:paraId="6FE00566" w14:textId="06947CE7" w:rsidR="00FE6116" w:rsidRDefault="00FE6116">
      <w:pPr>
        <w:pStyle w:val="FootnoteText"/>
      </w:pPr>
      <w:r>
        <w:rPr>
          <w:rStyle w:val="FootnoteReference"/>
        </w:rPr>
        <w:footnoteRef/>
      </w:r>
      <w:r>
        <w:t xml:space="preserve"> </w:t>
      </w:r>
      <w:r>
        <w:t>Knell, 2011</w:t>
      </w:r>
      <w:r>
        <w:t>. 5</w:t>
      </w:r>
    </w:p>
  </w:footnote>
  <w:footnote w:id="40">
    <w:p w14:paraId="4F03FE03" w14:textId="02829DDE" w:rsidR="0003678A" w:rsidRDefault="0003678A" w:rsidP="0003678A">
      <w:pPr>
        <w:pStyle w:val="CommentText"/>
      </w:pPr>
      <w:r>
        <w:rPr>
          <w:rStyle w:val="FootnoteReference"/>
        </w:rPr>
        <w:footnoteRef/>
      </w:r>
      <w:r>
        <w:t xml:space="preserve"> </w:t>
      </w:r>
      <w:r>
        <w:rPr>
          <w:rStyle w:val="CommentReference"/>
        </w:rPr>
        <w:annotationRef/>
      </w:r>
      <w:r>
        <w:t>Knell, 2011. 5. Louvre 2018d</w:t>
      </w:r>
    </w:p>
  </w:footnote>
  <w:footnote w:id="41">
    <w:p w14:paraId="7A225F08" w14:textId="12234D5C" w:rsidR="0003678A" w:rsidRDefault="0003678A">
      <w:pPr>
        <w:pStyle w:val="FootnoteText"/>
      </w:pPr>
      <w:r>
        <w:rPr>
          <w:rStyle w:val="FootnoteReference"/>
        </w:rPr>
        <w:footnoteRef/>
      </w:r>
      <w:r>
        <w:t xml:space="preserve"> </w:t>
      </w:r>
      <w:r>
        <w:t xml:space="preserve">Keene, 2005. </w:t>
      </w:r>
      <w:r>
        <w:rPr>
          <w:szCs w:val="24"/>
        </w:rPr>
        <w:t>169</w:t>
      </w:r>
    </w:p>
  </w:footnote>
  <w:footnote w:id="42">
    <w:p w14:paraId="448246D9" w14:textId="7498FC67" w:rsidR="0003678A" w:rsidRDefault="0003678A">
      <w:pPr>
        <w:pStyle w:val="FootnoteText"/>
      </w:pPr>
      <w:r>
        <w:rPr>
          <w:rStyle w:val="FootnoteReference"/>
        </w:rPr>
        <w:footnoteRef/>
      </w:r>
      <w:r>
        <w:t xml:space="preserve"> </w:t>
      </w:r>
      <w:r>
        <w:t>Keene</w:t>
      </w:r>
      <w:r>
        <w:t xml:space="preserve">, 2005. </w:t>
      </w:r>
      <w:r w:rsidRPr="0003678A">
        <w:rPr>
          <w:szCs w:val="24"/>
        </w:rPr>
        <w:t>177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9B2D2" w14:textId="4EF74E52" w:rsidR="001F3ABE" w:rsidRDefault="001F3ABE">
    <w:pPr>
      <w:pStyle w:val="Header"/>
    </w:pPr>
    <w:r>
      <w:t>Epiphany Roberts</w:t>
    </w:r>
    <w:r>
      <w:tab/>
      <w:t>AHAC6007</w:t>
    </w:r>
    <w:r>
      <w:tab/>
      <w:t>3617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57F"/>
    <w:rsid w:val="0003678A"/>
    <w:rsid w:val="000830F4"/>
    <w:rsid w:val="00083274"/>
    <w:rsid w:val="00084F9D"/>
    <w:rsid w:val="000C4A3B"/>
    <w:rsid w:val="000C4EB2"/>
    <w:rsid w:val="000E280C"/>
    <w:rsid w:val="00106742"/>
    <w:rsid w:val="001105C0"/>
    <w:rsid w:val="00130D1A"/>
    <w:rsid w:val="00156849"/>
    <w:rsid w:val="0016389E"/>
    <w:rsid w:val="001677AC"/>
    <w:rsid w:val="00187176"/>
    <w:rsid w:val="001B6274"/>
    <w:rsid w:val="001D1B52"/>
    <w:rsid w:val="001E0E93"/>
    <w:rsid w:val="001E0F51"/>
    <w:rsid w:val="001F3ABE"/>
    <w:rsid w:val="0024448D"/>
    <w:rsid w:val="00252B26"/>
    <w:rsid w:val="0025367D"/>
    <w:rsid w:val="00291C36"/>
    <w:rsid w:val="00323EE3"/>
    <w:rsid w:val="003571F8"/>
    <w:rsid w:val="00374E09"/>
    <w:rsid w:val="003B63EF"/>
    <w:rsid w:val="003D4DF5"/>
    <w:rsid w:val="003D57CE"/>
    <w:rsid w:val="003E1D11"/>
    <w:rsid w:val="003E44A0"/>
    <w:rsid w:val="004A22F0"/>
    <w:rsid w:val="004C320D"/>
    <w:rsid w:val="004E60E3"/>
    <w:rsid w:val="005343D4"/>
    <w:rsid w:val="00537A04"/>
    <w:rsid w:val="00553C91"/>
    <w:rsid w:val="005A6E09"/>
    <w:rsid w:val="00601CB8"/>
    <w:rsid w:val="00622E97"/>
    <w:rsid w:val="0068357F"/>
    <w:rsid w:val="006B0B79"/>
    <w:rsid w:val="00701EE1"/>
    <w:rsid w:val="007160EB"/>
    <w:rsid w:val="0080442E"/>
    <w:rsid w:val="008100FE"/>
    <w:rsid w:val="008514FE"/>
    <w:rsid w:val="00877713"/>
    <w:rsid w:val="00887D29"/>
    <w:rsid w:val="008A31CB"/>
    <w:rsid w:val="008B27FC"/>
    <w:rsid w:val="008B7CFE"/>
    <w:rsid w:val="008C0BB6"/>
    <w:rsid w:val="008D6F49"/>
    <w:rsid w:val="008D7A9C"/>
    <w:rsid w:val="008E21C6"/>
    <w:rsid w:val="008F2D7C"/>
    <w:rsid w:val="00906D48"/>
    <w:rsid w:val="00912F54"/>
    <w:rsid w:val="00930907"/>
    <w:rsid w:val="009D0785"/>
    <w:rsid w:val="00A0518F"/>
    <w:rsid w:val="00A5689C"/>
    <w:rsid w:val="00A6515B"/>
    <w:rsid w:val="00A829BA"/>
    <w:rsid w:val="00A86969"/>
    <w:rsid w:val="00AC7489"/>
    <w:rsid w:val="00AD184C"/>
    <w:rsid w:val="00B04E01"/>
    <w:rsid w:val="00B34FE1"/>
    <w:rsid w:val="00B44B2A"/>
    <w:rsid w:val="00B46D3E"/>
    <w:rsid w:val="00B87763"/>
    <w:rsid w:val="00C40864"/>
    <w:rsid w:val="00C55951"/>
    <w:rsid w:val="00C845F5"/>
    <w:rsid w:val="00C92882"/>
    <w:rsid w:val="00CC4DA1"/>
    <w:rsid w:val="00CF22AD"/>
    <w:rsid w:val="00D7299F"/>
    <w:rsid w:val="00D82D4D"/>
    <w:rsid w:val="00E0034E"/>
    <w:rsid w:val="00E265F4"/>
    <w:rsid w:val="00E91B2E"/>
    <w:rsid w:val="00ED36F1"/>
    <w:rsid w:val="00EE5187"/>
    <w:rsid w:val="00F43725"/>
    <w:rsid w:val="00FE6116"/>
    <w:rsid w:val="00FF6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1ABAAF8C"/>
  <w15:chartTrackingRefBased/>
  <w15:docId w15:val="{D0DD2489-8D05-44F7-8C4B-7800EB388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09"/>
  </w:style>
  <w:style w:type="paragraph" w:styleId="Heading1">
    <w:name w:val="heading 1"/>
    <w:basedOn w:val="Normal"/>
    <w:next w:val="Normal"/>
    <w:link w:val="Heading1Char"/>
    <w:uiPriority w:val="9"/>
    <w:qFormat/>
    <w:rsid w:val="006835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3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6D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5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357F"/>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0E280C"/>
    <w:rPr>
      <w:sz w:val="16"/>
      <w:szCs w:val="16"/>
    </w:rPr>
  </w:style>
  <w:style w:type="paragraph" w:styleId="CommentText">
    <w:name w:val="annotation text"/>
    <w:basedOn w:val="Normal"/>
    <w:link w:val="CommentTextChar"/>
    <w:uiPriority w:val="99"/>
    <w:unhideWhenUsed/>
    <w:rsid w:val="000E280C"/>
    <w:pPr>
      <w:spacing w:line="240" w:lineRule="auto"/>
    </w:pPr>
    <w:rPr>
      <w:sz w:val="20"/>
      <w:szCs w:val="20"/>
    </w:rPr>
  </w:style>
  <w:style w:type="character" w:customStyle="1" w:styleId="CommentTextChar">
    <w:name w:val="Comment Text Char"/>
    <w:basedOn w:val="DefaultParagraphFont"/>
    <w:link w:val="CommentText"/>
    <w:uiPriority w:val="99"/>
    <w:rsid w:val="000E280C"/>
    <w:rPr>
      <w:sz w:val="20"/>
      <w:szCs w:val="20"/>
    </w:rPr>
  </w:style>
  <w:style w:type="paragraph" w:styleId="CommentSubject">
    <w:name w:val="annotation subject"/>
    <w:basedOn w:val="CommentText"/>
    <w:next w:val="CommentText"/>
    <w:link w:val="CommentSubjectChar"/>
    <w:uiPriority w:val="99"/>
    <w:semiHidden/>
    <w:unhideWhenUsed/>
    <w:rsid w:val="000E280C"/>
    <w:rPr>
      <w:b/>
      <w:bCs/>
    </w:rPr>
  </w:style>
  <w:style w:type="character" w:customStyle="1" w:styleId="CommentSubjectChar">
    <w:name w:val="Comment Subject Char"/>
    <w:basedOn w:val="CommentTextChar"/>
    <w:link w:val="CommentSubject"/>
    <w:uiPriority w:val="99"/>
    <w:semiHidden/>
    <w:rsid w:val="000E280C"/>
    <w:rPr>
      <w:b/>
      <w:bCs/>
      <w:sz w:val="20"/>
      <w:szCs w:val="20"/>
    </w:rPr>
  </w:style>
  <w:style w:type="paragraph" w:styleId="BalloonText">
    <w:name w:val="Balloon Text"/>
    <w:basedOn w:val="Normal"/>
    <w:link w:val="BalloonTextChar"/>
    <w:uiPriority w:val="99"/>
    <w:semiHidden/>
    <w:unhideWhenUsed/>
    <w:rsid w:val="000E2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0C"/>
    <w:rPr>
      <w:rFonts w:ascii="Segoe UI" w:hAnsi="Segoe UI" w:cs="Segoe UI"/>
      <w:sz w:val="18"/>
      <w:szCs w:val="18"/>
    </w:rPr>
  </w:style>
  <w:style w:type="character" w:customStyle="1" w:styleId="Heading3Char">
    <w:name w:val="Heading 3 Char"/>
    <w:basedOn w:val="DefaultParagraphFont"/>
    <w:link w:val="Heading3"/>
    <w:uiPriority w:val="9"/>
    <w:rsid w:val="00B46D3E"/>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323E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3EE3"/>
    <w:rPr>
      <w:sz w:val="20"/>
      <w:szCs w:val="20"/>
    </w:rPr>
  </w:style>
  <w:style w:type="character" w:styleId="FootnoteReference">
    <w:name w:val="footnote reference"/>
    <w:basedOn w:val="DefaultParagraphFont"/>
    <w:uiPriority w:val="99"/>
    <w:semiHidden/>
    <w:unhideWhenUsed/>
    <w:rsid w:val="00323EE3"/>
    <w:rPr>
      <w:vertAlign w:val="superscript"/>
    </w:rPr>
  </w:style>
  <w:style w:type="character" w:styleId="Hyperlink">
    <w:name w:val="Hyperlink"/>
    <w:basedOn w:val="DefaultParagraphFont"/>
    <w:uiPriority w:val="99"/>
    <w:unhideWhenUsed/>
    <w:rsid w:val="003E44A0"/>
    <w:rPr>
      <w:color w:val="0563C1" w:themeColor="hyperlink"/>
      <w:u w:val="single"/>
    </w:rPr>
  </w:style>
  <w:style w:type="character" w:styleId="UnresolvedMention">
    <w:name w:val="Unresolved Mention"/>
    <w:basedOn w:val="DefaultParagraphFont"/>
    <w:uiPriority w:val="99"/>
    <w:semiHidden/>
    <w:unhideWhenUsed/>
    <w:rsid w:val="003E44A0"/>
    <w:rPr>
      <w:color w:val="808080"/>
      <w:shd w:val="clear" w:color="auto" w:fill="E6E6E6"/>
    </w:rPr>
  </w:style>
  <w:style w:type="paragraph" w:styleId="EndnoteText">
    <w:name w:val="endnote text"/>
    <w:basedOn w:val="Normal"/>
    <w:link w:val="EndnoteTextChar"/>
    <w:uiPriority w:val="99"/>
    <w:semiHidden/>
    <w:unhideWhenUsed/>
    <w:rsid w:val="00906D4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06D48"/>
    <w:rPr>
      <w:sz w:val="20"/>
      <w:szCs w:val="20"/>
    </w:rPr>
  </w:style>
  <w:style w:type="character" w:styleId="EndnoteReference">
    <w:name w:val="endnote reference"/>
    <w:basedOn w:val="DefaultParagraphFont"/>
    <w:uiPriority w:val="99"/>
    <w:semiHidden/>
    <w:unhideWhenUsed/>
    <w:rsid w:val="00906D48"/>
    <w:rPr>
      <w:vertAlign w:val="superscript"/>
    </w:rPr>
  </w:style>
  <w:style w:type="character" w:styleId="FollowedHyperlink">
    <w:name w:val="FollowedHyperlink"/>
    <w:basedOn w:val="DefaultParagraphFont"/>
    <w:uiPriority w:val="99"/>
    <w:semiHidden/>
    <w:unhideWhenUsed/>
    <w:rsid w:val="00B44B2A"/>
    <w:rPr>
      <w:color w:val="954F72" w:themeColor="followedHyperlink"/>
      <w:u w:val="single"/>
    </w:rPr>
  </w:style>
  <w:style w:type="paragraph" w:styleId="Header">
    <w:name w:val="header"/>
    <w:basedOn w:val="Normal"/>
    <w:link w:val="HeaderChar"/>
    <w:uiPriority w:val="99"/>
    <w:unhideWhenUsed/>
    <w:rsid w:val="001F3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ABE"/>
  </w:style>
  <w:style w:type="paragraph" w:styleId="Footer">
    <w:name w:val="footer"/>
    <w:basedOn w:val="Normal"/>
    <w:link w:val="FooterChar"/>
    <w:uiPriority w:val="99"/>
    <w:unhideWhenUsed/>
    <w:rsid w:val="001F3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4225935">
      <w:bodyDiv w:val="1"/>
      <w:marLeft w:val="0"/>
      <w:marRight w:val="0"/>
      <w:marTop w:val="0"/>
      <w:marBottom w:val="0"/>
      <w:divBdr>
        <w:top w:val="none" w:sz="0" w:space="0" w:color="auto"/>
        <w:left w:val="none" w:sz="0" w:space="0" w:color="auto"/>
        <w:bottom w:val="none" w:sz="0" w:space="0" w:color="auto"/>
        <w:right w:val="none" w:sz="0" w:space="0" w:color="auto"/>
      </w:divBdr>
    </w:div>
    <w:div w:id="1644043959">
      <w:bodyDiv w:val="1"/>
      <w:marLeft w:val="0"/>
      <w:marRight w:val="0"/>
      <w:marTop w:val="0"/>
      <w:marBottom w:val="0"/>
      <w:divBdr>
        <w:top w:val="none" w:sz="0" w:space="0" w:color="auto"/>
        <w:left w:val="none" w:sz="0" w:space="0" w:color="auto"/>
        <w:bottom w:val="none" w:sz="0" w:space="0" w:color="auto"/>
        <w:right w:val="none" w:sz="0" w:space="0" w:color="auto"/>
      </w:divBdr>
      <w:divsChild>
        <w:div w:id="1741513260">
          <w:marLeft w:val="480"/>
          <w:marRight w:val="0"/>
          <w:marTop w:val="0"/>
          <w:marBottom w:val="0"/>
          <w:divBdr>
            <w:top w:val="none" w:sz="0" w:space="0" w:color="auto"/>
            <w:left w:val="none" w:sz="0" w:space="0" w:color="auto"/>
            <w:bottom w:val="none" w:sz="0" w:space="0" w:color="auto"/>
            <w:right w:val="none" w:sz="0" w:space="0" w:color="auto"/>
          </w:divBdr>
          <w:divsChild>
            <w:div w:id="1338658963">
              <w:marLeft w:val="0"/>
              <w:marRight w:val="0"/>
              <w:marTop w:val="0"/>
              <w:marBottom w:val="240"/>
              <w:divBdr>
                <w:top w:val="none" w:sz="0" w:space="0" w:color="auto"/>
                <w:left w:val="none" w:sz="0" w:space="0" w:color="auto"/>
                <w:bottom w:val="none" w:sz="0" w:space="0" w:color="auto"/>
                <w:right w:val="none" w:sz="0" w:space="0" w:color="auto"/>
              </w:divBdr>
            </w:div>
            <w:div w:id="867334899">
              <w:marLeft w:val="0"/>
              <w:marRight w:val="0"/>
              <w:marTop w:val="0"/>
              <w:marBottom w:val="240"/>
              <w:divBdr>
                <w:top w:val="none" w:sz="0" w:space="0" w:color="auto"/>
                <w:left w:val="none" w:sz="0" w:space="0" w:color="auto"/>
                <w:bottom w:val="none" w:sz="0" w:space="0" w:color="auto"/>
                <w:right w:val="none" w:sz="0" w:space="0" w:color="auto"/>
              </w:divBdr>
            </w:div>
            <w:div w:id="1951668521">
              <w:marLeft w:val="0"/>
              <w:marRight w:val="0"/>
              <w:marTop w:val="0"/>
              <w:marBottom w:val="240"/>
              <w:divBdr>
                <w:top w:val="none" w:sz="0" w:space="0" w:color="auto"/>
                <w:left w:val="none" w:sz="0" w:space="0" w:color="auto"/>
                <w:bottom w:val="none" w:sz="0" w:space="0" w:color="auto"/>
                <w:right w:val="none" w:sz="0" w:space="0" w:color="auto"/>
              </w:divBdr>
            </w:div>
            <w:div w:id="112446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373652">
      <w:bodyDiv w:val="1"/>
      <w:marLeft w:val="0"/>
      <w:marRight w:val="0"/>
      <w:marTop w:val="0"/>
      <w:marBottom w:val="0"/>
      <w:divBdr>
        <w:top w:val="none" w:sz="0" w:space="0" w:color="auto"/>
        <w:left w:val="none" w:sz="0" w:space="0" w:color="auto"/>
        <w:bottom w:val="none" w:sz="0" w:space="0" w:color="auto"/>
        <w:right w:val="none" w:sz="0" w:space="0" w:color="auto"/>
      </w:divBdr>
      <w:divsChild>
        <w:div w:id="695355060">
          <w:marLeft w:val="480"/>
          <w:marRight w:val="0"/>
          <w:marTop w:val="0"/>
          <w:marBottom w:val="0"/>
          <w:divBdr>
            <w:top w:val="none" w:sz="0" w:space="0" w:color="auto"/>
            <w:left w:val="none" w:sz="0" w:space="0" w:color="auto"/>
            <w:bottom w:val="none" w:sz="0" w:space="0" w:color="auto"/>
            <w:right w:val="none" w:sz="0" w:space="0" w:color="auto"/>
          </w:divBdr>
          <w:divsChild>
            <w:div w:id="54011454">
              <w:marLeft w:val="0"/>
              <w:marRight w:val="0"/>
              <w:marTop w:val="0"/>
              <w:marBottom w:val="240"/>
              <w:divBdr>
                <w:top w:val="none" w:sz="0" w:space="0" w:color="auto"/>
                <w:left w:val="none" w:sz="0" w:space="0" w:color="auto"/>
                <w:bottom w:val="none" w:sz="0" w:space="0" w:color="auto"/>
                <w:right w:val="none" w:sz="0" w:space="0" w:color="auto"/>
              </w:divBdr>
            </w:div>
            <w:div w:id="677970136">
              <w:marLeft w:val="0"/>
              <w:marRight w:val="0"/>
              <w:marTop w:val="0"/>
              <w:marBottom w:val="240"/>
              <w:divBdr>
                <w:top w:val="none" w:sz="0" w:space="0" w:color="auto"/>
                <w:left w:val="none" w:sz="0" w:space="0" w:color="auto"/>
                <w:bottom w:val="none" w:sz="0" w:space="0" w:color="auto"/>
                <w:right w:val="none" w:sz="0" w:space="0" w:color="auto"/>
              </w:divBdr>
            </w:div>
            <w:div w:id="1609778018">
              <w:marLeft w:val="0"/>
              <w:marRight w:val="0"/>
              <w:marTop w:val="0"/>
              <w:marBottom w:val="240"/>
              <w:divBdr>
                <w:top w:val="none" w:sz="0" w:space="0" w:color="auto"/>
                <w:left w:val="none" w:sz="0" w:space="0" w:color="auto"/>
                <w:bottom w:val="none" w:sz="0" w:space="0" w:color="auto"/>
                <w:right w:val="none" w:sz="0" w:space="0" w:color="auto"/>
              </w:divBdr>
            </w:div>
            <w:div w:id="851795800">
              <w:marLeft w:val="0"/>
              <w:marRight w:val="0"/>
              <w:marTop w:val="0"/>
              <w:marBottom w:val="240"/>
              <w:divBdr>
                <w:top w:val="none" w:sz="0" w:space="0" w:color="auto"/>
                <w:left w:val="none" w:sz="0" w:space="0" w:color="auto"/>
                <w:bottom w:val="none" w:sz="0" w:space="0" w:color="auto"/>
                <w:right w:val="none" w:sz="0" w:space="0" w:color="auto"/>
              </w:divBdr>
            </w:div>
            <w:div w:id="1385442256">
              <w:marLeft w:val="0"/>
              <w:marRight w:val="0"/>
              <w:marTop w:val="0"/>
              <w:marBottom w:val="240"/>
              <w:divBdr>
                <w:top w:val="none" w:sz="0" w:space="0" w:color="auto"/>
                <w:left w:val="none" w:sz="0" w:space="0" w:color="auto"/>
                <w:bottom w:val="none" w:sz="0" w:space="0" w:color="auto"/>
                <w:right w:val="none" w:sz="0" w:space="0" w:color="auto"/>
              </w:divBdr>
            </w:div>
            <w:div w:id="1544949105">
              <w:marLeft w:val="0"/>
              <w:marRight w:val="0"/>
              <w:marTop w:val="0"/>
              <w:marBottom w:val="240"/>
              <w:divBdr>
                <w:top w:val="none" w:sz="0" w:space="0" w:color="auto"/>
                <w:left w:val="none" w:sz="0" w:space="0" w:color="auto"/>
                <w:bottom w:val="none" w:sz="0" w:space="0" w:color="auto"/>
                <w:right w:val="none" w:sz="0" w:space="0" w:color="auto"/>
              </w:divBdr>
            </w:div>
            <w:div w:id="1085880645">
              <w:marLeft w:val="0"/>
              <w:marRight w:val="0"/>
              <w:marTop w:val="0"/>
              <w:marBottom w:val="240"/>
              <w:divBdr>
                <w:top w:val="none" w:sz="0" w:space="0" w:color="auto"/>
                <w:left w:val="none" w:sz="0" w:space="0" w:color="auto"/>
                <w:bottom w:val="none" w:sz="0" w:space="0" w:color="auto"/>
                <w:right w:val="none" w:sz="0" w:space="0" w:color="auto"/>
              </w:divBdr>
            </w:div>
            <w:div w:id="706956670">
              <w:marLeft w:val="0"/>
              <w:marRight w:val="0"/>
              <w:marTop w:val="0"/>
              <w:marBottom w:val="240"/>
              <w:divBdr>
                <w:top w:val="none" w:sz="0" w:space="0" w:color="auto"/>
                <w:left w:val="none" w:sz="0" w:space="0" w:color="auto"/>
                <w:bottom w:val="none" w:sz="0" w:space="0" w:color="auto"/>
                <w:right w:val="none" w:sz="0" w:space="0" w:color="auto"/>
              </w:divBdr>
            </w:div>
            <w:div w:id="1932466849">
              <w:marLeft w:val="0"/>
              <w:marRight w:val="0"/>
              <w:marTop w:val="0"/>
              <w:marBottom w:val="240"/>
              <w:divBdr>
                <w:top w:val="none" w:sz="0" w:space="0" w:color="auto"/>
                <w:left w:val="none" w:sz="0" w:space="0" w:color="auto"/>
                <w:bottom w:val="none" w:sz="0" w:space="0" w:color="auto"/>
                <w:right w:val="none" w:sz="0" w:space="0" w:color="auto"/>
              </w:divBdr>
            </w:div>
            <w:div w:id="660042265">
              <w:marLeft w:val="0"/>
              <w:marRight w:val="0"/>
              <w:marTop w:val="0"/>
              <w:marBottom w:val="240"/>
              <w:divBdr>
                <w:top w:val="none" w:sz="0" w:space="0" w:color="auto"/>
                <w:left w:val="none" w:sz="0" w:space="0" w:color="auto"/>
                <w:bottom w:val="none" w:sz="0" w:space="0" w:color="auto"/>
                <w:right w:val="none" w:sz="0" w:space="0" w:color="auto"/>
              </w:divBdr>
            </w:div>
            <w:div w:id="1283264426">
              <w:marLeft w:val="0"/>
              <w:marRight w:val="0"/>
              <w:marTop w:val="0"/>
              <w:marBottom w:val="240"/>
              <w:divBdr>
                <w:top w:val="none" w:sz="0" w:space="0" w:color="auto"/>
                <w:left w:val="none" w:sz="0" w:space="0" w:color="auto"/>
                <w:bottom w:val="none" w:sz="0" w:space="0" w:color="auto"/>
                <w:right w:val="none" w:sz="0" w:space="0" w:color="auto"/>
              </w:divBdr>
            </w:div>
            <w:div w:id="1728383693">
              <w:marLeft w:val="0"/>
              <w:marRight w:val="0"/>
              <w:marTop w:val="0"/>
              <w:marBottom w:val="240"/>
              <w:divBdr>
                <w:top w:val="none" w:sz="0" w:space="0" w:color="auto"/>
                <w:left w:val="none" w:sz="0" w:space="0" w:color="auto"/>
                <w:bottom w:val="none" w:sz="0" w:space="0" w:color="auto"/>
                <w:right w:val="none" w:sz="0" w:space="0" w:color="auto"/>
              </w:divBdr>
            </w:div>
            <w:div w:id="1579899382">
              <w:marLeft w:val="0"/>
              <w:marRight w:val="0"/>
              <w:marTop w:val="0"/>
              <w:marBottom w:val="240"/>
              <w:divBdr>
                <w:top w:val="none" w:sz="0" w:space="0" w:color="auto"/>
                <w:left w:val="none" w:sz="0" w:space="0" w:color="auto"/>
                <w:bottom w:val="none" w:sz="0" w:space="0" w:color="auto"/>
                <w:right w:val="none" w:sz="0" w:space="0" w:color="auto"/>
              </w:divBdr>
            </w:div>
            <w:div w:id="1425105295">
              <w:marLeft w:val="0"/>
              <w:marRight w:val="0"/>
              <w:marTop w:val="0"/>
              <w:marBottom w:val="240"/>
              <w:divBdr>
                <w:top w:val="none" w:sz="0" w:space="0" w:color="auto"/>
                <w:left w:val="none" w:sz="0" w:space="0" w:color="auto"/>
                <w:bottom w:val="none" w:sz="0" w:space="0" w:color="auto"/>
                <w:right w:val="none" w:sz="0" w:space="0" w:color="auto"/>
              </w:divBdr>
            </w:div>
            <w:div w:id="1211771062">
              <w:marLeft w:val="0"/>
              <w:marRight w:val="0"/>
              <w:marTop w:val="0"/>
              <w:marBottom w:val="240"/>
              <w:divBdr>
                <w:top w:val="none" w:sz="0" w:space="0" w:color="auto"/>
                <w:left w:val="none" w:sz="0" w:space="0" w:color="auto"/>
                <w:bottom w:val="none" w:sz="0" w:space="0" w:color="auto"/>
                <w:right w:val="none" w:sz="0" w:space="0" w:color="auto"/>
              </w:divBdr>
            </w:div>
            <w:div w:id="1477650349">
              <w:marLeft w:val="0"/>
              <w:marRight w:val="0"/>
              <w:marTop w:val="0"/>
              <w:marBottom w:val="240"/>
              <w:divBdr>
                <w:top w:val="none" w:sz="0" w:space="0" w:color="auto"/>
                <w:left w:val="none" w:sz="0" w:space="0" w:color="auto"/>
                <w:bottom w:val="none" w:sz="0" w:space="0" w:color="auto"/>
                <w:right w:val="none" w:sz="0" w:space="0" w:color="auto"/>
              </w:divBdr>
            </w:div>
            <w:div w:id="697127627">
              <w:marLeft w:val="0"/>
              <w:marRight w:val="0"/>
              <w:marTop w:val="0"/>
              <w:marBottom w:val="240"/>
              <w:divBdr>
                <w:top w:val="none" w:sz="0" w:space="0" w:color="auto"/>
                <w:left w:val="none" w:sz="0" w:space="0" w:color="auto"/>
                <w:bottom w:val="none" w:sz="0" w:space="0" w:color="auto"/>
                <w:right w:val="none" w:sz="0" w:space="0" w:color="auto"/>
              </w:divBdr>
            </w:div>
            <w:div w:id="1559320908">
              <w:marLeft w:val="0"/>
              <w:marRight w:val="0"/>
              <w:marTop w:val="0"/>
              <w:marBottom w:val="240"/>
              <w:divBdr>
                <w:top w:val="none" w:sz="0" w:space="0" w:color="auto"/>
                <w:left w:val="none" w:sz="0" w:space="0" w:color="auto"/>
                <w:bottom w:val="none" w:sz="0" w:space="0" w:color="auto"/>
                <w:right w:val="none" w:sz="0" w:space="0" w:color="auto"/>
              </w:divBdr>
            </w:div>
            <w:div w:id="172375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653"/>
    <w:rsid w:val="005E7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A504FF311D4F06BBF789F4C59F91B0">
    <w:name w:val="17A504FF311D4F06BBF789F4C59F91B0"/>
    <w:rsid w:val="005E76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 Roberts</dc:creator>
  <cp:keywords/>
  <dc:description/>
  <cp:lastModifiedBy>Pip Roberts</cp:lastModifiedBy>
  <cp:revision>2</cp:revision>
  <dcterms:created xsi:type="dcterms:W3CDTF">2018-05-08T22:51:00Z</dcterms:created>
  <dcterms:modified xsi:type="dcterms:W3CDTF">2018-05-08T22:51:00Z</dcterms:modified>
</cp:coreProperties>
</file>