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CA7284" w14:textId="77777777" w:rsidR="009753D4" w:rsidRPr="00F0463E" w:rsidRDefault="009753D4" w:rsidP="00376FBC">
      <w:pPr>
        <w:spacing w:before="1440" w:after="240" w:line="360" w:lineRule="auto"/>
        <w:jc w:val="center"/>
        <w:rPr>
          <w:b/>
          <w:bCs/>
          <w:color w:val="000000" w:themeColor="text1"/>
        </w:rPr>
      </w:pPr>
    </w:p>
    <w:p w14:paraId="525E7219" w14:textId="0472A256" w:rsidR="00C4482F" w:rsidRPr="00F0463E" w:rsidRDefault="009753D4" w:rsidP="00376FBC">
      <w:pPr>
        <w:spacing w:before="1440" w:after="240" w:line="360" w:lineRule="auto"/>
        <w:jc w:val="center"/>
        <w:rPr>
          <w:color w:val="000000" w:themeColor="text1"/>
        </w:rPr>
      </w:pPr>
      <w:r w:rsidRPr="00F0463E">
        <w:rPr>
          <w:rFonts w:eastAsia="Times New Roman"/>
          <w:noProof/>
          <w:lang w:eastAsia="en-GB"/>
        </w:rPr>
        <w:drawing>
          <wp:anchor distT="0" distB="0" distL="114300" distR="114300" simplePos="0" relativeHeight="251659264" behindDoc="0" locked="0" layoutInCell="1" allowOverlap="1" wp14:anchorId="6C0209D8" wp14:editId="7846630B">
            <wp:simplePos x="0" y="0"/>
            <wp:positionH relativeFrom="column">
              <wp:posOffset>4162425</wp:posOffset>
            </wp:positionH>
            <wp:positionV relativeFrom="page">
              <wp:posOffset>266700</wp:posOffset>
            </wp:positionV>
            <wp:extent cx="1809750" cy="723900"/>
            <wp:effectExtent l="0" t="0" r="0" b="0"/>
            <wp:wrapSquare wrapText="bothSides"/>
            <wp:docPr id="143285384" name="Picture 14328538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DF378C" w:rsidRPr="00F0463E">
        <w:rPr>
          <w:b/>
          <w:bCs/>
          <w:color w:val="000000" w:themeColor="text1"/>
        </w:rPr>
        <w:t>LCLM5002: Developing and Managing Individuals and Teams</w:t>
      </w:r>
    </w:p>
    <w:p w14:paraId="0C4C0339" w14:textId="77777777" w:rsidR="00C4482F" w:rsidRPr="00F0463E" w:rsidRDefault="00DF378C" w:rsidP="00376FBC">
      <w:pPr>
        <w:spacing w:before="120" w:after="120" w:line="360" w:lineRule="auto"/>
        <w:jc w:val="center"/>
        <w:rPr>
          <w:color w:val="000000" w:themeColor="text1"/>
        </w:rPr>
      </w:pPr>
      <w:r w:rsidRPr="00F0463E">
        <w:rPr>
          <w:b/>
          <w:bCs/>
          <w:color w:val="000000" w:themeColor="text1"/>
        </w:rPr>
        <w:t>Component 2 – Individual Report</w:t>
      </w:r>
    </w:p>
    <w:p w14:paraId="5B2468E3" w14:textId="77777777" w:rsidR="00C4482F" w:rsidRPr="00F0463E" w:rsidRDefault="00DF378C" w:rsidP="00376FBC">
      <w:pPr>
        <w:spacing w:before="480" w:after="120" w:line="360" w:lineRule="auto"/>
        <w:jc w:val="center"/>
      </w:pPr>
      <w:r w:rsidRPr="00F0463E">
        <w:rPr>
          <w:b/>
          <w:bCs/>
        </w:rPr>
        <w:t>Contemporary HR Challenges and Practices:</w:t>
      </w:r>
    </w:p>
    <w:p w14:paraId="1ED8BBBC" w14:textId="77777777" w:rsidR="00C4482F" w:rsidRPr="00F0463E" w:rsidRDefault="00373309" w:rsidP="00376FBC">
      <w:pPr>
        <w:spacing w:before="80" w:after="480" w:line="360" w:lineRule="auto"/>
        <w:jc w:val="center"/>
      </w:pPr>
      <w:r w:rsidRPr="00F0463E">
        <w:rPr>
          <w:b/>
          <w:bCs/>
        </w:rPr>
        <w:t xml:space="preserve">A Report on Marks &amp; Spencer </w:t>
      </w:r>
      <w:r w:rsidR="00DF378C" w:rsidRPr="00F0463E">
        <w:rPr>
          <w:b/>
          <w:bCs/>
        </w:rPr>
        <w:t>Group plc</w:t>
      </w:r>
    </w:p>
    <w:p w14:paraId="7BA6EB04" w14:textId="77777777" w:rsidR="00C4482F" w:rsidRPr="00F0463E" w:rsidRDefault="00DF378C" w:rsidP="00376FBC">
      <w:pPr>
        <w:spacing w:before="80" w:after="80" w:line="360" w:lineRule="auto"/>
        <w:jc w:val="center"/>
      </w:pPr>
      <w:r w:rsidRPr="00F0463E">
        <w:rPr>
          <w:b/>
        </w:rPr>
        <w:t>Module:</w:t>
      </w:r>
      <w:r w:rsidRPr="00F0463E">
        <w:t xml:space="preserve"> LCLM5002 – Developing and Managing Individuals and Teams</w:t>
      </w:r>
    </w:p>
    <w:p w14:paraId="4D9302D8" w14:textId="77777777" w:rsidR="00C4482F" w:rsidRPr="00F0463E" w:rsidRDefault="00DF378C" w:rsidP="00376FBC">
      <w:pPr>
        <w:spacing w:before="80" w:after="80" w:line="360" w:lineRule="auto"/>
        <w:jc w:val="center"/>
      </w:pPr>
      <w:r w:rsidRPr="00F0463E">
        <w:rPr>
          <w:b/>
        </w:rPr>
        <w:t>Programme:</w:t>
      </w:r>
      <w:r w:rsidRPr="00F0463E">
        <w:t xml:space="preserve"> BA (Hons) Leadership and Management Skills for the Workplace</w:t>
      </w:r>
    </w:p>
    <w:p w14:paraId="1BE10531" w14:textId="77777777" w:rsidR="00C4482F" w:rsidRPr="00F0463E" w:rsidRDefault="00DF378C" w:rsidP="00376FBC">
      <w:pPr>
        <w:spacing w:before="80" w:after="80" w:line="360" w:lineRule="auto"/>
        <w:jc w:val="center"/>
      </w:pPr>
      <w:r w:rsidRPr="00F0463E">
        <w:rPr>
          <w:b/>
        </w:rPr>
        <w:t>Module Leader:</w:t>
      </w:r>
      <w:r w:rsidRPr="00F0463E">
        <w:t xml:space="preserve"> Doreen Nyaa </w:t>
      </w:r>
      <w:proofErr w:type="spellStart"/>
      <w:r w:rsidRPr="00F0463E">
        <w:t>Amundam</w:t>
      </w:r>
      <w:proofErr w:type="spellEnd"/>
      <w:r w:rsidRPr="00F0463E">
        <w:t xml:space="preserve"> / Nishi Ramsurrun</w:t>
      </w:r>
    </w:p>
    <w:p w14:paraId="2290F1C8" w14:textId="57903506" w:rsidR="00C4482F" w:rsidRDefault="00C4482F" w:rsidP="00376FBC">
      <w:pPr>
        <w:spacing w:before="80" w:after="80" w:line="360" w:lineRule="auto"/>
        <w:jc w:val="center"/>
        <w:rPr>
          <w:b/>
        </w:rPr>
      </w:pPr>
    </w:p>
    <w:p w14:paraId="3C3781DF" w14:textId="77777777" w:rsidR="00965D03" w:rsidRDefault="00965D03" w:rsidP="00376FBC">
      <w:pPr>
        <w:spacing w:before="80" w:after="80" w:line="360" w:lineRule="auto"/>
        <w:jc w:val="center"/>
        <w:rPr>
          <w:b/>
        </w:rPr>
      </w:pPr>
    </w:p>
    <w:p w14:paraId="586CEACF" w14:textId="63F23313" w:rsidR="00965D03" w:rsidRPr="00965D03" w:rsidRDefault="00965D03" w:rsidP="00376FBC">
      <w:pPr>
        <w:spacing w:before="80" w:after="80" w:line="360" w:lineRule="auto"/>
        <w:jc w:val="center"/>
        <w:rPr>
          <w:b/>
          <w:lang w:val="nl-NL"/>
        </w:rPr>
      </w:pPr>
      <w:r w:rsidRPr="00965D03">
        <w:rPr>
          <w:b/>
          <w:lang w:val="nl-NL"/>
        </w:rPr>
        <w:t xml:space="preserve">Student Name: </w:t>
      </w:r>
      <w:r w:rsidRPr="00965D03">
        <w:rPr>
          <w:bCs/>
          <w:lang w:val="nl-NL"/>
        </w:rPr>
        <w:t xml:space="preserve">Samuel </w:t>
      </w:r>
      <w:proofErr w:type="spellStart"/>
      <w:r w:rsidRPr="00965D03">
        <w:rPr>
          <w:bCs/>
          <w:lang w:val="nl-NL"/>
        </w:rPr>
        <w:t>Stoican</w:t>
      </w:r>
      <w:proofErr w:type="spellEnd"/>
    </w:p>
    <w:p w14:paraId="02F502BC" w14:textId="7F342253" w:rsidR="00965D03" w:rsidRPr="00965D03" w:rsidRDefault="00965D03" w:rsidP="00376FBC">
      <w:pPr>
        <w:spacing w:before="80" w:after="80" w:line="360" w:lineRule="auto"/>
        <w:jc w:val="center"/>
        <w:rPr>
          <w:lang w:val="nl-NL"/>
        </w:rPr>
      </w:pPr>
      <w:r w:rsidRPr="00965D03">
        <w:rPr>
          <w:b/>
          <w:lang w:val="nl-NL"/>
        </w:rPr>
        <w:t xml:space="preserve">Student ID: </w:t>
      </w:r>
      <w:r w:rsidRPr="00965D03">
        <w:rPr>
          <w:bCs/>
          <w:lang w:val="nl-NL"/>
        </w:rPr>
        <w:t>2420306</w:t>
      </w:r>
    </w:p>
    <w:p w14:paraId="2D985C5A" w14:textId="77777777" w:rsidR="00373309" w:rsidRPr="00965D03" w:rsidRDefault="00373309" w:rsidP="00376FBC">
      <w:pPr>
        <w:pStyle w:val="NormalWeb"/>
        <w:tabs>
          <w:tab w:val="right" w:pos="9026"/>
        </w:tabs>
        <w:spacing w:line="360" w:lineRule="auto"/>
        <w:jc w:val="both"/>
        <w:rPr>
          <w:rFonts w:ascii="Arial" w:eastAsia="Arial" w:hAnsi="Arial" w:cs="Arial"/>
          <w:sz w:val="22"/>
          <w:szCs w:val="22"/>
          <w:lang w:val="nl-NL"/>
        </w:rPr>
      </w:pPr>
    </w:p>
    <w:p w14:paraId="7FFB741A" w14:textId="77777777" w:rsidR="009753D4" w:rsidRPr="00965D03" w:rsidRDefault="009753D4" w:rsidP="00376FBC">
      <w:pPr>
        <w:spacing w:line="360" w:lineRule="auto"/>
        <w:rPr>
          <w:lang w:val="nl-NL"/>
        </w:rPr>
      </w:pPr>
      <w:r w:rsidRPr="00965D03">
        <w:rPr>
          <w:b/>
          <w:bCs/>
          <w:lang w:val="nl-NL"/>
        </w:rPr>
        <w:br w:type="page"/>
      </w:r>
    </w:p>
    <w:sdt>
      <w:sdtPr>
        <w:rPr>
          <w:rFonts w:ascii="Arial" w:eastAsia="Arial" w:hAnsi="Arial" w:cs="Arial"/>
          <w:b w:val="0"/>
          <w:bCs w:val="0"/>
          <w:color w:val="auto"/>
          <w:sz w:val="22"/>
          <w:szCs w:val="22"/>
          <w:lang w:val="en-GB" w:eastAsia="en-US"/>
        </w:rPr>
        <w:id w:val="-256454248"/>
        <w:docPartObj>
          <w:docPartGallery w:val="Table of Contents"/>
          <w:docPartUnique/>
        </w:docPartObj>
      </w:sdtPr>
      <w:sdtContent>
        <w:p w14:paraId="40C368AB" w14:textId="310AA227" w:rsidR="008B0239" w:rsidRPr="00F0463E" w:rsidRDefault="008B0239" w:rsidP="00376FBC">
          <w:pPr>
            <w:pStyle w:val="TOCHeading"/>
            <w:spacing w:line="360" w:lineRule="auto"/>
            <w:rPr>
              <w:rFonts w:ascii="Arial" w:hAnsi="Arial" w:cs="Arial"/>
              <w:color w:val="auto"/>
              <w:sz w:val="22"/>
              <w:szCs w:val="22"/>
              <w:lang w:val="en-GB"/>
            </w:rPr>
          </w:pPr>
          <w:r w:rsidRPr="00F0463E">
            <w:rPr>
              <w:rFonts w:ascii="Arial" w:hAnsi="Arial" w:cs="Arial"/>
              <w:color w:val="auto"/>
              <w:sz w:val="22"/>
              <w:szCs w:val="22"/>
              <w:lang w:val="en-GB"/>
            </w:rPr>
            <w:t>Table of Contents</w:t>
          </w:r>
        </w:p>
        <w:p w14:paraId="23934662" w14:textId="77777777" w:rsidR="008B0239" w:rsidRPr="00F0463E" w:rsidRDefault="008B0239" w:rsidP="00376FBC">
          <w:pPr>
            <w:spacing w:line="360" w:lineRule="auto"/>
            <w:rPr>
              <w:lang w:eastAsia="ja-JP"/>
            </w:rPr>
          </w:pPr>
        </w:p>
        <w:p w14:paraId="63FFE468" w14:textId="7E117E61" w:rsidR="008B0239" w:rsidRPr="00F0463E" w:rsidRDefault="008B0239" w:rsidP="00376FBC">
          <w:pPr>
            <w:pStyle w:val="TOC1"/>
            <w:tabs>
              <w:tab w:val="left" w:pos="440"/>
              <w:tab w:val="right" w:leader="dot" w:pos="9016"/>
            </w:tabs>
            <w:spacing w:line="360" w:lineRule="auto"/>
            <w:rPr>
              <w:noProof/>
            </w:rPr>
          </w:pPr>
          <w:r w:rsidRPr="00F0463E">
            <w:fldChar w:fldCharType="begin"/>
          </w:r>
          <w:r w:rsidRPr="00F0463E">
            <w:instrText xml:space="preserve"> TOC \o "1-3" \h \z \u </w:instrText>
          </w:r>
          <w:r w:rsidRPr="00F0463E">
            <w:fldChar w:fldCharType="separate"/>
          </w:r>
          <w:hyperlink w:anchor="_Toc225385969" w:history="1">
            <w:r w:rsidRPr="00F0463E">
              <w:rPr>
                <w:rStyle w:val="Hyperlink"/>
                <w:noProof/>
              </w:rPr>
              <w:t>1.</w:t>
            </w:r>
            <w:r w:rsidRPr="00F0463E">
              <w:rPr>
                <w:noProof/>
              </w:rPr>
              <w:tab/>
            </w:r>
            <w:r w:rsidRPr="00F0463E">
              <w:rPr>
                <w:rStyle w:val="Hyperlink"/>
                <w:noProof/>
              </w:rPr>
              <w:t>Introduction</w:t>
            </w:r>
            <w:r w:rsidRPr="00F0463E">
              <w:rPr>
                <w:noProof/>
                <w:webHidden/>
              </w:rPr>
              <w:tab/>
            </w:r>
            <w:r w:rsidRPr="00F0463E">
              <w:rPr>
                <w:noProof/>
                <w:webHidden/>
              </w:rPr>
              <w:fldChar w:fldCharType="begin"/>
            </w:r>
            <w:r w:rsidRPr="00F0463E">
              <w:rPr>
                <w:noProof/>
                <w:webHidden/>
              </w:rPr>
              <w:instrText xml:space="preserve"> PAGEREF _Toc225385969 \h </w:instrText>
            </w:r>
            <w:r w:rsidRPr="00F0463E">
              <w:rPr>
                <w:noProof/>
                <w:webHidden/>
              </w:rPr>
            </w:r>
            <w:r w:rsidRPr="00F0463E">
              <w:rPr>
                <w:noProof/>
                <w:webHidden/>
              </w:rPr>
              <w:fldChar w:fldCharType="separate"/>
            </w:r>
            <w:r w:rsidR="00593CAC">
              <w:rPr>
                <w:noProof/>
                <w:webHidden/>
              </w:rPr>
              <w:t>3</w:t>
            </w:r>
            <w:r w:rsidRPr="00F0463E">
              <w:rPr>
                <w:noProof/>
                <w:webHidden/>
              </w:rPr>
              <w:fldChar w:fldCharType="end"/>
            </w:r>
          </w:hyperlink>
        </w:p>
        <w:p w14:paraId="6AEA5C92" w14:textId="4FAB34CF" w:rsidR="008B0239" w:rsidRPr="00F0463E" w:rsidRDefault="008B0239" w:rsidP="00376FBC">
          <w:pPr>
            <w:pStyle w:val="TOC1"/>
            <w:tabs>
              <w:tab w:val="right" w:leader="dot" w:pos="9016"/>
            </w:tabs>
            <w:spacing w:line="360" w:lineRule="auto"/>
            <w:rPr>
              <w:noProof/>
            </w:rPr>
          </w:pPr>
          <w:hyperlink w:anchor="_Toc225385970" w:history="1">
            <w:r w:rsidRPr="00F0463E">
              <w:rPr>
                <w:rStyle w:val="Hyperlink"/>
                <w:noProof/>
              </w:rPr>
              <w:t>2. Major HR Issues at Marks and Spencer</w:t>
            </w:r>
            <w:r w:rsidRPr="00F0463E">
              <w:rPr>
                <w:noProof/>
                <w:webHidden/>
              </w:rPr>
              <w:tab/>
            </w:r>
            <w:r w:rsidRPr="00F0463E">
              <w:rPr>
                <w:noProof/>
                <w:webHidden/>
              </w:rPr>
              <w:fldChar w:fldCharType="begin"/>
            </w:r>
            <w:r w:rsidRPr="00F0463E">
              <w:rPr>
                <w:noProof/>
                <w:webHidden/>
              </w:rPr>
              <w:instrText xml:space="preserve"> PAGEREF _Toc225385970 \h </w:instrText>
            </w:r>
            <w:r w:rsidRPr="00F0463E">
              <w:rPr>
                <w:noProof/>
                <w:webHidden/>
              </w:rPr>
            </w:r>
            <w:r w:rsidRPr="00F0463E">
              <w:rPr>
                <w:noProof/>
                <w:webHidden/>
              </w:rPr>
              <w:fldChar w:fldCharType="separate"/>
            </w:r>
            <w:r w:rsidR="00593CAC">
              <w:rPr>
                <w:noProof/>
                <w:webHidden/>
              </w:rPr>
              <w:t>3</w:t>
            </w:r>
            <w:r w:rsidRPr="00F0463E">
              <w:rPr>
                <w:noProof/>
                <w:webHidden/>
              </w:rPr>
              <w:fldChar w:fldCharType="end"/>
            </w:r>
          </w:hyperlink>
        </w:p>
        <w:p w14:paraId="3BEE315E" w14:textId="5F062B3C" w:rsidR="008B0239" w:rsidRPr="00F0463E" w:rsidRDefault="008B0239" w:rsidP="00376FBC">
          <w:pPr>
            <w:pStyle w:val="TOC2"/>
            <w:tabs>
              <w:tab w:val="right" w:leader="dot" w:pos="9016"/>
            </w:tabs>
            <w:spacing w:line="360" w:lineRule="auto"/>
            <w:rPr>
              <w:noProof/>
            </w:rPr>
          </w:pPr>
          <w:hyperlink w:anchor="_Toc225385971" w:history="1">
            <w:r w:rsidRPr="00F0463E">
              <w:rPr>
                <w:rStyle w:val="Hyperlink"/>
                <w:noProof/>
              </w:rPr>
              <w:t>2.1 Catering to Technological Progress</w:t>
            </w:r>
            <w:r w:rsidRPr="00F0463E">
              <w:rPr>
                <w:noProof/>
                <w:webHidden/>
              </w:rPr>
              <w:tab/>
            </w:r>
            <w:r w:rsidRPr="00F0463E">
              <w:rPr>
                <w:noProof/>
                <w:webHidden/>
              </w:rPr>
              <w:fldChar w:fldCharType="begin"/>
            </w:r>
            <w:r w:rsidRPr="00F0463E">
              <w:rPr>
                <w:noProof/>
                <w:webHidden/>
              </w:rPr>
              <w:instrText xml:space="preserve"> PAGEREF _Toc225385971 \h </w:instrText>
            </w:r>
            <w:r w:rsidRPr="00F0463E">
              <w:rPr>
                <w:noProof/>
                <w:webHidden/>
              </w:rPr>
            </w:r>
            <w:r w:rsidRPr="00F0463E">
              <w:rPr>
                <w:noProof/>
                <w:webHidden/>
              </w:rPr>
              <w:fldChar w:fldCharType="separate"/>
            </w:r>
            <w:r w:rsidR="00593CAC">
              <w:rPr>
                <w:noProof/>
                <w:webHidden/>
              </w:rPr>
              <w:t>3</w:t>
            </w:r>
            <w:r w:rsidRPr="00F0463E">
              <w:rPr>
                <w:noProof/>
                <w:webHidden/>
              </w:rPr>
              <w:fldChar w:fldCharType="end"/>
            </w:r>
          </w:hyperlink>
        </w:p>
        <w:p w14:paraId="3BE8C561" w14:textId="35D1D321" w:rsidR="008B0239" w:rsidRPr="00F0463E" w:rsidRDefault="008B0239" w:rsidP="00376FBC">
          <w:pPr>
            <w:pStyle w:val="TOC2"/>
            <w:tabs>
              <w:tab w:val="right" w:leader="dot" w:pos="9016"/>
            </w:tabs>
            <w:spacing w:line="360" w:lineRule="auto"/>
            <w:rPr>
              <w:noProof/>
            </w:rPr>
          </w:pPr>
          <w:hyperlink w:anchor="_Toc225385972" w:history="1">
            <w:r w:rsidRPr="00F0463E">
              <w:rPr>
                <w:rStyle w:val="Hyperlink"/>
                <w:noProof/>
              </w:rPr>
              <w:t>2.2 Talent Acquisition and Retention</w:t>
            </w:r>
            <w:r w:rsidRPr="00F0463E">
              <w:rPr>
                <w:noProof/>
                <w:webHidden/>
              </w:rPr>
              <w:tab/>
            </w:r>
            <w:r w:rsidRPr="00F0463E">
              <w:rPr>
                <w:noProof/>
                <w:webHidden/>
              </w:rPr>
              <w:fldChar w:fldCharType="begin"/>
            </w:r>
            <w:r w:rsidRPr="00F0463E">
              <w:rPr>
                <w:noProof/>
                <w:webHidden/>
              </w:rPr>
              <w:instrText xml:space="preserve"> PAGEREF _Toc225385972 \h </w:instrText>
            </w:r>
            <w:r w:rsidRPr="00F0463E">
              <w:rPr>
                <w:noProof/>
                <w:webHidden/>
              </w:rPr>
            </w:r>
            <w:r w:rsidRPr="00F0463E">
              <w:rPr>
                <w:noProof/>
                <w:webHidden/>
              </w:rPr>
              <w:fldChar w:fldCharType="separate"/>
            </w:r>
            <w:r w:rsidR="00593CAC">
              <w:rPr>
                <w:noProof/>
                <w:webHidden/>
              </w:rPr>
              <w:t>4</w:t>
            </w:r>
            <w:r w:rsidRPr="00F0463E">
              <w:rPr>
                <w:noProof/>
                <w:webHidden/>
              </w:rPr>
              <w:fldChar w:fldCharType="end"/>
            </w:r>
          </w:hyperlink>
        </w:p>
        <w:p w14:paraId="6BE8F918" w14:textId="5B32C976" w:rsidR="008B0239" w:rsidRPr="00F0463E" w:rsidRDefault="008B0239" w:rsidP="00376FBC">
          <w:pPr>
            <w:pStyle w:val="TOC2"/>
            <w:tabs>
              <w:tab w:val="right" w:leader="dot" w:pos="9016"/>
            </w:tabs>
            <w:spacing w:line="360" w:lineRule="auto"/>
            <w:rPr>
              <w:noProof/>
            </w:rPr>
          </w:pPr>
          <w:hyperlink w:anchor="_Toc225385973" w:history="1">
            <w:r w:rsidRPr="00F0463E">
              <w:rPr>
                <w:rStyle w:val="Hyperlink"/>
                <w:noProof/>
              </w:rPr>
              <w:t>2.3 Diversity, Equity, and Inclusion (DEI)</w:t>
            </w:r>
            <w:r w:rsidRPr="00F0463E">
              <w:rPr>
                <w:noProof/>
                <w:webHidden/>
              </w:rPr>
              <w:tab/>
            </w:r>
            <w:r w:rsidRPr="00F0463E">
              <w:rPr>
                <w:noProof/>
                <w:webHidden/>
              </w:rPr>
              <w:fldChar w:fldCharType="begin"/>
            </w:r>
            <w:r w:rsidRPr="00F0463E">
              <w:rPr>
                <w:noProof/>
                <w:webHidden/>
              </w:rPr>
              <w:instrText xml:space="preserve"> PAGEREF _Toc225385973 \h </w:instrText>
            </w:r>
            <w:r w:rsidRPr="00F0463E">
              <w:rPr>
                <w:noProof/>
                <w:webHidden/>
              </w:rPr>
            </w:r>
            <w:r w:rsidRPr="00F0463E">
              <w:rPr>
                <w:noProof/>
                <w:webHidden/>
              </w:rPr>
              <w:fldChar w:fldCharType="separate"/>
            </w:r>
            <w:r w:rsidR="00593CAC">
              <w:rPr>
                <w:noProof/>
                <w:webHidden/>
              </w:rPr>
              <w:t>4</w:t>
            </w:r>
            <w:r w:rsidRPr="00F0463E">
              <w:rPr>
                <w:noProof/>
                <w:webHidden/>
              </w:rPr>
              <w:fldChar w:fldCharType="end"/>
            </w:r>
          </w:hyperlink>
        </w:p>
        <w:p w14:paraId="63A90C45" w14:textId="39E0E42C" w:rsidR="008B0239" w:rsidRPr="00F0463E" w:rsidRDefault="008B0239" w:rsidP="00376FBC">
          <w:pPr>
            <w:pStyle w:val="TOC1"/>
            <w:tabs>
              <w:tab w:val="right" w:leader="dot" w:pos="9016"/>
            </w:tabs>
            <w:spacing w:line="360" w:lineRule="auto"/>
            <w:rPr>
              <w:noProof/>
            </w:rPr>
          </w:pPr>
          <w:hyperlink w:anchor="_Toc225385974" w:history="1">
            <w:r w:rsidRPr="00F0463E">
              <w:rPr>
                <w:rStyle w:val="Hyperlink"/>
                <w:noProof/>
              </w:rPr>
              <w:t>3. Assessment of Modern HR Practice</w:t>
            </w:r>
            <w:r w:rsidRPr="00F0463E">
              <w:rPr>
                <w:noProof/>
                <w:webHidden/>
              </w:rPr>
              <w:tab/>
            </w:r>
            <w:r w:rsidRPr="00F0463E">
              <w:rPr>
                <w:noProof/>
                <w:webHidden/>
              </w:rPr>
              <w:fldChar w:fldCharType="begin"/>
            </w:r>
            <w:r w:rsidRPr="00F0463E">
              <w:rPr>
                <w:noProof/>
                <w:webHidden/>
              </w:rPr>
              <w:instrText xml:space="preserve"> PAGEREF _Toc225385974 \h </w:instrText>
            </w:r>
            <w:r w:rsidRPr="00F0463E">
              <w:rPr>
                <w:noProof/>
                <w:webHidden/>
              </w:rPr>
            </w:r>
            <w:r w:rsidRPr="00F0463E">
              <w:rPr>
                <w:noProof/>
                <w:webHidden/>
              </w:rPr>
              <w:fldChar w:fldCharType="separate"/>
            </w:r>
            <w:r w:rsidR="00593CAC">
              <w:rPr>
                <w:noProof/>
                <w:webHidden/>
              </w:rPr>
              <w:t>5</w:t>
            </w:r>
            <w:r w:rsidRPr="00F0463E">
              <w:rPr>
                <w:noProof/>
                <w:webHidden/>
              </w:rPr>
              <w:fldChar w:fldCharType="end"/>
            </w:r>
          </w:hyperlink>
        </w:p>
        <w:p w14:paraId="6748AB53" w14:textId="609FF66A" w:rsidR="008B0239" w:rsidRPr="00F0463E" w:rsidRDefault="008B0239" w:rsidP="00376FBC">
          <w:pPr>
            <w:pStyle w:val="TOC2"/>
            <w:tabs>
              <w:tab w:val="right" w:leader="dot" w:pos="9016"/>
            </w:tabs>
            <w:spacing w:line="360" w:lineRule="auto"/>
            <w:rPr>
              <w:noProof/>
            </w:rPr>
          </w:pPr>
          <w:hyperlink w:anchor="_Toc225385975" w:history="1">
            <w:r w:rsidRPr="00F0463E">
              <w:rPr>
                <w:rStyle w:val="Hyperlink"/>
                <w:noProof/>
              </w:rPr>
              <w:t>3.1 Learning and Development Powered by AI (Technology)</w:t>
            </w:r>
            <w:r w:rsidRPr="00F0463E">
              <w:rPr>
                <w:noProof/>
                <w:webHidden/>
              </w:rPr>
              <w:tab/>
            </w:r>
            <w:r w:rsidRPr="00F0463E">
              <w:rPr>
                <w:noProof/>
                <w:webHidden/>
              </w:rPr>
              <w:fldChar w:fldCharType="begin"/>
            </w:r>
            <w:r w:rsidRPr="00F0463E">
              <w:rPr>
                <w:noProof/>
                <w:webHidden/>
              </w:rPr>
              <w:instrText xml:space="preserve"> PAGEREF _Toc225385975 \h </w:instrText>
            </w:r>
            <w:r w:rsidRPr="00F0463E">
              <w:rPr>
                <w:noProof/>
                <w:webHidden/>
              </w:rPr>
            </w:r>
            <w:r w:rsidRPr="00F0463E">
              <w:rPr>
                <w:noProof/>
                <w:webHidden/>
              </w:rPr>
              <w:fldChar w:fldCharType="separate"/>
            </w:r>
            <w:r w:rsidR="00593CAC">
              <w:rPr>
                <w:noProof/>
                <w:webHidden/>
              </w:rPr>
              <w:t>5</w:t>
            </w:r>
            <w:r w:rsidRPr="00F0463E">
              <w:rPr>
                <w:noProof/>
                <w:webHidden/>
              </w:rPr>
              <w:fldChar w:fldCharType="end"/>
            </w:r>
          </w:hyperlink>
        </w:p>
        <w:p w14:paraId="69E17D72" w14:textId="11882B5C" w:rsidR="008B0239" w:rsidRPr="00F0463E" w:rsidRDefault="008B0239" w:rsidP="00376FBC">
          <w:pPr>
            <w:pStyle w:val="TOC2"/>
            <w:tabs>
              <w:tab w:val="right" w:leader="dot" w:pos="9016"/>
            </w:tabs>
            <w:spacing w:line="360" w:lineRule="auto"/>
            <w:rPr>
              <w:noProof/>
            </w:rPr>
          </w:pPr>
          <w:hyperlink w:anchor="_Toc225385976" w:history="1">
            <w:r w:rsidRPr="00F0463E">
              <w:rPr>
                <w:rStyle w:val="Hyperlink"/>
                <w:noProof/>
              </w:rPr>
              <w:t>3.2 Hybrid Working and Employee Value Proposition (Talent Acquisition and Retention)</w:t>
            </w:r>
            <w:r w:rsidRPr="00F0463E">
              <w:rPr>
                <w:noProof/>
                <w:webHidden/>
              </w:rPr>
              <w:tab/>
            </w:r>
            <w:r w:rsidRPr="00F0463E">
              <w:rPr>
                <w:noProof/>
                <w:webHidden/>
              </w:rPr>
              <w:fldChar w:fldCharType="begin"/>
            </w:r>
            <w:r w:rsidRPr="00F0463E">
              <w:rPr>
                <w:noProof/>
                <w:webHidden/>
              </w:rPr>
              <w:instrText xml:space="preserve"> PAGEREF _Toc225385976 \h </w:instrText>
            </w:r>
            <w:r w:rsidRPr="00F0463E">
              <w:rPr>
                <w:noProof/>
                <w:webHidden/>
              </w:rPr>
            </w:r>
            <w:r w:rsidRPr="00F0463E">
              <w:rPr>
                <w:noProof/>
                <w:webHidden/>
              </w:rPr>
              <w:fldChar w:fldCharType="separate"/>
            </w:r>
            <w:r w:rsidR="00593CAC">
              <w:rPr>
                <w:noProof/>
                <w:webHidden/>
              </w:rPr>
              <w:t>6</w:t>
            </w:r>
            <w:r w:rsidRPr="00F0463E">
              <w:rPr>
                <w:noProof/>
                <w:webHidden/>
              </w:rPr>
              <w:fldChar w:fldCharType="end"/>
            </w:r>
          </w:hyperlink>
        </w:p>
        <w:p w14:paraId="0A9666A5" w14:textId="17E463B4" w:rsidR="008B0239" w:rsidRPr="00F0463E" w:rsidRDefault="008B0239" w:rsidP="00376FBC">
          <w:pPr>
            <w:pStyle w:val="TOC2"/>
            <w:tabs>
              <w:tab w:val="right" w:leader="dot" w:pos="9016"/>
            </w:tabs>
            <w:spacing w:line="360" w:lineRule="auto"/>
            <w:rPr>
              <w:noProof/>
            </w:rPr>
          </w:pPr>
          <w:hyperlink w:anchor="_Toc225385977" w:history="1">
            <w:r w:rsidRPr="00F0463E">
              <w:rPr>
                <w:rStyle w:val="Hyperlink"/>
                <w:noProof/>
              </w:rPr>
              <w:t>3.3 Blind Recruitment and Employee Resource Groups (DEI)</w:t>
            </w:r>
            <w:r w:rsidRPr="00F0463E">
              <w:rPr>
                <w:noProof/>
                <w:webHidden/>
              </w:rPr>
              <w:tab/>
            </w:r>
            <w:r w:rsidRPr="00F0463E">
              <w:rPr>
                <w:noProof/>
                <w:webHidden/>
              </w:rPr>
              <w:fldChar w:fldCharType="begin"/>
            </w:r>
            <w:r w:rsidRPr="00F0463E">
              <w:rPr>
                <w:noProof/>
                <w:webHidden/>
              </w:rPr>
              <w:instrText xml:space="preserve"> PAGEREF _Toc225385977 \h </w:instrText>
            </w:r>
            <w:r w:rsidRPr="00F0463E">
              <w:rPr>
                <w:noProof/>
                <w:webHidden/>
              </w:rPr>
            </w:r>
            <w:r w:rsidRPr="00F0463E">
              <w:rPr>
                <w:noProof/>
                <w:webHidden/>
              </w:rPr>
              <w:fldChar w:fldCharType="separate"/>
            </w:r>
            <w:r w:rsidR="00593CAC">
              <w:rPr>
                <w:noProof/>
                <w:webHidden/>
              </w:rPr>
              <w:t>6</w:t>
            </w:r>
            <w:r w:rsidRPr="00F0463E">
              <w:rPr>
                <w:noProof/>
                <w:webHidden/>
              </w:rPr>
              <w:fldChar w:fldCharType="end"/>
            </w:r>
          </w:hyperlink>
        </w:p>
        <w:p w14:paraId="46EC6E74" w14:textId="680B0C5B" w:rsidR="008B0239" w:rsidRPr="00F0463E" w:rsidRDefault="008B0239" w:rsidP="00376FBC">
          <w:pPr>
            <w:pStyle w:val="TOC1"/>
            <w:tabs>
              <w:tab w:val="right" w:leader="dot" w:pos="9016"/>
            </w:tabs>
            <w:spacing w:line="360" w:lineRule="auto"/>
            <w:rPr>
              <w:noProof/>
            </w:rPr>
          </w:pPr>
          <w:hyperlink w:anchor="_Toc225385978" w:history="1">
            <w:r w:rsidRPr="00F0463E">
              <w:rPr>
                <w:rStyle w:val="Hyperlink"/>
                <w:noProof/>
              </w:rPr>
              <w:t>4. Critical Assessment: Manager Implementation</w:t>
            </w:r>
            <w:r w:rsidRPr="00F0463E">
              <w:rPr>
                <w:noProof/>
                <w:webHidden/>
              </w:rPr>
              <w:tab/>
            </w:r>
            <w:r w:rsidRPr="00F0463E">
              <w:rPr>
                <w:noProof/>
                <w:webHidden/>
              </w:rPr>
              <w:fldChar w:fldCharType="begin"/>
            </w:r>
            <w:r w:rsidRPr="00F0463E">
              <w:rPr>
                <w:noProof/>
                <w:webHidden/>
              </w:rPr>
              <w:instrText xml:space="preserve"> PAGEREF _Toc225385978 \h </w:instrText>
            </w:r>
            <w:r w:rsidRPr="00F0463E">
              <w:rPr>
                <w:noProof/>
                <w:webHidden/>
              </w:rPr>
            </w:r>
            <w:r w:rsidRPr="00F0463E">
              <w:rPr>
                <w:noProof/>
                <w:webHidden/>
              </w:rPr>
              <w:fldChar w:fldCharType="separate"/>
            </w:r>
            <w:r w:rsidR="00593CAC">
              <w:rPr>
                <w:noProof/>
                <w:webHidden/>
              </w:rPr>
              <w:t>7</w:t>
            </w:r>
            <w:r w:rsidRPr="00F0463E">
              <w:rPr>
                <w:noProof/>
                <w:webHidden/>
              </w:rPr>
              <w:fldChar w:fldCharType="end"/>
            </w:r>
          </w:hyperlink>
        </w:p>
        <w:p w14:paraId="77563FEA" w14:textId="226B6F65" w:rsidR="008B0239" w:rsidRPr="00F0463E" w:rsidRDefault="008B0239" w:rsidP="00376FBC">
          <w:pPr>
            <w:pStyle w:val="TOC1"/>
            <w:tabs>
              <w:tab w:val="right" w:leader="dot" w:pos="9016"/>
            </w:tabs>
            <w:spacing w:line="360" w:lineRule="auto"/>
            <w:rPr>
              <w:noProof/>
            </w:rPr>
          </w:pPr>
          <w:hyperlink w:anchor="_Toc225385979" w:history="1">
            <w:r w:rsidRPr="00F0463E">
              <w:rPr>
                <w:rStyle w:val="Hyperlink"/>
                <w:noProof/>
              </w:rPr>
              <w:t>5. Conclusion and Recommendations</w:t>
            </w:r>
            <w:r w:rsidRPr="00F0463E">
              <w:rPr>
                <w:noProof/>
                <w:webHidden/>
              </w:rPr>
              <w:tab/>
            </w:r>
            <w:r w:rsidRPr="00F0463E">
              <w:rPr>
                <w:noProof/>
                <w:webHidden/>
              </w:rPr>
              <w:fldChar w:fldCharType="begin"/>
            </w:r>
            <w:r w:rsidRPr="00F0463E">
              <w:rPr>
                <w:noProof/>
                <w:webHidden/>
              </w:rPr>
              <w:instrText xml:space="preserve"> PAGEREF _Toc225385979 \h </w:instrText>
            </w:r>
            <w:r w:rsidRPr="00F0463E">
              <w:rPr>
                <w:noProof/>
                <w:webHidden/>
              </w:rPr>
            </w:r>
            <w:r w:rsidRPr="00F0463E">
              <w:rPr>
                <w:noProof/>
                <w:webHidden/>
              </w:rPr>
              <w:fldChar w:fldCharType="separate"/>
            </w:r>
            <w:r w:rsidR="00593CAC">
              <w:rPr>
                <w:noProof/>
                <w:webHidden/>
              </w:rPr>
              <w:t>9</w:t>
            </w:r>
            <w:r w:rsidRPr="00F0463E">
              <w:rPr>
                <w:noProof/>
                <w:webHidden/>
              </w:rPr>
              <w:fldChar w:fldCharType="end"/>
            </w:r>
          </w:hyperlink>
        </w:p>
        <w:p w14:paraId="42DEE3CD" w14:textId="03EE4382" w:rsidR="008B0239" w:rsidRPr="00F0463E" w:rsidRDefault="008B0239" w:rsidP="00376FBC">
          <w:pPr>
            <w:pStyle w:val="TOC1"/>
            <w:tabs>
              <w:tab w:val="right" w:leader="dot" w:pos="9016"/>
            </w:tabs>
            <w:spacing w:line="360" w:lineRule="auto"/>
            <w:rPr>
              <w:noProof/>
            </w:rPr>
          </w:pPr>
          <w:hyperlink w:anchor="_Toc225385980" w:history="1">
            <w:r w:rsidRPr="00F0463E">
              <w:rPr>
                <w:rStyle w:val="Hyperlink"/>
                <w:noProof/>
              </w:rPr>
              <w:t>References</w:t>
            </w:r>
            <w:r w:rsidRPr="00F0463E">
              <w:rPr>
                <w:noProof/>
                <w:webHidden/>
              </w:rPr>
              <w:tab/>
            </w:r>
            <w:r w:rsidRPr="00F0463E">
              <w:rPr>
                <w:noProof/>
                <w:webHidden/>
              </w:rPr>
              <w:fldChar w:fldCharType="begin"/>
            </w:r>
            <w:r w:rsidRPr="00F0463E">
              <w:rPr>
                <w:noProof/>
                <w:webHidden/>
              </w:rPr>
              <w:instrText xml:space="preserve"> PAGEREF _Toc225385980 \h </w:instrText>
            </w:r>
            <w:r w:rsidRPr="00F0463E">
              <w:rPr>
                <w:noProof/>
                <w:webHidden/>
              </w:rPr>
            </w:r>
            <w:r w:rsidRPr="00F0463E">
              <w:rPr>
                <w:noProof/>
                <w:webHidden/>
              </w:rPr>
              <w:fldChar w:fldCharType="separate"/>
            </w:r>
            <w:r w:rsidR="00593CAC">
              <w:rPr>
                <w:noProof/>
                <w:webHidden/>
              </w:rPr>
              <w:t>10</w:t>
            </w:r>
            <w:r w:rsidRPr="00F0463E">
              <w:rPr>
                <w:noProof/>
                <w:webHidden/>
              </w:rPr>
              <w:fldChar w:fldCharType="end"/>
            </w:r>
          </w:hyperlink>
        </w:p>
        <w:p w14:paraId="7BD6099C" w14:textId="77777777" w:rsidR="008B0239" w:rsidRPr="00F0463E" w:rsidRDefault="008B0239" w:rsidP="00376FBC">
          <w:pPr>
            <w:spacing w:line="360" w:lineRule="auto"/>
          </w:pPr>
          <w:r w:rsidRPr="00F0463E">
            <w:rPr>
              <w:b/>
              <w:bCs/>
            </w:rPr>
            <w:fldChar w:fldCharType="end"/>
          </w:r>
        </w:p>
      </w:sdtContent>
    </w:sdt>
    <w:p w14:paraId="7768BA49" w14:textId="6CA203A7" w:rsidR="009753D4" w:rsidRPr="00F0463E" w:rsidRDefault="009753D4" w:rsidP="00376FBC">
      <w:pPr>
        <w:spacing w:line="360" w:lineRule="auto"/>
        <w:rPr>
          <w:b/>
          <w:bCs/>
        </w:rPr>
      </w:pPr>
      <w:r w:rsidRPr="00F0463E">
        <w:br w:type="page"/>
      </w:r>
    </w:p>
    <w:p w14:paraId="07BF73AA" w14:textId="77777777" w:rsidR="007971FF" w:rsidRPr="00F0463E" w:rsidRDefault="007971FF" w:rsidP="00376FBC">
      <w:pPr>
        <w:pStyle w:val="Heading1"/>
        <w:numPr>
          <w:ilvl w:val="0"/>
          <w:numId w:val="7"/>
        </w:numPr>
        <w:spacing w:line="360" w:lineRule="auto"/>
        <w:rPr>
          <w:color w:val="auto"/>
          <w:sz w:val="22"/>
          <w:szCs w:val="22"/>
          <w:lang w:val="en-GB"/>
        </w:rPr>
      </w:pPr>
      <w:bookmarkStart w:id="0" w:name="_Toc225385969"/>
      <w:r w:rsidRPr="00F0463E">
        <w:rPr>
          <w:color w:val="auto"/>
          <w:sz w:val="22"/>
          <w:szCs w:val="22"/>
          <w:lang w:val="en-GB"/>
        </w:rPr>
        <w:lastRenderedPageBreak/>
        <w:t>Introduction</w:t>
      </w:r>
      <w:bookmarkEnd w:id="0"/>
      <w:r w:rsidR="00F56E34" w:rsidRPr="00F0463E">
        <w:rPr>
          <w:color w:val="auto"/>
          <w:sz w:val="22"/>
          <w:szCs w:val="22"/>
          <w:lang w:val="en-GB"/>
        </w:rPr>
        <w:tab/>
      </w:r>
    </w:p>
    <w:p w14:paraId="56C4FF06" w14:textId="7C20DBB1" w:rsidR="007971FF" w:rsidRPr="00F0463E" w:rsidRDefault="007971FF" w:rsidP="00376FBC">
      <w:pPr>
        <w:pStyle w:val="NormalWeb"/>
        <w:spacing w:line="360" w:lineRule="auto"/>
        <w:jc w:val="both"/>
        <w:rPr>
          <w:rFonts w:ascii="Arial" w:hAnsi="Arial" w:cs="Arial"/>
          <w:sz w:val="22"/>
          <w:szCs w:val="22"/>
        </w:rPr>
      </w:pPr>
      <w:r w:rsidRPr="00F0463E">
        <w:rPr>
          <w:rFonts w:ascii="Arial" w:hAnsi="Arial" w:cs="Arial"/>
          <w:sz w:val="22"/>
          <w:szCs w:val="22"/>
        </w:rPr>
        <w:t>The environment in Human Resource (HR) departments around the United Kingdom is challenging and fast-evolving. Organi</w:t>
      </w:r>
      <w:r w:rsidR="00F0463E">
        <w:rPr>
          <w:rFonts w:ascii="Arial" w:hAnsi="Arial" w:cs="Arial"/>
          <w:sz w:val="22"/>
          <w:szCs w:val="22"/>
        </w:rPr>
        <w:t>s</w:t>
      </w:r>
      <w:r w:rsidRPr="00F0463E">
        <w:rPr>
          <w:rFonts w:ascii="Arial" w:hAnsi="Arial" w:cs="Arial"/>
          <w:sz w:val="22"/>
          <w:szCs w:val="22"/>
        </w:rPr>
        <w:t xml:space="preserve">ations have to grapple with disruptive technologies, the heightened competition in the market of qualified workers, and the growing pressure to create fair workplaces in society. One of the most bright and modern companies to check the existence of these HR challenges is Marks and Spencer Group </w:t>
      </w:r>
      <w:r w:rsidR="006F030E" w:rsidRPr="00F0463E">
        <w:rPr>
          <w:rFonts w:ascii="Arial" w:hAnsi="Arial" w:cs="Arial"/>
          <w:sz w:val="22"/>
          <w:szCs w:val="22"/>
        </w:rPr>
        <w:t>plc.</w:t>
      </w:r>
      <w:r w:rsidRPr="00F0463E">
        <w:rPr>
          <w:rFonts w:ascii="Arial" w:hAnsi="Arial" w:cs="Arial"/>
          <w:sz w:val="22"/>
          <w:szCs w:val="22"/>
        </w:rPr>
        <w:t xml:space="preserve"> (M&amp;S), one of the most successful retail and food corporations in the United Kingdom with about 64,000 staff members. This report discusses three HR challenges that M&amp;S faces: keeping pace with technological development, attracting and keeping talent, and Diversity, Equity and Inclusion (DEI). It assesses the applicable modern HR practices to handle every issue and critically analy</w:t>
      </w:r>
      <w:r w:rsidR="00F0463E">
        <w:rPr>
          <w:rFonts w:ascii="Arial" w:hAnsi="Arial" w:cs="Arial"/>
          <w:sz w:val="22"/>
          <w:szCs w:val="22"/>
        </w:rPr>
        <w:t>s</w:t>
      </w:r>
      <w:r w:rsidRPr="00F0463E">
        <w:rPr>
          <w:rFonts w:ascii="Arial" w:hAnsi="Arial" w:cs="Arial"/>
          <w:sz w:val="22"/>
          <w:szCs w:val="22"/>
        </w:rPr>
        <w:t>es how departmental managers can guarantee the adoption of the practices in good time. To summarize, the report is concluded with practical recommendations based on academic evidence.</w:t>
      </w:r>
    </w:p>
    <w:p w14:paraId="5E7860D8" w14:textId="77777777" w:rsidR="007971FF" w:rsidRPr="00F0463E" w:rsidRDefault="00373309" w:rsidP="00376FBC">
      <w:pPr>
        <w:pStyle w:val="Heading1"/>
        <w:spacing w:line="360" w:lineRule="auto"/>
        <w:rPr>
          <w:sz w:val="22"/>
          <w:szCs w:val="22"/>
          <w:lang w:val="en-GB"/>
        </w:rPr>
      </w:pPr>
      <w:bookmarkStart w:id="1" w:name="_Toc225385970"/>
      <w:r w:rsidRPr="00F0463E">
        <w:rPr>
          <w:sz w:val="22"/>
          <w:szCs w:val="22"/>
          <w:lang w:val="en-GB"/>
        </w:rPr>
        <w:t xml:space="preserve">2. </w:t>
      </w:r>
      <w:r w:rsidR="007971FF" w:rsidRPr="00F0463E">
        <w:rPr>
          <w:sz w:val="22"/>
          <w:szCs w:val="22"/>
          <w:lang w:val="en-GB"/>
        </w:rPr>
        <w:t>Major HR Issues at Marks and Spencer</w:t>
      </w:r>
      <w:bookmarkEnd w:id="1"/>
    </w:p>
    <w:p w14:paraId="4B282C3D" w14:textId="77777777" w:rsidR="007971FF" w:rsidRPr="00F0463E" w:rsidRDefault="007971FF" w:rsidP="00376FBC">
      <w:pPr>
        <w:pStyle w:val="Heading2"/>
        <w:spacing w:line="360" w:lineRule="auto"/>
        <w:rPr>
          <w:sz w:val="22"/>
          <w:szCs w:val="22"/>
          <w:lang w:val="en-GB"/>
        </w:rPr>
      </w:pPr>
      <w:bookmarkStart w:id="2" w:name="_Toc225385971"/>
      <w:r w:rsidRPr="00F0463E">
        <w:rPr>
          <w:sz w:val="22"/>
          <w:szCs w:val="22"/>
          <w:lang w:val="en-GB"/>
        </w:rPr>
        <w:t>2.1 Cat</w:t>
      </w:r>
      <w:r w:rsidR="00373309" w:rsidRPr="00F0463E">
        <w:rPr>
          <w:sz w:val="22"/>
          <w:szCs w:val="22"/>
          <w:lang w:val="en-GB"/>
        </w:rPr>
        <w:t>ering to Technological Progress</w:t>
      </w:r>
      <w:bookmarkEnd w:id="2"/>
    </w:p>
    <w:p w14:paraId="5F35FDF8" w14:textId="4D8A6E69" w:rsidR="007971FF" w:rsidRPr="00F0463E" w:rsidRDefault="007971FF" w:rsidP="00376FBC">
      <w:pPr>
        <w:spacing w:line="360" w:lineRule="auto"/>
        <w:jc w:val="both"/>
      </w:pPr>
      <w:r w:rsidRPr="00F0463E">
        <w:t>The fourth industrial revolution has radically redefined the skills demand of organi</w:t>
      </w:r>
      <w:r w:rsidR="00F0463E">
        <w:t>s</w:t>
      </w:r>
      <w:r w:rsidRPr="00F0463E">
        <w:t xml:space="preserve">ations. </w:t>
      </w:r>
      <w:r w:rsidR="000646B2" w:rsidRPr="00F0463E">
        <w:t xml:space="preserve">The rapid implementation of artificial intelligence (AI), automation, and data analytics in the supply chain management, customer experience, and workforce planning at M&amp;S has introduced a continuous digital skills gap among the existing employees (Marks and Spencer Group plc., 2024). </w:t>
      </w:r>
      <w:r w:rsidR="00827F2A" w:rsidRPr="00F0463E">
        <w:t>Zhang and Chen (2024</w:t>
      </w:r>
      <w:r w:rsidRPr="00F0463E">
        <w:t>) posit that the position of HR is becoming more of a 'digital architect' in the sense that it integrates technology literacy into all people management processes instead of considering digital transformation as an IT issue.</w:t>
      </w:r>
    </w:p>
    <w:p w14:paraId="355CFCD2" w14:textId="4BC638DF" w:rsidR="00376FBC" w:rsidRPr="00F0463E" w:rsidRDefault="007971FF" w:rsidP="00376FBC">
      <w:pPr>
        <w:pStyle w:val="NormalWeb"/>
        <w:spacing w:line="360" w:lineRule="auto"/>
        <w:jc w:val="both"/>
        <w:rPr>
          <w:rFonts w:ascii="Arial" w:hAnsi="Arial" w:cs="Arial"/>
          <w:sz w:val="22"/>
          <w:szCs w:val="22"/>
        </w:rPr>
      </w:pPr>
      <w:r w:rsidRPr="00F0463E">
        <w:rPr>
          <w:rFonts w:ascii="Arial" w:hAnsi="Arial" w:cs="Arial"/>
          <w:sz w:val="22"/>
          <w:szCs w:val="22"/>
        </w:rPr>
        <w:t xml:space="preserve">In the case of M&amp;S, this is especially sharp in the workforce employed in its stores, where the employees with little digital experience have to learn new point-of-sale systems, automated inventory solutions, and artificial intelligence-based personalization systems. According to the CIPD (2024), the top three workforce challenges for UK employers are skill gaps related to technology, with 62% of HR professionals stating that they have challenges in </w:t>
      </w:r>
      <w:r w:rsidR="006F030E" w:rsidRPr="00F0463E">
        <w:rPr>
          <w:rFonts w:ascii="Arial" w:hAnsi="Arial" w:cs="Arial"/>
          <w:sz w:val="22"/>
          <w:szCs w:val="22"/>
        </w:rPr>
        <w:t>up skilling</w:t>
      </w:r>
      <w:r w:rsidRPr="00F0463E">
        <w:rPr>
          <w:rFonts w:ascii="Arial" w:hAnsi="Arial" w:cs="Arial"/>
          <w:sz w:val="22"/>
          <w:szCs w:val="22"/>
        </w:rPr>
        <w:t xml:space="preserve"> employees at the rate of technological change. The lack of this gap poses a threat of inefficient operations, decreased customer satisfaction, and a loss of competitive advantage in a growing digital retail environment.</w:t>
      </w:r>
    </w:p>
    <w:p w14:paraId="0E80AB9D" w14:textId="77777777" w:rsidR="00376FBC" w:rsidRPr="00F0463E" w:rsidRDefault="00376FBC">
      <w:pPr>
        <w:rPr>
          <w:rFonts w:eastAsia="Times New Roman"/>
        </w:rPr>
      </w:pPr>
      <w:r w:rsidRPr="00F0463E">
        <w:br w:type="page"/>
      </w:r>
    </w:p>
    <w:p w14:paraId="4B5BC314" w14:textId="77777777" w:rsidR="007971FF" w:rsidRPr="00F0463E" w:rsidRDefault="007971FF" w:rsidP="00376FBC">
      <w:pPr>
        <w:pStyle w:val="Heading2"/>
        <w:spacing w:line="360" w:lineRule="auto"/>
        <w:rPr>
          <w:sz w:val="22"/>
          <w:szCs w:val="22"/>
          <w:lang w:val="en-GB"/>
        </w:rPr>
      </w:pPr>
      <w:bookmarkStart w:id="3" w:name="_Toc225385972"/>
      <w:r w:rsidRPr="00F0463E">
        <w:rPr>
          <w:sz w:val="22"/>
          <w:szCs w:val="22"/>
          <w:lang w:val="en-GB"/>
        </w:rPr>
        <w:lastRenderedPageBreak/>
        <w:t>2.2 T</w:t>
      </w:r>
      <w:r w:rsidR="00373309" w:rsidRPr="00F0463E">
        <w:rPr>
          <w:sz w:val="22"/>
          <w:szCs w:val="22"/>
          <w:lang w:val="en-GB"/>
        </w:rPr>
        <w:t>alent Acquisition and Retention</w:t>
      </w:r>
      <w:bookmarkEnd w:id="3"/>
    </w:p>
    <w:p w14:paraId="1A57B859" w14:textId="77777777" w:rsidR="007971FF" w:rsidRPr="00F0463E" w:rsidRDefault="007971FF" w:rsidP="00376FBC">
      <w:pPr>
        <w:pStyle w:val="NormalWeb"/>
        <w:spacing w:line="360" w:lineRule="auto"/>
        <w:jc w:val="both"/>
        <w:rPr>
          <w:rFonts w:ascii="Arial" w:hAnsi="Arial" w:cs="Arial"/>
          <w:sz w:val="22"/>
          <w:szCs w:val="22"/>
        </w:rPr>
      </w:pPr>
      <w:r w:rsidRPr="00F0463E">
        <w:rPr>
          <w:rFonts w:ascii="Arial" w:hAnsi="Arial" w:cs="Arial"/>
          <w:sz w:val="22"/>
          <w:szCs w:val="22"/>
        </w:rPr>
        <w:t>Talent acquisition and retention is a twofold problem for M&amp;S. Employee turnover in the UK retail sector is among the most frequently occurring in the economy, with voluntary turnover being estimated at about 25-30 percent per annum in positions at the frontline of retail activities (Deloitte, 2024). M&amp;S has to compete not only with the traditional retail competitors like Next and John Lewis but also with digital-native ones such as Amazon, which are also willing to pay attractive wages and provide flexibility of remote working and employer brand equity.</w:t>
      </w:r>
    </w:p>
    <w:p w14:paraId="3247FF41" w14:textId="3905EF39" w:rsidR="007971FF" w:rsidRPr="00F0463E" w:rsidRDefault="007971FF" w:rsidP="00376FBC">
      <w:pPr>
        <w:pStyle w:val="NormalWeb"/>
        <w:spacing w:line="360" w:lineRule="auto"/>
        <w:jc w:val="both"/>
        <w:rPr>
          <w:rFonts w:ascii="Arial" w:hAnsi="Arial" w:cs="Arial"/>
          <w:sz w:val="22"/>
          <w:szCs w:val="22"/>
        </w:rPr>
      </w:pPr>
      <w:r w:rsidRPr="00F0463E">
        <w:rPr>
          <w:rFonts w:ascii="Arial" w:hAnsi="Arial" w:cs="Arial"/>
          <w:sz w:val="22"/>
          <w:szCs w:val="22"/>
        </w:rPr>
        <w:t>Collings et al. (2021) emphasize that the COVID-19 pandemic completely redesigned the demands of employees, emphasizing the importance of well-being, psychological safety, and purposeful work more. In the case of M&amp;S, a diverse, highly qualified workforce needs an attractive Employee Value Proposition (EVP) that is not limited to remuneration but includes career progression, working practices, and a purposeful organi</w:t>
      </w:r>
      <w:r w:rsidR="00F0463E">
        <w:rPr>
          <w:rFonts w:ascii="Arial" w:hAnsi="Arial" w:cs="Arial"/>
          <w:sz w:val="22"/>
          <w:szCs w:val="22"/>
        </w:rPr>
        <w:t>s</w:t>
      </w:r>
      <w:r w:rsidRPr="00F0463E">
        <w:rPr>
          <w:rFonts w:ascii="Arial" w:hAnsi="Arial" w:cs="Arial"/>
          <w:sz w:val="22"/>
          <w:szCs w:val="22"/>
        </w:rPr>
        <w:t>ational mission. As Noe (2022) argue, organi</w:t>
      </w:r>
      <w:r w:rsidR="00F0463E">
        <w:rPr>
          <w:rFonts w:ascii="Arial" w:hAnsi="Arial" w:cs="Arial"/>
          <w:sz w:val="22"/>
          <w:szCs w:val="22"/>
        </w:rPr>
        <w:t>s</w:t>
      </w:r>
      <w:r w:rsidRPr="00F0463E">
        <w:rPr>
          <w:rFonts w:ascii="Arial" w:hAnsi="Arial" w:cs="Arial"/>
          <w:sz w:val="22"/>
          <w:szCs w:val="22"/>
        </w:rPr>
        <w:t>ations that do not actively address their EVP have to pay more to recruit, are less knowledgeable about the organi</w:t>
      </w:r>
      <w:r w:rsidR="00F0463E">
        <w:rPr>
          <w:rFonts w:ascii="Arial" w:hAnsi="Arial" w:cs="Arial"/>
          <w:sz w:val="22"/>
          <w:szCs w:val="22"/>
        </w:rPr>
        <w:t>s</w:t>
      </w:r>
      <w:r w:rsidRPr="00F0463E">
        <w:rPr>
          <w:rFonts w:ascii="Arial" w:hAnsi="Arial" w:cs="Arial"/>
          <w:sz w:val="22"/>
          <w:szCs w:val="22"/>
        </w:rPr>
        <w:t>ation, and experience decreased morale of the staff left behind.</w:t>
      </w:r>
    </w:p>
    <w:p w14:paraId="0F18410D" w14:textId="77777777" w:rsidR="007971FF" w:rsidRPr="00F0463E" w:rsidRDefault="007971FF" w:rsidP="00376FBC">
      <w:pPr>
        <w:pStyle w:val="Heading2"/>
        <w:spacing w:line="360" w:lineRule="auto"/>
        <w:rPr>
          <w:sz w:val="22"/>
          <w:szCs w:val="22"/>
          <w:lang w:val="en-GB"/>
        </w:rPr>
      </w:pPr>
      <w:bookmarkStart w:id="4" w:name="_Toc225385973"/>
      <w:r w:rsidRPr="00F0463E">
        <w:rPr>
          <w:sz w:val="22"/>
          <w:szCs w:val="22"/>
          <w:lang w:val="en-GB"/>
        </w:rPr>
        <w:t>2.3 Diversi</w:t>
      </w:r>
      <w:r w:rsidR="00373309" w:rsidRPr="00F0463E">
        <w:rPr>
          <w:sz w:val="22"/>
          <w:szCs w:val="22"/>
          <w:lang w:val="en-GB"/>
        </w:rPr>
        <w:t>ty, Equity, and Inclusion (DEI)</w:t>
      </w:r>
      <w:bookmarkEnd w:id="4"/>
    </w:p>
    <w:p w14:paraId="30843A6F" w14:textId="17A6E9D1" w:rsidR="007971FF" w:rsidRPr="00F0463E" w:rsidRDefault="007971FF" w:rsidP="00376FBC">
      <w:pPr>
        <w:pStyle w:val="NormalWeb"/>
        <w:spacing w:line="360" w:lineRule="auto"/>
        <w:jc w:val="both"/>
        <w:rPr>
          <w:rFonts w:ascii="Arial" w:hAnsi="Arial" w:cs="Arial"/>
          <w:sz w:val="22"/>
          <w:szCs w:val="22"/>
        </w:rPr>
      </w:pPr>
      <w:r w:rsidRPr="00F0463E">
        <w:rPr>
          <w:rFonts w:ascii="Arial" w:hAnsi="Arial" w:cs="Arial"/>
          <w:sz w:val="22"/>
          <w:szCs w:val="22"/>
        </w:rPr>
        <w:t>The regulatory pressure, the stakeholder attention, and the increasing evidence of the connection between workforce diversity and better financial performance and innovation have led DEI to become a strategic priority and a critical strategic need for UK organi</w:t>
      </w:r>
      <w:r w:rsidR="00F0463E">
        <w:rPr>
          <w:rFonts w:ascii="Arial" w:hAnsi="Arial" w:cs="Arial"/>
          <w:sz w:val="22"/>
          <w:szCs w:val="22"/>
        </w:rPr>
        <w:t>s</w:t>
      </w:r>
      <w:r w:rsidRPr="00F0463E">
        <w:rPr>
          <w:rFonts w:ascii="Arial" w:hAnsi="Arial" w:cs="Arial"/>
          <w:sz w:val="22"/>
          <w:szCs w:val="22"/>
        </w:rPr>
        <w:t xml:space="preserve">ations. </w:t>
      </w:r>
      <w:r w:rsidR="002731B2" w:rsidRPr="00F0463E">
        <w:rPr>
          <w:rFonts w:ascii="Arial" w:hAnsi="Arial" w:cs="Arial"/>
          <w:color w:val="222222"/>
          <w:sz w:val="22"/>
          <w:szCs w:val="22"/>
          <w:shd w:val="clear" w:color="auto" w:fill="FFFFFF"/>
        </w:rPr>
        <w:t>Dixon-Fyle</w:t>
      </w:r>
      <w:r w:rsidR="002731B2" w:rsidRPr="00F0463E">
        <w:rPr>
          <w:rFonts w:ascii="Arial" w:hAnsi="Arial" w:cs="Arial"/>
          <w:sz w:val="22"/>
          <w:szCs w:val="22"/>
        </w:rPr>
        <w:t xml:space="preserve"> et al. (2020</w:t>
      </w:r>
      <w:r w:rsidRPr="00F0463E">
        <w:rPr>
          <w:rFonts w:ascii="Arial" w:hAnsi="Arial" w:cs="Arial"/>
          <w:sz w:val="22"/>
          <w:szCs w:val="22"/>
        </w:rPr>
        <w:t xml:space="preserve">) discovered that the most gender-diverse companies (which were in the top quarter) were 25 times more prone to realize above-average profitability compared to the worst (in the bottom quarter). In the case of M&amp;S, even though it has publicly dedicated itself to diversity, its internal reporting confirms that there is underrepresentation of employees of ethnic minorities among senior leaders (Marks and Spencer Group </w:t>
      </w:r>
      <w:r w:rsidR="006F030E" w:rsidRPr="00F0463E">
        <w:rPr>
          <w:rFonts w:ascii="Arial" w:hAnsi="Arial" w:cs="Arial"/>
          <w:sz w:val="22"/>
          <w:szCs w:val="22"/>
        </w:rPr>
        <w:t>plc.</w:t>
      </w:r>
      <w:r w:rsidRPr="00F0463E">
        <w:rPr>
          <w:rFonts w:ascii="Arial" w:hAnsi="Arial" w:cs="Arial"/>
          <w:sz w:val="22"/>
          <w:szCs w:val="22"/>
        </w:rPr>
        <w:t xml:space="preserve"> 2024).</w:t>
      </w:r>
    </w:p>
    <w:p w14:paraId="33B6422A" w14:textId="498EEBB2" w:rsidR="006261E1" w:rsidRPr="00F0463E" w:rsidRDefault="007971FF" w:rsidP="00376FBC">
      <w:pPr>
        <w:pStyle w:val="NormalWeb"/>
        <w:spacing w:line="360" w:lineRule="auto"/>
        <w:jc w:val="both"/>
        <w:rPr>
          <w:rFonts w:ascii="Arial" w:hAnsi="Arial" w:cs="Arial"/>
          <w:sz w:val="22"/>
          <w:szCs w:val="22"/>
        </w:rPr>
      </w:pPr>
      <w:r w:rsidRPr="00F0463E">
        <w:rPr>
          <w:rFonts w:ascii="Arial" w:hAnsi="Arial" w:cs="Arial"/>
          <w:sz w:val="22"/>
          <w:szCs w:val="22"/>
        </w:rPr>
        <w:t>M&amp;S is not faced only with the issue of recruitment but also with structural inclusion: the company needs to feel psychologically out of danger for its diverse employees, support them with equal developmental opportunities, and lose them not by attrition to any disproportionate degree. Pichler</w:t>
      </w:r>
      <w:r w:rsidR="0016158A" w:rsidRPr="00F0463E">
        <w:rPr>
          <w:rFonts w:ascii="Arial" w:hAnsi="Arial" w:cs="Arial"/>
          <w:sz w:val="22"/>
          <w:szCs w:val="22"/>
        </w:rPr>
        <w:t xml:space="preserve"> et al.</w:t>
      </w:r>
      <w:r w:rsidRPr="00F0463E">
        <w:rPr>
          <w:rFonts w:ascii="Arial" w:hAnsi="Arial" w:cs="Arial"/>
          <w:sz w:val="22"/>
          <w:szCs w:val="22"/>
        </w:rPr>
        <w:t xml:space="preserve"> (2021) warn that any superficial DEI programs may lead to the development of diversity fatigue in employees unless supported by systemic change, open reporting, and actual leadership responsibility.</w:t>
      </w:r>
    </w:p>
    <w:p w14:paraId="72150B2A" w14:textId="77777777" w:rsidR="008B0239" w:rsidRPr="00F0463E" w:rsidRDefault="008B0239" w:rsidP="00376FBC">
      <w:pPr>
        <w:pStyle w:val="NormalWeb"/>
        <w:spacing w:line="360" w:lineRule="auto"/>
        <w:jc w:val="both"/>
        <w:rPr>
          <w:rFonts w:ascii="Arial" w:hAnsi="Arial" w:cs="Arial"/>
          <w:sz w:val="22"/>
          <w:szCs w:val="22"/>
        </w:rPr>
      </w:pPr>
    </w:p>
    <w:p w14:paraId="2C5A3628" w14:textId="77777777" w:rsidR="007971FF" w:rsidRPr="00F0463E" w:rsidRDefault="007971FF" w:rsidP="00376FBC">
      <w:pPr>
        <w:pStyle w:val="Heading1"/>
        <w:spacing w:line="360" w:lineRule="auto"/>
        <w:rPr>
          <w:sz w:val="22"/>
          <w:szCs w:val="22"/>
          <w:lang w:val="en-GB"/>
        </w:rPr>
      </w:pPr>
      <w:bookmarkStart w:id="5" w:name="_Toc225385974"/>
      <w:r w:rsidRPr="00F0463E">
        <w:rPr>
          <w:sz w:val="22"/>
          <w:szCs w:val="22"/>
          <w:lang w:val="en-GB"/>
        </w:rPr>
        <w:lastRenderedPageBreak/>
        <w:t>3. A</w:t>
      </w:r>
      <w:r w:rsidR="00373309" w:rsidRPr="00F0463E">
        <w:rPr>
          <w:sz w:val="22"/>
          <w:szCs w:val="22"/>
          <w:lang w:val="en-GB"/>
        </w:rPr>
        <w:t>ssessment of Modern HR Practice</w:t>
      </w:r>
      <w:bookmarkEnd w:id="5"/>
    </w:p>
    <w:p w14:paraId="1BDC6597" w14:textId="77777777" w:rsidR="00C4482F" w:rsidRPr="00F0463E" w:rsidRDefault="00DF378C" w:rsidP="00376FBC">
      <w:pPr>
        <w:spacing w:before="200" w:after="100" w:line="360" w:lineRule="auto"/>
        <w:jc w:val="both"/>
      </w:pPr>
      <w:r w:rsidRPr="00F0463E">
        <w:rPr>
          <w:b/>
          <w:bCs/>
        </w:rPr>
        <w:t>Table 1</w:t>
      </w:r>
      <w:r w:rsidRPr="00F0463E">
        <w:rPr>
          <w:b/>
          <w:bCs/>
          <w:color w:val="1F3864"/>
        </w:rPr>
        <w:t xml:space="preserve">: </w:t>
      </w:r>
      <w:r w:rsidRPr="00F0463E">
        <w:rPr>
          <w:bCs/>
        </w:rPr>
        <w:t>Evaluation of Contemporary HR Practices at Marks &amp; Spencer</w:t>
      </w:r>
    </w:p>
    <w:tbl>
      <w:tblPr>
        <w:tblW w:w="9360" w:type="dxa"/>
        <w:tblInd w:w="1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2200"/>
        <w:gridCol w:w="2600"/>
        <w:gridCol w:w="2560"/>
      </w:tblGrid>
      <w:tr w:rsidR="00C4482F" w:rsidRPr="00F0463E" w14:paraId="37C12DCD" w14:textId="77777777">
        <w:tc>
          <w:tcPr>
            <w:tcW w:w="2000" w:type="dxa"/>
            <w:tcBorders>
              <w:top w:val="single" w:sz="1" w:space="0" w:color="2E75B6"/>
              <w:left w:val="single" w:sz="1" w:space="0" w:color="2E75B6"/>
              <w:bottom w:val="single" w:sz="1" w:space="0" w:color="2E75B6"/>
              <w:right w:val="single" w:sz="1" w:space="0" w:color="2E75B6"/>
            </w:tcBorders>
            <w:shd w:val="clear" w:color="auto" w:fill="2E75B6"/>
            <w:tcMar>
              <w:top w:w="100" w:type="dxa"/>
              <w:left w:w="120" w:type="dxa"/>
              <w:bottom w:w="100" w:type="dxa"/>
              <w:right w:w="120" w:type="dxa"/>
            </w:tcMar>
          </w:tcPr>
          <w:p w14:paraId="71320926" w14:textId="77777777" w:rsidR="00C4482F" w:rsidRPr="00F0463E" w:rsidRDefault="00DF378C" w:rsidP="00376FBC">
            <w:pPr>
              <w:spacing w:line="360" w:lineRule="auto"/>
              <w:jc w:val="both"/>
            </w:pPr>
            <w:r w:rsidRPr="00F0463E">
              <w:rPr>
                <w:b/>
                <w:bCs/>
                <w:color w:val="FFFFFF"/>
              </w:rPr>
              <w:t>HR Practice</w:t>
            </w:r>
          </w:p>
        </w:tc>
        <w:tc>
          <w:tcPr>
            <w:tcW w:w="2200" w:type="dxa"/>
            <w:tcBorders>
              <w:top w:val="single" w:sz="1" w:space="0" w:color="2E75B6"/>
              <w:left w:val="single" w:sz="1" w:space="0" w:color="2E75B6"/>
              <w:bottom w:val="single" w:sz="1" w:space="0" w:color="2E75B6"/>
              <w:right w:val="single" w:sz="1" w:space="0" w:color="2E75B6"/>
            </w:tcBorders>
            <w:shd w:val="clear" w:color="auto" w:fill="2E75B6"/>
            <w:tcMar>
              <w:top w:w="100" w:type="dxa"/>
              <w:left w:w="120" w:type="dxa"/>
              <w:bottom w:w="100" w:type="dxa"/>
              <w:right w:w="120" w:type="dxa"/>
            </w:tcMar>
          </w:tcPr>
          <w:p w14:paraId="2795F8F5" w14:textId="77777777" w:rsidR="00C4482F" w:rsidRPr="00F0463E" w:rsidRDefault="00DF378C" w:rsidP="00376FBC">
            <w:pPr>
              <w:spacing w:line="360" w:lineRule="auto"/>
              <w:jc w:val="both"/>
            </w:pPr>
            <w:r w:rsidRPr="00F0463E">
              <w:rPr>
                <w:b/>
                <w:bCs/>
                <w:color w:val="FFFFFF"/>
              </w:rPr>
              <w:t>Challenge Addressed</w:t>
            </w:r>
          </w:p>
        </w:tc>
        <w:tc>
          <w:tcPr>
            <w:tcW w:w="2600" w:type="dxa"/>
            <w:tcBorders>
              <w:top w:val="single" w:sz="1" w:space="0" w:color="2E75B6"/>
              <w:left w:val="single" w:sz="1" w:space="0" w:color="2E75B6"/>
              <w:bottom w:val="single" w:sz="1" w:space="0" w:color="2E75B6"/>
              <w:right w:val="single" w:sz="1" w:space="0" w:color="2E75B6"/>
            </w:tcBorders>
            <w:shd w:val="clear" w:color="auto" w:fill="2E75B6"/>
            <w:tcMar>
              <w:top w:w="100" w:type="dxa"/>
              <w:left w:w="120" w:type="dxa"/>
              <w:bottom w:w="100" w:type="dxa"/>
              <w:right w:w="120" w:type="dxa"/>
            </w:tcMar>
          </w:tcPr>
          <w:p w14:paraId="3F7C961C" w14:textId="77777777" w:rsidR="00C4482F" w:rsidRPr="00F0463E" w:rsidRDefault="00DF378C" w:rsidP="00376FBC">
            <w:pPr>
              <w:spacing w:line="360" w:lineRule="auto"/>
              <w:jc w:val="both"/>
            </w:pPr>
            <w:r w:rsidRPr="00F0463E">
              <w:rPr>
                <w:b/>
                <w:bCs/>
                <w:color w:val="FFFFFF"/>
              </w:rPr>
              <w:t>Benefits</w:t>
            </w:r>
          </w:p>
        </w:tc>
        <w:tc>
          <w:tcPr>
            <w:tcW w:w="2560" w:type="dxa"/>
            <w:tcBorders>
              <w:top w:val="single" w:sz="1" w:space="0" w:color="2E75B6"/>
              <w:left w:val="single" w:sz="1" w:space="0" w:color="2E75B6"/>
              <w:bottom w:val="single" w:sz="1" w:space="0" w:color="2E75B6"/>
              <w:right w:val="single" w:sz="1" w:space="0" w:color="2E75B6"/>
            </w:tcBorders>
            <w:shd w:val="clear" w:color="auto" w:fill="2E75B6"/>
            <w:tcMar>
              <w:top w:w="100" w:type="dxa"/>
              <w:left w:w="120" w:type="dxa"/>
              <w:bottom w:w="100" w:type="dxa"/>
              <w:right w:w="120" w:type="dxa"/>
            </w:tcMar>
          </w:tcPr>
          <w:p w14:paraId="29979879" w14:textId="77777777" w:rsidR="00C4482F" w:rsidRPr="00F0463E" w:rsidRDefault="00DF378C" w:rsidP="00376FBC">
            <w:pPr>
              <w:spacing w:line="360" w:lineRule="auto"/>
              <w:jc w:val="both"/>
            </w:pPr>
            <w:r w:rsidRPr="00F0463E">
              <w:rPr>
                <w:b/>
                <w:bCs/>
                <w:color w:val="FFFFFF"/>
              </w:rPr>
              <w:t>Limitations</w:t>
            </w:r>
          </w:p>
        </w:tc>
      </w:tr>
      <w:tr w:rsidR="00C4482F" w:rsidRPr="00F0463E" w14:paraId="3DF5D059" w14:textId="77777777">
        <w:tc>
          <w:tcPr>
            <w:tcW w:w="2000" w:type="dxa"/>
            <w:tcBorders>
              <w:top w:val="single" w:sz="1" w:space="0" w:color="2E75B6"/>
              <w:left w:val="single" w:sz="1" w:space="0" w:color="2E75B6"/>
              <w:bottom w:val="single" w:sz="1" w:space="0" w:color="2E75B6"/>
              <w:right w:val="single" w:sz="1" w:space="0" w:color="2E75B6"/>
            </w:tcBorders>
            <w:shd w:val="clear" w:color="auto" w:fill="EBF3FB"/>
            <w:tcMar>
              <w:top w:w="80" w:type="dxa"/>
              <w:left w:w="120" w:type="dxa"/>
              <w:bottom w:w="80" w:type="dxa"/>
              <w:right w:w="120" w:type="dxa"/>
            </w:tcMar>
          </w:tcPr>
          <w:p w14:paraId="0906F522" w14:textId="77777777" w:rsidR="00C4482F" w:rsidRPr="00F0463E" w:rsidRDefault="00DF378C" w:rsidP="00376FBC">
            <w:pPr>
              <w:spacing w:line="360" w:lineRule="auto"/>
              <w:jc w:val="both"/>
            </w:pPr>
            <w:r w:rsidRPr="00F0463E">
              <w:t>AI-Powered L&amp;D</w:t>
            </w:r>
          </w:p>
        </w:tc>
        <w:tc>
          <w:tcPr>
            <w:tcW w:w="2200" w:type="dxa"/>
            <w:tcBorders>
              <w:top w:val="single" w:sz="1" w:space="0" w:color="2E75B6"/>
              <w:left w:val="single" w:sz="1" w:space="0" w:color="2E75B6"/>
              <w:bottom w:val="single" w:sz="1" w:space="0" w:color="2E75B6"/>
              <w:right w:val="single" w:sz="1" w:space="0" w:color="2E75B6"/>
            </w:tcBorders>
            <w:shd w:val="clear" w:color="auto" w:fill="EBF3FB"/>
            <w:tcMar>
              <w:top w:w="80" w:type="dxa"/>
              <w:left w:w="120" w:type="dxa"/>
              <w:bottom w:w="80" w:type="dxa"/>
              <w:right w:w="120" w:type="dxa"/>
            </w:tcMar>
          </w:tcPr>
          <w:p w14:paraId="6AF6BCCA" w14:textId="77777777" w:rsidR="00C4482F" w:rsidRPr="00F0463E" w:rsidRDefault="00DF378C" w:rsidP="00376FBC">
            <w:pPr>
              <w:spacing w:line="360" w:lineRule="auto"/>
              <w:jc w:val="both"/>
            </w:pPr>
            <w:r w:rsidRPr="00F0463E">
              <w:t>Technology gap</w:t>
            </w:r>
          </w:p>
        </w:tc>
        <w:tc>
          <w:tcPr>
            <w:tcW w:w="2600" w:type="dxa"/>
            <w:tcBorders>
              <w:top w:val="single" w:sz="1" w:space="0" w:color="2E75B6"/>
              <w:left w:val="single" w:sz="1" w:space="0" w:color="2E75B6"/>
              <w:bottom w:val="single" w:sz="1" w:space="0" w:color="2E75B6"/>
              <w:right w:val="single" w:sz="1" w:space="0" w:color="2E75B6"/>
            </w:tcBorders>
            <w:shd w:val="clear" w:color="auto" w:fill="EBF3FB"/>
            <w:tcMar>
              <w:top w:w="80" w:type="dxa"/>
              <w:left w:w="120" w:type="dxa"/>
              <w:bottom w:w="80" w:type="dxa"/>
              <w:right w:w="120" w:type="dxa"/>
            </w:tcMar>
          </w:tcPr>
          <w:p w14:paraId="16B58E5E" w14:textId="77777777" w:rsidR="00C4482F" w:rsidRPr="00F0463E" w:rsidRDefault="00DF378C" w:rsidP="00376FBC">
            <w:pPr>
              <w:spacing w:line="360" w:lineRule="auto"/>
              <w:jc w:val="both"/>
            </w:pPr>
            <w:r w:rsidRPr="00F0463E">
              <w:t xml:space="preserve">Scalable, </w:t>
            </w:r>
            <w:r w:rsidR="006F030E" w:rsidRPr="00F0463E">
              <w:t>personalized</w:t>
            </w:r>
            <w:r w:rsidRPr="00F0463E">
              <w:t xml:space="preserve"> learning; 24/7 access</w:t>
            </w:r>
          </w:p>
        </w:tc>
        <w:tc>
          <w:tcPr>
            <w:tcW w:w="2560" w:type="dxa"/>
            <w:tcBorders>
              <w:top w:val="single" w:sz="1" w:space="0" w:color="2E75B6"/>
              <w:left w:val="single" w:sz="1" w:space="0" w:color="2E75B6"/>
              <w:bottom w:val="single" w:sz="1" w:space="0" w:color="2E75B6"/>
              <w:right w:val="single" w:sz="1" w:space="0" w:color="2E75B6"/>
            </w:tcBorders>
            <w:shd w:val="clear" w:color="auto" w:fill="EBF3FB"/>
            <w:tcMar>
              <w:top w:w="80" w:type="dxa"/>
              <w:left w:w="120" w:type="dxa"/>
              <w:bottom w:w="80" w:type="dxa"/>
              <w:right w:w="120" w:type="dxa"/>
            </w:tcMar>
          </w:tcPr>
          <w:p w14:paraId="4E235EB9" w14:textId="77777777" w:rsidR="00C4482F" w:rsidRPr="00F0463E" w:rsidRDefault="00DF378C" w:rsidP="00376FBC">
            <w:pPr>
              <w:spacing w:line="360" w:lineRule="auto"/>
              <w:jc w:val="both"/>
            </w:pPr>
            <w:r w:rsidRPr="00F0463E">
              <w:t>High implementation cost; requires digital literacy</w:t>
            </w:r>
          </w:p>
        </w:tc>
      </w:tr>
      <w:tr w:rsidR="00C4482F" w:rsidRPr="00F0463E" w14:paraId="74205D04" w14:textId="77777777">
        <w:tc>
          <w:tcPr>
            <w:tcW w:w="2000" w:type="dxa"/>
            <w:tcBorders>
              <w:top w:val="single" w:sz="1" w:space="0" w:color="2E75B6"/>
              <w:left w:val="single" w:sz="1" w:space="0" w:color="2E75B6"/>
              <w:bottom w:val="single" w:sz="1" w:space="0" w:color="2E75B6"/>
              <w:right w:val="single" w:sz="1" w:space="0" w:color="2E75B6"/>
            </w:tcBorders>
            <w:shd w:val="clear" w:color="auto" w:fill="FFFFFF"/>
            <w:tcMar>
              <w:top w:w="80" w:type="dxa"/>
              <w:left w:w="120" w:type="dxa"/>
              <w:bottom w:w="80" w:type="dxa"/>
              <w:right w:w="120" w:type="dxa"/>
            </w:tcMar>
          </w:tcPr>
          <w:p w14:paraId="1A46CAD0" w14:textId="77777777" w:rsidR="00C4482F" w:rsidRPr="00F0463E" w:rsidRDefault="00DF378C" w:rsidP="00376FBC">
            <w:pPr>
              <w:spacing w:line="360" w:lineRule="auto"/>
              <w:jc w:val="both"/>
            </w:pPr>
            <w:r w:rsidRPr="00F0463E">
              <w:t>Hybrid Working Model</w:t>
            </w:r>
          </w:p>
        </w:tc>
        <w:tc>
          <w:tcPr>
            <w:tcW w:w="2200" w:type="dxa"/>
            <w:tcBorders>
              <w:top w:val="single" w:sz="1" w:space="0" w:color="2E75B6"/>
              <w:left w:val="single" w:sz="1" w:space="0" w:color="2E75B6"/>
              <w:bottom w:val="single" w:sz="1" w:space="0" w:color="2E75B6"/>
              <w:right w:val="single" w:sz="1" w:space="0" w:color="2E75B6"/>
            </w:tcBorders>
            <w:shd w:val="clear" w:color="auto" w:fill="FFFFFF"/>
            <w:tcMar>
              <w:top w:w="80" w:type="dxa"/>
              <w:left w:w="120" w:type="dxa"/>
              <w:bottom w:w="80" w:type="dxa"/>
              <w:right w:w="120" w:type="dxa"/>
            </w:tcMar>
          </w:tcPr>
          <w:p w14:paraId="28DF574B" w14:textId="77777777" w:rsidR="00C4482F" w:rsidRPr="00F0463E" w:rsidRDefault="00DF378C" w:rsidP="00376FBC">
            <w:pPr>
              <w:spacing w:line="360" w:lineRule="auto"/>
              <w:jc w:val="both"/>
            </w:pPr>
            <w:r w:rsidRPr="00F0463E">
              <w:t>Talent retention</w:t>
            </w:r>
          </w:p>
        </w:tc>
        <w:tc>
          <w:tcPr>
            <w:tcW w:w="2600" w:type="dxa"/>
            <w:tcBorders>
              <w:top w:val="single" w:sz="1" w:space="0" w:color="2E75B6"/>
              <w:left w:val="single" w:sz="1" w:space="0" w:color="2E75B6"/>
              <w:bottom w:val="single" w:sz="1" w:space="0" w:color="2E75B6"/>
              <w:right w:val="single" w:sz="1" w:space="0" w:color="2E75B6"/>
            </w:tcBorders>
            <w:shd w:val="clear" w:color="auto" w:fill="FFFFFF"/>
            <w:tcMar>
              <w:top w:w="80" w:type="dxa"/>
              <w:left w:w="120" w:type="dxa"/>
              <w:bottom w:w="80" w:type="dxa"/>
              <w:right w:w="120" w:type="dxa"/>
            </w:tcMar>
          </w:tcPr>
          <w:p w14:paraId="1B24A7E6" w14:textId="77777777" w:rsidR="00C4482F" w:rsidRPr="00F0463E" w:rsidRDefault="00DF378C" w:rsidP="00376FBC">
            <w:pPr>
              <w:spacing w:line="360" w:lineRule="auto"/>
              <w:jc w:val="both"/>
            </w:pPr>
            <w:r w:rsidRPr="00F0463E">
              <w:t>Improved work-life balance; reduced turnover</w:t>
            </w:r>
          </w:p>
        </w:tc>
        <w:tc>
          <w:tcPr>
            <w:tcW w:w="2560" w:type="dxa"/>
            <w:tcBorders>
              <w:top w:val="single" w:sz="1" w:space="0" w:color="2E75B6"/>
              <w:left w:val="single" w:sz="1" w:space="0" w:color="2E75B6"/>
              <w:bottom w:val="single" w:sz="1" w:space="0" w:color="2E75B6"/>
              <w:right w:val="single" w:sz="1" w:space="0" w:color="2E75B6"/>
            </w:tcBorders>
            <w:shd w:val="clear" w:color="auto" w:fill="FFFFFF"/>
            <w:tcMar>
              <w:top w:w="80" w:type="dxa"/>
              <w:left w:w="120" w:type="dxa"/>
              <w:bottom w:w="80" w:type="dxa"/>
              <w:right w:w="120" w:type="dxa"/>
            </w:tcMar>
          </w:tcPr>
          <w:p w14:paraId="6849D940" w14:textId="77777777" w:rsidR="00C4482F" w:rsidRPr="00F0463E" w:rsidRDefault="00DF378C" w:rsidP="00376FBC">
            <w:pPr>
              <w:spacing w:line="360" w:lineRule="auto"/>
              <w:jc w:val="both"/>
            </w:pPr>
            <w:r w:rsidRPr="00F0463E">
              <w:t>Risk of disengagement; coordination challenges</w:t>
            </w:r>
          </w:p>
        </w:tc>
      </w:tr>
      <w:tr w:rsidR="00C4482F" w:rsidRPr="00F0463E" w14:paraId="1793B5AC" w14:textId="77777777">
        <w:tc>
          <w:tcPr>
            <w:tcW w:w="2000" w:type="dxa"/>
            <w:tcBorders>
              <w:top w:val="single" w:sz="1" w:space="0" w:color="2E75B6"/>
              <w:left w:val="single" w:sz="1" w:space="0" w:color="2E75B6"/>
              <w:bottom w:val="single" w:sz="1" w:space="0" w:color="2E75B6"/>
              <w:right w:val="single" w:sz="1" w:space="0" w:color="2E75B6"/>
            </w:tcBorders>
            <w:shd w:val="clear" w:color="auto" w:fill="EBF3FB"/>
            <w:tcMar>
              <w:top w:w="80" w:type="dxa"/>
              <w:left w:w="120" w:type="dxa"/>
              <w:bottom w:w="80" w:type="dxa"/>
              <w:right w:w="120" w:type="dxa"/>
            </w:tcMar>
          </w:tcPr>
          <w:p w14:paraId="189D4A75" w14:textId="77777777" w:rsidR="00C4482F" w:rsidRPr="00F0463E" w:rsidRDefault="00DF378C" w:rsidP="00376FBC">
            <w:pPr>
              <w:spacing w:line="360" w:lineRule="auto"/>
              <w:jc w:val="both"/>
            </w:pPr>
            <w:r w:rsidRPr="00F0463E">
              <w:t>Blind Recruitment</w:t>
            </w:r>
          </w:p>
        </w:tc>
        <w:tc>
          <w:tcPr>
            <w:tcW w:w="2200" w:type="dxa"/>
            <w:tcBorders>
              <w:top w:val="single" w:sz="1" w:space="0" w:color="2E75B6"/>
              <w:left w:val="single" w:sz="1" w:space="0" w:color="2E75B6"/>
              <w:bottom w:val="single" w:sz="1" w:space="0" w:color="2E75B6"/>
              <w:right w:val="single" w:sz="1" w:space="0" w:color="2E75B6"/>
            </w:tcBorders>
            <w:shd w:val="clear" w:color="auto" w:fill="EBF3FB"/>
            <w:tcMar>
              <w:top w:w="80" w:type="dxa"/>
              <w:left w:w="120" w:type="dxa"/>
              <w:bottom w:w="80" w:type="dxa"/>
              <w:right w:w="120" w:type="dxa"/>
            </w:tcMar>
          </w:tcPr>
          <w:p w14:paraId="653E2279" w14:textId="77777777" w:rsidR="00C4482F" w:rsidRPr="00F0463E" w:rsidRDefault="00DF378C" w:rsidP="00376FBC">
            <w:pPr>
              <w:spacing w:line="360" w:lineRule="auto"/>
              <w:jc w:val="both"/>
            </w:pPr>
            <w:r w:rsidRPr="00F0463E">
              <w:t>DEI</w:t>
            </w:r>
          </w:p>
        </w:tc>
        <w:tc>
          <w:tcPr>
            <w:tcW w:w="2600" w:type="dxa"/>
            <w:tcBorders>
              <w:top w:val="single" w:sz="1" w:space="0" w:color="2E75B6"/>
              <w:left w:val="single" w:sz="1" w:space="0" w:color="2E75B6"/>
              <w:bottom w:val="single" w:sz="1" w:space="0" w:color="2E75B6"/>
              <w:right w:val="single" w:sz="1" w:space="0" w:color="2E75B6"/>
            </w:tcBorders>
            <w:shd w:val="clear" w:color="auto" w:fill="EBF3FB"/>
            <w:tcMar>
              <w:top w:w="80" w:type="dxa"/>
              <w:left w:w="120" w:type="dxa"/>
              <w:bottom w:w="80" w:type="dxa"/>
              <w:right w:w="120" w:type="dxa"/>
            </w:tcMar>
          </w:tcPr>
          <w:p w14:paraId="1BBD7019" w14:textId="77777777" w:rsidR="00C4482F" w:rsidRPr="00F0463E" w:rsidRDefault="00DF378C" w:rsidP="00376FBC">
            <w:pPr>
              <w:spacing w:line="360" w:lineRule="auto"/>
              <w:jc w:val="both"/>
            </w:pPr>
            <w:r w:rsidRPr="00F0463E">
              <w:t>Reduces unconscious bias; widens talent pool</w:t>
            </w:r>
          </w:p>
        </w:tc>
        <w:tc>
          <w:tcPr>
            <w:tcW w:w="2560" w:type="dxa"/>
            <w:tcBorders>
              <w:top w:val="single" w:sz="1" w:space="0" w:color="2E75B6"/>
              <w:left w:val="single" w:sz="1" w:space="0" w:color="2E75B6"/>
              <w:bottom w:val="single" w:sz="1" w:space="0" w:color="2E75B6"/>
              <w:right w:val="single" w:sz="1" w:space="0" w:color="2E75B6"/>
            </w:tcBorders>
            <w:shd w:val="clear" w:color="auto" w:fill="EBF3FB"/>
            <w:tcMar>
              <w:top w:w="80" w:type="dxa"/>
              <w:left w:w="120" w:type="dxa"/>
              <w:bottom w:w="80" w:type="dxa"/>
              <w:right w:w="120" w:type="dxa"/>
            </w:tcMar>
          </w:tcPr>
          <w:p w14:paraId="4D823763" w14:textId="77777777" w:rsidR="00C4482F" w:rsidRPr="00F0463E" w:rsidRDefault="00DF378C" w:rsidP="00376FBC">
            <w:pPr>
              <w:spacing w:line="360" w:lineRule="auto"/>
              <w:jc w:val="both"/>
            </w:pPr>
            <w:r w:rsidRPr="00F0463E">
              <w:t>Does not address systemic structural barriers</w:t>
            </w:r>
          </w:p>
        </w:tc>
      </w:tr>
      <w:tr w:rsidR="00C4482F" w:rsidRPr="00F0463E" w14:paraId="0A704327" w14:textId="77777777">
        <w:tc>
          <w:tcPr>
            <w:tcW w:w="2000" w:type="dxa"/>
            <w:tcBorders>
              <w:top w:val="single" w:sz="1" w:space="0" w:color="2E75B6"/>
              <w:left w:val="single" w:sz="1" w:space="0" w:color="2E75B6"/>
              <w:bottom w:val="single" w:sz="1" w:space="0" w:color="2E75B6"/>
              <w:right w:val="single" w:sz="1" w:space="0" w:color="2E75B6"/>
            </w:tcBorders>
            <w:shd w:val="clear" w:color="auto" w:fill="FFFFFF"/>
            <w:tcMar>
              <w:top w:w="80" w:type="dxa"/>
              <w:left w:w="120" w:type="dxa"/>
              <w:bottom w:w="80" w:type="dxa"/>
              <w:right w:w="120" w:type="dxa"/>
            </w:tcMar>
          </w:tcPr>
          <w:p w14:paraId="18AD3FC2" w14:textId="77777777" w:rsidR="00C4482F" w:rsidRPr="00F0463E" w:rsidRDefault="00DF378C" w:rsidP="00376FBC">
            <w:pPr>
              <w:spacing w:line="360" w:lineRule="auto"/>
              <w:jc w:val="both"/>
            </w:pPr>
            <w:r w:rsidRPr="00F0463E">
              <w:t>Employee Resource Groups (ERGs)</w:t>
            </w:r>
          </w:p>
        </w:tc>
        <w:tc>
          <w:tcPr>
            <w:tcW w:w="2200" w:type="dxa"/>
            <w:tcBorders>
              <w:top w:val="single" w:sz="1" w:space="0" w:color="2E75B6"/>
              <w:left w:val="single" w:sz="1" w:space="0" w:color="2E75B6"/>
              <w:bottom w:val="single" w:sz="1" w:space="0" w:color="2E75B6"/>
              <w:right w:val="single" w:sz="1" w:space="0" w:color="2E75B6"/>
            </w:tcBorders>
            <w:shd w:val="clear" w:color="auto" w:fill="FFFFFF"/>
            <w:tcMar>
              <w:top w:w="80" w:type="dxa"/>
              <w:left w:w="120" w:type="dxa"/>
              <w:bottom w:w="80" w:type="dxa"/>
              <w:right w:w="120" w:type="dxa"/>
            </w:tcMar>
          </w:tcPr>
          <w:p w14:paraId="4973B8C3" w14:textId="77777777" w:rsidR="00C4482F" w:rsidRPr="00F0463E" w:rsidRDefault="00DF378C" w:rsidP="00376FBC">
            <w:pPr>
              <w:spacing w:line="360" w:lineRule="auto"/>
              <w:jc w:val="both"/>
            </w:pPr>
            <w:r w:rsidRPr="00F0463E">
              <w:t>DEI &amp; inclusion</w:t>
            </w:r>
          </w:p>
        </w:tc>
        <w:tc>
          <w:tcPr>
            <w:tcW w:w="2600" w:type="dxa"/>
            <w:tcBorders>
              <w:top w:val="single" w:sz="1" w:space="0" w:color="2E75B6"/>
              <w:left w:val="single" w:sz="1" w:space="0" w:color="2E75B6"/>
              <w:bottom w:val="single" w:sz="1" w:space="0" w:color="2E75B6"/>
              <w:right w:val="single" w:sz="1" w:space="0" w:color="2E75B6"/>
            </w:tcBorders>
            <w:shd w:val="clear" w:color="auto" w:fill="FFFFFF"/>
            <w:tcMar>
              <w:top w:w="80" w:type="dxa"/>
              <w:left w:w="120" w:type="dxa"/>
              <w:bottom w:w="80" w:type="dxa"/>
              <w:right w:w="120" w:type="dxa"/>
            </w:tcMar>
          </w:tcPr>
          <w:p w14:paraId="7783EF06" w14:textId="77777777" w:rsidR="00C4482F" w:rsidRPr="00F0463E" w:rsidRDefault="006261E1" w:rsidP="00376FBC">
            <w:pPr>
              <w:spacing w:line="360" w:lineRule="auto"/>
              <w:jc w:val="both"/>
            </w:pPr>
            <w:r w:rsidRPr="00F0463E">
              <w:t>Builds the sense of belonging; gives voice to marginalized voices</w:t>
            </w:r>
          </w:p>
        </w:tc>
        <w:tc>
          <w:tcPr>
            <w:tcW w:w="2560" w:type="dxa"/>
            <w:tcBorders>
              <w:top w:val="single" w:sz="1" w:space="0" w:color="2E75B6"/>
              <w:left w:val="single" w:sz="1" w:space="0" w:color="2E75B6"/>
              <w:bottom w:val="single" w:sz="1" w:space="0" w:color="2E75B6"/>
              <w:right w:val="single" w:sz="1" w:space="0" w:color="2E75B6"/>
            </w:tcBorders>
            <w:shd w:val="clear" w:color="auto" w:fill="FFFFFF"/>
            <w:tcMar>
              <w:top w:w="80" w:type="dxa"/>
              <w:left w:w="120" w:type="dxa"/>
              <w:bottom w:w="80" w:type="dxa"/>
              <w:right w:w="120" w:type="dxa"/>
            </w:tcMar>
          </w:tcPr>
          <w:p w14:paraId="1B759F62" w14:textId="77777777" w:rsidR="00C4482F" w:rsidRPr="00F0463E" w:rsidRDefault="006261E1" w:rsidP="00376FBC">
            <w:pPr>
              <w:spacing w:line="360" w:lineRule="auto"/>
              <w:jc w:val="both"/>
            </w:pPr>
            <w:r w:rsidRPr="00F0463E">
              <w:t>Risk of tokenism unless supported by the leadership</w:t>
            </w:r>
          </w:p>
        </w:tc>
      </w:tr>
      <w:tr w:rsidR="00C4482F" w:rsidRPr="00F0463E" w14:paraId="13BB4D4C" w14:textId="77777777">
        <w:tc>
          <w:tcPr>
            <w:tcW w:w="2000" w:type="dxa"/>
            <w:tcBorders>
              <w:top w:val="single" w:sz="1" w:space="0" w:color="2E75B6"/>
              <w:left w:val="single" w:sz="1" w:space="0" w:color="2E75B6"/>
              <w:bottom w:val="single" w:sz="1" w:space="0" w:color="2E75B6"/>
              <w:right w:val="single" w:sz="1" w:space="0" w:color="2E75B6"/>
            </w:tcBorders>
            <w:shd w:val="clear" w:color="auto" w:fill="EBF3FB"/>
            <w:tcMar>
              <w:top w:w="80" w:type="dxa"/>
              <w:left w:w="120" w:type="dxa"/>
              <w:bottom w:w="80" w:type="dxa"/>
              <w:right w:w="120" w:type="dxa"/>
            </w:tcMar>
          </w:tcPr>
          <w:p w14:paraId="0FCCECC3" w14:textId="77777777" w:rsidR="00C4482F" w:rsidRPr="00F0463E" w:rsidRDefault="00DF378C" w:rsidP="00376FBC">
            <w:pPr>
              <w:spacing w:line="360" w:lineRule="auto"/>
              <w:jc w:val="both"/>
            </w:pPr>
            <w:r w:rsidRPr="00F0463E">
              <w:t>Real-time Performance Analytics</w:t>
            </w:r>
          </w:p>
        </w:tc>
        <w:tc>
          <w:tcPr>
            <w:tcW w:w="2200" w:type="dxa"/>
            <w:tcBorders>
              <w:top w:val="single" w:sz="1" w:space="0" w:color="2E75B6"/>
              <w:left w:val="single" w:sz="1" w:space="0" w:color="2E75B6"/>
              <w:bottom w:val="single" w:sz="1" w:space="0" w:color="2E75B6"/>
              <w:right w:val="single" w:sz="1" w:space="0" w:color="2E75B6"/>
            </w:tcBorders>
            <w:shd w:val="clear" w:color="auto" w:fill="EBF3FB"/>
            <w:tcMar>
              <w:top w:w="80" w:type="dxa"/>
              <w:left w:w="120" w:type="dxa"/>
              <w:bottom w:w="80" w:type="dxa"/>
              <w:right w:w="120" w:type="dxa"/>
            </w:tcMar>
          </w:tcPr>
          <w:p w14:paraId="43A3B428" w14:textId="77777777" w:rsidR="00C4482F" w:rsidRPr="00F0463E" w:rsidRDefault="00DF378C" w:rsidP="00376FBC">
            <w:pPr>
              <w:spacing w:line="360" w:lineRule="auto"/>
              <w:jc w:val="both"/>
            </w:pPr>
            <w:r w:rsidRPr="00F0463E">
              <w:t>All three areas</w:t>
            </w:r>
          </w:p>
        </w:tc>
        <w:tc>
          <w:tcPr>
            <w:tcW w:w="2600" w:type="dxa"/>
            <w:tcBorders>
              <w:top w:val="single" w:sz="1" w:space="0" w:color="2E75B6"/>
              <w:left w:val="single" w:sz="1" w:space="0" w:color="2E75B6"/>
              <w:bottom w:val="single" w:sz="1" w:space="0" w:color="2E75B6"/>
              <w:right w:val="single" w:sz="1" w:space="0" w:color="2E75B6"/>
            </w:tcBorders>
            <w:shd w:val="clear" w:color="auto" w:fill="EBF3FB"/>
            <w:tcMar>
              <w:top w:w="80" w:type="dxa"/>
              <w:left w:w="120" w:type="dxa"/>
              <w:bottom w:w="80" w:type="dxa"/>
              <w:right w:w="120" w:type="dxa"/>
            </w:tcMar>
          </w:tcPr>
          <w:p w14:paraId="7A4328A9" w14:textId="77777777" w:rsidR="00C4482F" w:rsidRPr="00F0463E" w:rsidRDefault="00DF378C" w:rsidP="00376FBC">
            <w:pPr>
              <w:spacing w:line="360" w:lineRule="auto"/>
              <w:jc w:val="both"/>
            </w:pPr>
            <w:r w:rsidRPr="00F0463E">
              <w:t>Data-driven decisions; early issue identification</w:t>
            </w:r>
          </w:p>
        </w:tc>
        <w:tc>
          <w:tcPr>
            <w:tcW w:w="2560" w:type="dxa"/>
            <w:tcBorders>
              <w:top w:val="single" w:sz="1" w:space="0" w:color="2E75B6"/>
              <w:left w:val="single" w:sz="1" w:space="0" w:color="2E75B6"/>
              <w:bottom w:val="single" w:sz="1" w:space="0" w:color="2E75B6"/>
              <w:right w:val="single" w:sz="1" w:space="0" w:color="2E75B6"/>
            </w:tcBorders>
            <w:shd w:val="clear" w:color="auto" w:fill="EBF3FB"/>
            <w:tcMar>
              <w:top w:w="80" w:type="dxa"/>
              <w:left w:w="120" w:type="dxa"/>
              <w:bottom w:w="80" w:type="dxa"/>
              <w:right w:w="120" w:type="dxa"/>
            </w:tcMar>
          </w:tcPr>
          <w:p w14:paraId="7D7BDC31" w14:textId="77777777" w:rsidR="00C4482F" w:rsidRPr="00F0463E" w:rsidRDefault="00DF378C" w:rsidP="00376FBC">
            <w:pPr>
              <w:spacing w:line="360" w:lineRule="auto"/>
              <w:jc w:val="both"/>
            </w:pPr>
            <w:r w:rsidRPr="00F0463E">
              <w:t>Privacy concerns; over-reliance on metrics</w:t>
            </w:r>
          </w:p>
        </w:tc>
      </w:tr>
    </w:tbl>
    <w:p w14:paraId="13911C14" w14:textId="77777777" w:rsidR="00C4482F" w:rsidRPr="00F0463E" w:rsidRDefault="00DF378C" w:rsidP="00376FBC">
      <w:pPr>
        <w:spacing w:before="80" w:after="160" w:line="360" w:lineRule="auto"/>
        <w:jc w:val="both"/>
      </w:pPr>
      <w:r w:rsidRPr="00F0463E">
        <w:rPr>
          <w:b/>
          <w:i/>
          <w:iCs/>
          <w:color w:val="595959"/>
        </w:rPr>
        <w:t>Source:</w:t>
      </w:r>
      <w:r w:rsidRPr="00F0463E">
        <w:rPr>
          <w:i/>
          <w:iCs/>
          <w:color w:val="595959"/>
        </w:rPr>
        <w:t xml:space="preserve"> Author's own analysis based on </w:t>
      </w:r>
      <w:r w:rsidR="00D32E9C" w:rsidRPr="00F0463E">
        <w:rPr>
          <w:color w:val="222222"/>
          <w:shd w:val="clear" w:color="auto" w:fill="FFFFFF"/>
        </w:rPr>
        <w:t xml:space="preserve">Taylor </w:t>
      </w:r>
      <w:r w:rsidR="00D32E9C" w:rsidRPr="00F0463E">
        <w:rPr>
          <w:i/>
          <w:iCs/>
          <w:color w:val="595959"/>
        </w:rPr>
        <w:t>(2014</w:t>
      </w:r>
      <w:r w:rsidRPr="00F0463E">
        <w:rPr>
          <w:i/>
          <w:iCs/>
          <w:color w:val="595959"/>
        </w:rPr>
        <w:t>), CIPD (2024) and M&amp;S Annual Report (2024)</w:t>
      </w:r>
    </w:p>
    <w:p w14:paraId="40EED8F9" w14:textId="77777777" w:rsidR="000802B4" w:rsidRPr="00F0463E" w:rsidRDefault="000802B4" w:rsidP="00376FBC">
      <w:pPr>
        <w:pStyle w:val="Heading2"/>
        <w:spacing w:line="360" w:lineRule="auto"/>
        <w:rPr>
          <w:sz w:val="22"/>
          <w:szCs w:val="22"/>
          <w:lang w:val="en-GB"/>
        </w:rPr>
      </w:pPr>
      <w:bookmarkStart w:id="6" w:name="_Toc225385975"/>
      <w:r w:rsidRPr="00F0463E">
        <w:rPr>
          <w:sz w:val="22"/>
          <w:szCs w:val="22"/>
          <w:lang w:val="en-GB"/>
        </w:rPr>
        <w:t>3.1 Learning and Develop</w:t>
      </w:r>
      <w:r w:rsidR="00E43BA2" w:rsidRPr="00F0463E">
        <w:rPr>
          <w:sz w:val="22"/>
          <w:szCs w:val="22"/>
          <w:lang w:val="en-GB"/>
        </w:rPr>
        <w:t>ment Powered by AI (Technology)</w:t>
      </w:r>
      <w:bookmarkEnd w:id="6"/>
    </w:p>
    <w:p w14:paraId="26069AA8" w14:textId="77777777" w:rsidR="000802B4" w:rsidRPr="00F0463E" w:rsidRDefault="000802B4" w:rsidP="00376FBC">
      <w:pPr>
        <w:pStyle w:val="NormalWeb"/>
        <w:spacing w:line="360" w:lineRule="auto"/>
        <w:jc w:val="both"/>
        <w:rPr>
          <w:rFonts w:ascii="Arial" w:hAnsi="Arial" w:cs="Arial"/>
          <w:sz w:val="22"/>
          <w:szCs w:val="22"/>
        </w:rPr>
      </w:pPr>
      <w:r w:rsidRPr="00F0463E">
        <w:rPr>
          <w:rFonts w:ascii="Arial" w:hAnsi="Arial" w:cs="Arial"/>
          <w:sz w:val="22"/>
          <w:szCs w:val="22"/>
        </w:rPr>
        <w:t xml:space="preserve">M&amp;S has invested in AI-based learning management systems (LMS), which have personalized training content to the specific competency profile of individual employees to close digital skill gaps. According to </w:t>
      </w:r>
      <w:r w:rsidR="00E7092E" w:rsidRPr="00F0463E">
        <w:rPr>
          <w:rFonts w:ascii="Arial" w:hAnsi="Arial" w:cs="Arial"/>
          <w:sz w:val="22"/>
          <w:szCs w:val="22"/>
        </w:rPr>
        <w:t>Taylor (2014</w:t>
      </w:r>
      <w:r w:rsidRPr="00F0463E">
        <w:rPr>
          <w:rFonts w:ascii="Arial" w:hAnsi="Arial" w:cs="Arial"/>
          <w:sz w:val="22"/>
          <w:szCs w:val="22"/>
        </w:rPr>
        <w:t>), individualized learning routes prove to be much more efficient than the conventional classroom-based strategy because they can match the material to particular gaps in the skill sets and learning strategies. The implementation of tools like Cornerstone OnDemand, or similar tools within the company, would allow M&amp;S to provide the scalable, just-in-time digital skills training to its diverse workforce. Nevertheless, Spreitzer and Porath</w:t>
      </w:r>
      <w:r w:rsidR="007C247D" w:rsidRPr="00F0463E">
        <w:rPr>
          <w:rFonts w:ascii="Arial" w:hAnsi="Arial" w:cs="Arial"/>
          <w:sz w:val="22"/>
          <w:szCs w:val="22"/>
        </w:rPr>
        <w:t xml:space="preserve"> (2014</w:t>
      </w:r>
      <w:r w:rsidRPr="00F0463E">
        <w:rPr>
          <w:rFonts w:ascii="Arial" w:hAnsi="Arial" w:cs="Arial"/>
          <w:sz w:val="22"/>
          <w:szCs w:val="22"/>
        </w:rPr>
        <w:t>) warn that technology-based learning should be expressed with intrinsic motivation and autonomy of employees; otherwise, the adoption will be low, no matter how well-developed the platform is.</w:t>
      </w:r>
    </w:p>
    <w:p w14:paraId="6667DC78" w14:textId="77777777" w:rsidR="000802B4" w:rsidRPr="00F0463E" w:rsidRDefault="000802B4" w:rsidP="00376FBC">
      <w:pPr>
        <w:pStyle w:val="Heading2"/>
        <w:spacing w:line="360" w:lineRule="auto"/>
        <w:rPr>
          <w:sz w:val="22"/>
          <w:szCs w:val="22"/>
          <w:lang w:val="en-GB"/>
        </w:rPr>
      </w:pPr>
      <w:bookmarkStart w:id="7" w:name="_Toc225385976"/>
      <w:r w:rsidRPr="00F0463E">
        <w:rPr>
          <w:sz w:val="22"/>
          <w:szCs w:val="22"/>
          <w:lang w:val="en-GB"/>
        </w:rPr>
        <w:lastRenderedPageBreak/>
        <w:t>3.2 Hybrid Working and Employee Value Proposition (Ta</w:t>
      </w:r>
      <w:r w:rsidR="00E43BA2" w:rsidRPr="00F0463E">
        <w:rPr>
          <w:sz w:val="22"/>
          <w:szCs w:val="22"/>
          <w:lang w:val="en-GB"/>
        </w:rPr>
        <w:t>lent Acquisition and Retention)</w:t>
      </w:r>
      <w:bookmarkEnd w:id="7"/>
    </w:p>
    <w:p w14:paraId="3981E5B3" w14:textId="69747C91" w:rsidR="000802B4" w:rsidRPr="00F0463E" w:rsidRDefault="000802B4" w:rsidP="00376FBC">
      <w:pPr>
        <w:pStyle w:val="NormalWeb"/>
        <w:spacing w:line="360" w:lineRule="auto"/>
        <w:jc w:val="both"/>
        <w:rPr>
          <w:rFonts w:ascii="Arial" w:hAnsi="Arial" w:cs="Arial"/>
          <w:sz w:val="22"/>
          <w:szCs w:val="22"/>
        </w:rPr>
      </w:pPr>
      <w:r w:rsidRPr="00F0463E">
        <w:rPr>
          <w:rFonts w:ascii="Arial" w:hAnsi="Arial" w:cs="Arial"/>
          <w:sz w:val="22"/>
          <w:szCs w:val="22"/>
        </w:rPr>
        <w:t>The post-pandemic UK labo</w:t>
      </w:r>
      <w:r w:rsidR="00F0463E">
        <w:rPr>
          <w:rFonts w:ascii="Arial" w:hAnsi="Arial" w:cs="Arial"/>
          <w:sz w:val="22"/>
          <w:szCs w:val="22"/>
        </w:rPr>
        <w:t>u</w:t>
      </w:r>
      <w:r w:rsidRPr="00F0463E">
        <w:rPr>
          <w:rFonts w:ascii="Arial" w:hAnsi="Arial" w:cs="Arial"/>
          <w:sz w:val="22"/>
          <w:szCs w:val="22"/>
        </w:rPr>
        <w:t>r market has become a competitive talent strategy in which hybrid working has become one of its defining characteristics in how organi</w:t>
      </w:r>
      <w:r w:rsidR="00F0463E">
        <w:rPr>
          <w:rFonts w:ascii="Arial" w:hAnsi="Arial" w:cs="Arial"/>
          <w:sz w:val="22"/>
          <w:szCs w:val="22"/>
        </w:rPr>
        <w:t>s</w:t>
      </w:r>
      <w:r w:rsidRPr="00F0463E">
        <w:rPr>
          <w:rFonts w:ascii="Arial" w:hAnsi="Arial" w:cs="Arial"/>
          <w:sz w:val="22"/>
          <w:szCs w:val="22"/>
        </w:rPr>
        <w:t>ations recruit, leverage, and retain skilled workers. M&amp;S has reacted to this by increasing the number of hybrid and flexible working arrangements for its head office and central operations staff, which gives them more freedom to work, better work-life balance, and increased productivity. This change of strategy helps the firm to compete better in terms of digital, analytical, and managerial talent in a highly competitive world (CIPD, 2024). According to Collings et al. (2021), the effective attraction of differentiated talent is impossible without a strong Employee Value Proposition (EVP), which effectively implies rewards, organi</w:t>
      </w:r>
      <w:r w:rsidR="00F0463E">
        <w:rPr>
          <w:rFonts w:ascii="Arial" w:hAnsi="Arial" w:cs="Arial"/>
          <w:sz w:val="22"/>
          <w:szCs w:val="22"/>
        </w:rPr>
        <w:t>s</w:t>
      </w:r>
      <w:r w:rsidRPr="00F0463E">
        <w:rPr>
          <w:rFonts w:ascii="Arial" w:hAnsi="Arial" w:cs="Arial"/>
          <w:sz w:val="22"/>
          <w:szCs w:val="22"/>
        </w:rPr>
        <w:t>ational culture, and career development opportunities. At M&amp;S, this EVP is supported by programs like the Sparks loyalty-based employee benefits program and systematic career advancement enhanced by the internal mobility channels. Nevertheless, the restricted flexibility and benefits among front-line retail workers of hybrid working create disparities, which HR needs to address in terms of perception of fairness and preventing the creation of a two-tier workforce experience.</w:t>
      </w:r>
    </w:p>
    <w:p w14:paraId="4755D267" w14:textId="77777777" w:rsidR="000802B4" w:rsidRPr="00F0463E" w:rsidRDefault="000802B4" w:rsidP="00376FBC">
      <w:pPr>
        <w:pStyle w:val="Heading2"/>
        <w:spacing w:line="360" w:lineRule="auto"/>
        <w:rPr>
          <w:sz w:val="22"/>
          <w:szCs w:val="22"/>
          <w:lang w:val="en-GB"/>
        </w:rPr>
      </w:pPr>
      <w:bookmarkStart w:id="8" w:name="_Toc225385977"/>
      <w:r w:rsidRPr="00F0463E">
        <w:rPr>
          <w:sz w:val="22"/>
          <w:szCs w:val="22"/>
          <w:lang w:val="en-GB"/>
        </w:rPr>
        <w:t>3.3 Blind Recruitment and</w:t>
      </w:r>
      <w:r w:rsidR="00E43BA2" w:rsidRPr="00F0463E">
        <w:rPr>
          <w:sz w:val="22"/>
          <w:szCs w:val="22"/>
          <w:lang w:val="en-GB"/>
        </w:rPr>
        <w:t xml:space="preserve"> Employee Resource Groups (DEI)</w:t>
      </w:r>
      <w:bookmarkEnd w:id="8"/>
    </w:p>
    <w:p w14:paraId="4275931B" w14:textId="77777777" w:rsidR="00C4482F" w:rsidRPr="00F0463E" w:rsidRDefault="000802B4" w:rsidP="00376FBC">
      <w:pPr>
        <w:pStyle w:val="NormalWeb"/>
        <w:spacing w:line="360" w:lineRule="auto"/>
        <w:jc w:val="both"/>
        <w:rPr>
          <w:rFonts w:ascii="Arial" w:hAnsi="Arial" w:cs="Arial"/>
          <w:sz w:val="22"/>
          <w:szCs w:val="22"/>
        </w:rPr>
      </w:pPr>
      <w:r w:rsidRPr="00F0463E">
        <w:rPr>
          <w:rFonts w:ascii="Arial" w:hAnsi="Arial" w:cs="Arial"/>
          <w:sz w:val="22"/>
          <w:szCs w:val="22"/>
        </w:rPr>
        <w:t xml:space="preserve">There has been a rise in the use of blind recruitment, where information like name, gender, and college is not included in the application in order to minimize unconscious bias in hiring. </w:t>
      </w:r>
      <w:r w:rsidR="002731B2" w:rsidRPr="00F0463E">
        <w:rPr>
          <w:rFonts w:ascii="Arial" w:hAnsi="Arial" w:cs="Arial"/>
          <w:color w:val="222222"/>
          <w:sz w:val="22"/>
          <w:szCs w:val="22"/>
          <w:shd w:val="clear" w:color="auto" w:fill="FFFFFF"/>
        </w:rPr>
        <w:t>Dixon-Fyle</w:t>
      </w:r>
      <w:r w:rsidR="002731B2" w:rsidRPr="00F0463E">
        <w:rPr>
          <w:rFonts w:ascii="Arial" w:hAnsi="Arial" w:cs="Arial"/>
          <w:sz w:val="22"/>
          <w:szCs w:val="22"/>
        </w:rPr>
        <w:t xml:space="preserve"> et al. (2020</w:t>
      </w:r>
      <w:r w:rsidRPr="00F0463E">
        <w:rPr>
          <w:rFonts w:ascii="Arial" w:hAnsi="Arial" w:cs="Arial"/>
          <w:sz w:val="22"/>
          <w:szCs w:val="22"/>
        </w:rPr>
        <w:t>) present evidence on the fact that such interventions enhance the diversity of shortlists and minimize the work of affinity bias in hiring managers. M&amp;S has experimented with anonymized shortlisting on some talent pipelines, which is a significant move. At the same time, Marginalized Community Employee Resource Groups (ERGs), such as the Race Inclusion Network of M&amp;S, can be seen as both an internal advocacy and support network that gives voice to a range of communities. But Pichler</w:t>
      </w:r>
      <w:r w:rsidR="0016158A" w:rsidRPr="00F0463E">
        <w:rPr>
          <w:rFonts w:ascii="Arial" w:hAnsi="Arial" w:cs="Arial"/>
          <w:sz w:val="22"/>
          <w:szCs w:val="22"/>
        </w:rPr>
        <w:t xml:space="preserve"> et al.</w:t>
      </w:r>
      <w:r w:rsidRPr="00F0463E">
        <w:rPr>
          <w:rFonts w:ascii="Arial" w:hAnsi="Arial" w:cs="Arial"/>
          <w:sz w:val="22"/>
          <w:szCs w:val="22"/>
        </w:rPr>
        <w:t xml:space="preserve"> (2021) caution that ERGs can easily turn into tokenistic without senior leaders putting their proposals and recommendations into practice and providing enough resources.</w:t>
      </w:r>
    </w:p>
    <w:p w14:paraId="33995CE8" w14:textId="77777777" w:rsidR="008B0239" w:rsidRPr="00F0463E" w:rsidRDefault="008B0239" w:rsidP="00376FBC">
      <w:pPr>
        <w:pStyle w:val="NormalWeb"/>
        <w:spacing w:line="360" w:lineRule="auto"/>
        <w:jc w:val="both"/>
        <w:rPr>
          <w:rFonts w:ascii="Arial" w:hAnsi="Arial" w:cs="Arial"/>
          <w:sz w:val="22"/>
          <w:szCs w:val="22"/>
        </w:rPr>
      </w:pPr>
    </w:p>
    <w:p w14:paraId="1D8E11EA" w14:textId="77777777" w:rsidR="008B0239" w:rsidRPr="00F0463E" w:rsidRDefault="008B0239" w:rsidP="00376FBC">
      <w:pPr>
        <w:pStyle w:val="NormalWeb"/>
        <w:spacing w:line="360" w:lineRule="auto"/>
        <w:jc w:val="both"/>
        <w:rPr>
          <w:rFonts w:ascii="Arial" w:hAnsi="Arial" w:cs="Arial"/>
          <w:sz w:val="22"/>
          <w:szCs w:val="22"/>
        </w:rPr>
      </w:pPr>
    </w:p>
    <w:p w14:paraId="6E520B7B" w14:textId="77777777" w:rsidR="008B0239" w:rsidRPr="00F0463E" w:rsidRDefault="008B0239" w:rsidP="00376FBC">
      <w:pPr>
        <w:pStyle w:val="NormalWeb"/>
        <w:spacing w:line="360" w:lineRule="auto"/>
        <w:jc w:val="both"/>
        <w:rPr>
          <w:rFonts w:ascii="Arial" w:hAnsi="Arial" w:cs="Arial"/>
          <w:sz w:val="22"/>
          <w:szCs w:val="22"/>
        </w:rPr>
      </w:pPr>
    </w:p>
    <w:p w14:paraId="5C8F66D7" w14:textId="77777777" w:rsidR="008B0239" w:rsidRPr="00F0463E" w:rsidRDefault="008B0239" w:rsidP="00376FBC">
      <w:pPr>
        <w:pStyle w:val="NormalWeb"/>
        <w:spacing w:line="360" w:lineRule="auto"/>
        <w:jc w:val="both"/>
        <w:rPr>
          <w:rFonts w:ascii="Arial" w:hAnsi="Arial" w:cs="Arial"/>
          <w:sz w:val="22"/>
          <w:szCs w:val="22"/>
        </w:rPr>
      </w:pPr>
    </w:p>
    <w:p w14:paraId="04693B5F" w14:textId="77777777" w:rsidR="00C4482F" w:rsidRPr="00F0463E" w:rsidRDefault="00DF378C" w:rsidP="00376FBC">
      <w:pPr>
        <w:spacing w:before="200" w:after="100" w:line="360" w:lineRule="auto"/>
        <w:jc w:val="both"/>
      </w:pPr>
      <w:r w:rsidRPr="00F0463E">
        <w:rPr>
          <w:b/>
          <w:bCs/>
        </w:rPr>
        <w:t xml:space="preserve">Figure 1: </w:t>
      </w:r>
      <w:r w:rsidRPr="00F0463E">
        <w:rPr>
          <w:bCs/>
        </w:rPr>
        <w:t>M&amp;S HR Strategic Priority Framework</w:t>
      </w:r>
    </w:p>
    <w:p w14:paraId="54176940" w14:textId="77777777" w:rsidR="00780F90" w:rsidRPr="00F0463E" w:rsidRDefault="00780F90" w:rsidP="00376FBC">
      <w:pPr>
        <w:spacing w:before="80" w:after="160" w:line="360" w:lineRule="auto"/>
        <w:jc w:val="both"/>
        <w:rPr>
          <w:i/>
          <w:iCs/>
          <w:color w:val="595959"/>
        </w:rPr>
      </w:pPr>
      <w:r w:rsidRPr="00F0463E">
        <w:rPr>
          <w:i/>
          <w:iCs/>
          <w:noProof/>
          <w:color w:val="595959"/>
        </w:rPr>
        <w:drawing>
          <wp:inline distT="0" distB="0" distL="0" distR="0" wp14:anchorId="6C2CF18E" wp14:editId="3D0976E7">
            <wp:extent cx="5729604" cy="4248150"/>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pilot_20260326_005250.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249563"/>
                    </a:xfrm>
                    <a:prstGeom prst="rect">
                      <a:avLst/>
                    </a:prstGeom>
                  </pic:spPr>
                </pic:pic>
              </a:graphicData>
            </a:graphic>
          </wp:inline>
        </w:drawing>
      </w:r>
    </w:p>
    <w:p w14:paraId="212DAFDE" w14:textId="77777777" w:rsidR="00C4482F" w:rsidRPr="00F0463E" w:rsidRDefault="00DF378C" w:rsidP="00376FBC">
      <w:pPr>
        <w:spacing w:before="80" w:after="160" w:line="360" w:lineRule="auto"/>
        <w:jc w:val="both"/>
      </w:pPr>
      <w:r w:rsidRPr="00F0463E">
        <w:rPr>
          <w:b/>
          <w:i/>
          <w:iCs/>
          <w:color w:val="595959"/>
        </w:rPr>
        <w:t>Source:</w:t>
      </w:r>
      <w:r w:rsidRPr="00F0463E">
        <w:rPr>
          <w:i/>
          <w:iCs/>
          <w:color w:val="595959"/>
        </w:rPr>
        <w:t xml:space="preserve"> Adapted from Marks &amp; Spencer Group Annual Report (2024) and CIPD (2024)</w:t>
      </w:r>
    </w:p>
    <w:p w14:paraId="70C09589" w14:textId="77777777" w:rsidR="001921C7" w:rsidRPr="00F0463E" w:rsidRDefault="001921C7" w:rsidP="00376FBC">
      <w:pPr>
        <w:pStyle w:val="Heading1"/>
        <w:spacing w:line="360" w:lineRule="auto"/>
        <w:rPr>
          <w:sz w:val="22"/>
          <w:szCs w:val="22"/>
          <w:lang w:val="en-GB"/>
        </w:rPr>
      </w:pPr>
      <w:bookmarkStart w:id="9" w:name="_Toc225385978"/>
      <w:r w:rsidRPr="00F0463E">
        <w:rPr>
          <w:sz w:val="22"/>
          <w:szCs w:val="22"/>
          <w:lang w:val="en-GB"/>
        </w:rPr>
        <w:t>4. Critical Asse</w:t>
      </w:r>
      <w:r w:rsidR="00E43BA2" w:rsidRPr="00F0463E">
        <w:rPr>
          <w:sz w:val="22"/>
          <w:szCs w:val="22"/>
          <w:lang w:val="en-GB"/>
        </w:rPr>
        <w:t>ssment: Manager Implementation</w:t>
      </w:r>
      <w:bookmarkEnd w:id="9"/>
    </w:p>
    <w:p w14:paraId="2735AA53" w14:textId="6CF0E859" w:rsidR="001921C7" w:rsidRPr="00F0463E" w:rsidRDefault="001921C7" w:rsidP="00376FBC">
      <w:pPr>
        <w:spacing w:line="360" w:lineRule="auto"/>
        <w:jc w:val="both"/>
      </w:pPr>
      <w:r w:rsidRPr="00F0463E">
        <w:t xml:space="preserve">Policy design alone is not sufficient to have a successful implementation of modern HR practices; it highly relies on the competence, commitment, and accountability of departmental managers. </w:t>
      </w:r>
      <w:r w:rsidR="0031104F" w:rsidRPr="00F0463E">
        <w:t>Zhang and Chen (2024) also assume that the human face of the HR strategy is the line managers, who turn the organi</w:t>
      </w:r>
      <w:r w:rsidR="00F0463E">
        <w:t>s</w:t>
      </w:r>
      <w:r w:rsidR="0031104F" w:rsidRPr="00F0463E">
        <w:t xml:space="preserve">ational intent into the daily employee experience. </w:t>
      </w:r>
      <w:r w:rsidRPr="00F0463E">
        <w:t>In the case of M &amp; S, this implies that the store managers, heads of department, and area directors should be empowered and encouraged to operationalize HR practices in an urgent and consistent manner.</w:t>
      </w:r>
    </w:p>
    <w:p w14:paraId="50D3E7E0" w14:textId="2C13076F" w:rsidR="001921C7" w:rsidRPr="00F0463E" w:rsidRDefault="001921C7" w:rsidP="00376FBC">
      <w:pPr>
        <w:pStyle w:val="NormalWeb"/>
        <w:spacing w:line="360" w:lineRule="auto"/>
        <w:jc w:val="both"/>
        <w:rPr>
          <w:rFonts w:ascii="Arial" w:hAnsi="Arial" w:cs="Arial"/>
          <w:sz w:val="22"/>
          <w:szCs w:val="22"/>
        </w:rPr>
      </w:pPr>
      <w:r w:rsidRPr="00F0463E">
        <w:rPr>
          <w:rFonts w:ascii="Arial" w:hAnsi="Arial" w:cs="Arial"/>
          <w:sz w:val="22"/>
          <w:szCs w:val="22"/>
        </w:rPr>
        <w:t xml:space="preserve">Regarding technology, managers should focus on digital </w:t>
      </w:r>
      <w:r w:rsidR="006F030E" w:rsidRPr="00F0463E">
        <w:rPr>
          <w:rFonts w:ascii="Arial" w:hAnsi="Arial" w:cs="Arial"/>
          <w:sz w:val="22"/>
          <w:szCs w:val="22"/>
        </w:rPr>
        <w:t>up skilling</w:t>
      </w:r>
      <w:r w:rsidRPr="00F0463E">
        <w:rPr>
          <w:rFonts w:ascii="Arial" w:hAnsi="Arial" w:cs="Arial"/>
          <w:sz w:val="22"/>
          <w:szCs w:val="22"/>
        </w:rPr>
        <w:t xml:space="preserve"> by making training a part of team meetings, mode</w:t>
      </w:r>
      <w:r w:rsidR="00F0463E">
        <w:rPr>
          <w:rFonts w:ascii="Arial" w:hAnsi="Arial" w:cs="Arial"/>
          <w:sz w:val="22"/>
          <w:szCs w:val="22"/>
        </w:rPr>
        <w:t>l</w:t>
      </w:r>
      <w:r w:rsidRPr="00F0463E">
        <w:rPr>
          <w:rFonts w:ascii="Arial" w:hAnsi="Arial" w:cs="Arial"/>
          <w:sz w:val="22"/>
          <w:szCs w:val="22"/>
        </w:rPr>
        <w:t>ling the learning behavio</w:t>
      </w:r>
      <w:r w:rsidR="00F0463E">
        <w:rPr>
          <w:rFonts w:ascii="Arial" w:hAnsi="Arial" w:cs="Arial"/>
          <w:sz w:val="22"/>
          <w:szCs w:val="22"/>
        </w:rPr>
        <w:t>u</w:t>
      </w:r>
      <w:r w:rsidRPr="00F0463E">
        <w:rPr>
          <w:rFonts w:ascii="Arial" w:hAnsi="Arial" w:cs="Arial"/>
          <w:sz w:val="22"/>
          <w:szCs w:val="22"/>
        </w:rPr>
        <w:t xml:space="preserve">r of constant learning, and utilizing the performance data collected in LMS to determine which employees need further assistance. </w:t>
      </w:r>
      <w:r w:rsidR="00E7092E" w:rsidRPr="00F0463E">
        <w:rPr>
          <w:rFonts w:ascii="Arial" w:hAnsi="Arial" w:cs="Arial"/>
          <w:sz w:val="22"/>
          <w:szCs w:val="22"/>
        </w:rPr>
        <w:t>Taylor (2014</w:t>
      </w:r>
      <w:r w:rsidRPr="00F0463E">
        <w:rPr>
          <w:rFonts w:ascii="Arial" w:hAnsi="Arial" w:cs="Arial"/>
          <w:sz w:val="22"/>
          <w:szCs w:val="22"/>
        </w:rPr>
        <w:t>) emphasi</w:t>
      </w:r>
      <w:r w:rsidR="00F0463E">
        <w:rPr>
          <w:rFonts w:ascii="Arial" w:hAnsi="Arial" w:cs="Arial"/>
          <w:sz w:val="22"/>
          <w:szCs w:val="22"/>
        </w:rPr>
        <w:t>s</w:t>
      </w:r>
      <w:r w:rsidRPr="00F0463E">
        <w:rPr>
          <w:rFonts w:ascii="Arial" w:hAnsi="Arial" w:cs="Arial"/>
          <w:sz w:val="22"/>
          <w:szCs w:val="22"/>
        </w:rPr>
        <w:t xml:space="preserve">e that the encouragement of learning transfer by managers is one of </w:t>
      </w:r>
      <w:r w:rsidRPr="00F0463E">
        <w:rPr>
          <w:rFonts w:ascii="Arial" w:hAnsi="Arial" w:cs="Arial"/>
          <w:sz w:val="22"/>
          <w:szCs w:val="22"/>
        </w:rPr>
        <w:lastRenderedPageBreak/>
        <w:t>the most trusted predictors because the latter employees are much more inclined to use the new digital skills in case their line managers demonstrate and support this behavio</w:t>
      </w:r>
      <w:r w:rsidR="00F0463E">
        <w:rPr>
          <w:rFonts w:ascii="Arial" w:hAnsi="Arial" w:cs="Arial"/>
          <w:sz w:val="22"/>
          <w:szCs w:val="22"/>
        </w:rPr>
        <w:t>u</w:t>
      </w:r>
      <w:r w:rsidRPr="00F0463E">
        <w:rPr>
          <w:rFonts w:ascii="Arial" w:hAnsi="Arial" w:cs="Arial"/>
          <w:sz w:val="22"/>
          <w:szCs w:val="22"/>
        </w:rPr>
        <w:t>r themselves. Managers who see training as a management task and not as a strategic investment destroy the whole talent development infrastructure.</w:t>
      </w:r>
    </w:p>
    <w:p w14:paraId="6C735F47" w14:textId="69BDF110" w:rsidR="001921C7" w:rsidRPr="00F0463E" w:rsidRDefault="001921C7" w:rsidP="00376FBC">
      <w:pPr>
        <w:pStyle w:val="NormalWeb"/>
        <w:spacing w:line="360" w:lineRule="auto"/>
        <w:jc w:val="both"/>
        <w:rPr>
          <w:rFonts w:ascii="Arial" w:hAnsi="Arial" w:cs="Arial"/>
          <w:sz w:val="22"/>
          <w:szCs w:val="22"/>
        </w:rPr>
      </w:pPr>
      <w:r w:rsidRPr="00F0463E">
        <w:rPr>
          <w:rFonts w:ascii="Arial" w:hAnsi="Arial" w:cs="Arial"/>
          <w:sz w:val="22"/>
          <w:szCs w:val="22"/>
        </w:rPr>
        <w:t>Departmental managers should be proactive on the issue of talent retention, as opposed to being reactive. Spreitzer and Porath</w:t>
      </w:r>
      <w:r w:rsidR="007C247D" w:rsidRPr="00F0463E">
        <w:rPr>
          <w:rFonts w:ascii="Arial" w:hAnsi="Arial" w:cs="Arial"/>
          <w:sz w:val="22"/>
          <w:szCs w:val="22"/>
        </w:rPr>
        <w:t xml:space="preserve"> (2014</w:t>
      </w:r>
      <w:r w:rsidRPr="00F0463E">
        <w:rPr>
          <w:rFonts w:ascii="Arial" w:hAnsi="Arial" w:cs="Arial"/>
          <w:sz w:val="22"/>
          <w:szCs w:val="22"/>
        </w:rPr>
        <w:t>) reveal that those employees that believe that the manager is interested in their growth (via frequent career discussions, stretch assignments, and candid feedback) have shown much higher levels of engagement and lower turnover intention. At M&amp;S, regular one-to-one interviews, conducted following a set of structured stay interviews, i.e., periodic conversations about what makes an employee stay at the organi</w:t>
      </w:r>
      <w:r w:rsidR="00F0463E">
        <w:rPr>
          <w:rFonts w:ascii="Arial" w:hAnsi="Arial" w:cs="Arial"/>
          <w:sz w:val="22"/>
          <w:szCs w:val="22"/>
        </w:rPr>
        <w:t>s</w:t>
      </w:r>
      <w:r w:rsidRPr="00F0463E">
        <w:rPr>
          <w:rFonts w:ascii="Arial" w:hAnsi="Arial" w:cs="Arial"/>
          <w:sz w:val="22"/>
          <w:szCs w:val="22"/>
        </w:rPr>
        <w:t>ation, offer managers an early warning system as soon as an employee loses interest in staying at the organi</w:t>
      </w:r>
      <w:r w:rsidR="00F0463E">
        <w:rPr>
          <w:rFonts w:ascii="Arial" w:hAnsi="Arial" w:cs="Arial"/>
          <w:sz w:val="22"/>
          <w:szCs w:val="22"/>
        </w:rPr>
        <w:t>s</w:t>
      </w:r>
      <w:r w:rsidRPr="00F0463E">
        <w:rPr>
          <w:rFonts w:ascii="Arial" w:hAnsi="Arial" w:cs="Arial"/>
          <w:sz w:val="22"/>
          <w:szCs w:val="22"/>
        </w:rPr>
        <w:t>ation without resorting to resignation. The CIPD (2024) supports stay interviews as one of the most affordable retention tools that line managers can use.</w:t>
      </w:r>
    </w:p>
    <w:p w14:paraId="211B1E02" w14:textId="16FB5BD7" w:rsidR="001921C7" w:rsidRPr="00F0463E" w:rsidRDefault="001921C7" w:rsidP="00376FBC">
      <w:pPr>
        <w:pStyle w:val="NormalWeb"/>
        <w:spacing w:line="360" w:lineRule="auto"/>
        <w:jc w:val="both"/>
        <w:rPr>
          <w:rFonts w:ascii="Arial" w:hAnsi="Arial" w:cs="Arial"/>
          <w:sz w:val="22"/>
          <w:szCs w:val="22"/>
        </w:rPr>
      </w:pPr>
      <w:r w:rsidRPr="00F0463E">
        <w:rPr>
          <w:rFonts w:ascii="Arial" w:hAnsi="Arial" w:cs="Arial"/>
          <w:sz w:val="22"/>
          <w:szCs w:val="22"/>
        </w:rPr>
        <w:t xml:space="preserve">In terms of DEI, managers have the most severe responsibility. The study by </w:t>
      </w:r>
      <w:r w:rsidR="002731B2" w:rsidRPr="00F0463E">
        <w:rPr>
          <w:rFonts w:ascii="Arial" w:hAnsi="Arial" w:cs="Arial"/>
          <w:color w:val="222222"/>
          <w:sz w:val="22"/>
          <w:szCs w:val="22"/>
          <w:shd w:val="clear" w:color="auto" w:fill="FFFFFF"/>
        </w:rPr>
        <w:t>Dixon-Fyle</w:t>
      </w:r>
      <w:r w:rsidRPr="00F0463E">
        <w:rPr>
          <w:rFonts w:ascii="Arial" w:hAnsi="Arial" w:cs="Arial"/>
          <w:sz w:val="22"/>
          <w:szCs w:val="22"/>
        </w:rPr>
        <w:t xml:space="preserve"> et al. (20</w:t>
      </w:r>
      <w:r w:rsidR="002731B2" w:rsidRPr="00F0463E">
        <w:rPr>
          <w:rFonts w:ascii="Arial" w:hAnsi="Arial" w:cs="Arial"/>
          <w:sz w:val="22"/>
          <w:szCs w:val="22"/>
        </w:rPr>
        <w:t>20</w:t>
      </w:r>
      <w:r w:rsidRPr="00F0463E">
        <w:rPr>
          <w:rFonts w:ascii="Arial" w:hAnsi="Arial" w:cs="Arial"/>
          <w:sz w:val="22"/>
          <w:szCs w:val="22"/>
        </w:rPr>
        <w:t>) verifies that head office policy influences the development of inclusive team climates only to a minor extent, and instead, immediate line manager behavio</w:t>
      </w:r>
      <w:r w:rsidR="00F0463E">
        <w:rPr>
          <w:rFonts w:ascii="Arial" w:hAnsi="Arial" w:cs="Arial"/>
          <w:sz w:val="22"/>
          <w:szCs w:val="22"/>
        </w:rPr>
        <w:t>u</w:t>
      </w:r>
      <w:r w:rsidRPr="00F0463E">
        <w:rPr>
          <w:rFonts w:ascii="Arial" w:hAnsi="Arial" w:cs="Arial"/>
          <w:sz w:val="22"/>
          <w:szCs w:val="22"/>
        </w:rPr>
        <w:t>r has the most significant impact. Managers should take an active role in combating non-inclusive language or behavio</w:t>
      </w:r>
      <w:r w:rsidR="00F0463E">
        <w:rPr>
          <w:rFonts w:ascii="Arial" w:hAnsi="Arial" w:cs="Arial"/>
          <w:sz w:val="22"/>
          <w:szCs w:val="22"/>
        </w:rPr>
        <w:t>u</w:t>
      </w:r>
      <w:r w:rsidRPr="00F0463E">
        <w:rPr>
          <w:rFonts w:ascii="Arial" w:hAnsi="Arial" w:cs="Arial"/>
          <w:sz w:val="22"/>
          <w:szCs w:val="22"/>
        </w:rPr>
        <w:t>r within their groups, maintain a fair level of access to developmental opportunities, and implement the ideas of DEI in the processes of performance review and succession planning. Noe (2022) note that HR ought to offer managers customized inclusive leadership training, unconscious bias awareness courses, and explicit accountability indicators based on DEI results - e.g., by incorporating DEI-related behavio</w:t>
      </w:r>
      <w:r w:rsidR="00F0463E">
        <w:rPr>
          <w:rFonts w:ascii="Arial" w:hAnsi="Arial" w:cs="Arial"/>
          <w:sz w:val="22"/>
          <w:szCs w:val="22"/>
        </w:rPr>
        <w:t>u</w:t>
      </w:r>
      <w:r w:rsidRPr="00F0463E">
        <w:rPr>
          <w:rFonts w:ascii="Arial" w:hAnsi="Arial" w:cs="Arial"/>
          <w:sz w:val="22"/>
          <w:szCs w:val="22"/>
        </w:rPr>
        <w:t>rs in manager performance appraisal.</w:t>
      </w:r>
    </w:p>
    <w:p w14:paraId="285AE5E8" w14:textId="5C0179CA" w:rsidR="00B02001" w:rsidRPr="00F0463E" w:rsidRDefault="001921C7" w:rsidP="00376FBC">
      <w:pPr>
        <w:pStyle w:val="NormalWeb"/>
        <w:spacing w:line="360" w:lineRule="auto"/>
        <w:jc w:val="both"/>
        <w:rPr>
          <w:rFonts w:ascii="Arial" w:hAnsi="Arial" w:cs="Arial"/>
          <w:sz w:val="22"/>
          <w:szCs w:val="22"/>
        </w:rPr>
      </w:pPr>
      <w:r w:rsidRPr="00F0463E">
        <w:rPr>
          <w:rFonts w:ascii="Arial" w:hAnsi="Arial" w:cs="Arial"/>
          <w:sz w:val="22"/>
          <w:szCs w:val="22"/>
        </w:rPr>
        <w:t>This is a critical move that needs to be made immediately because of the competitive and reputational risk of not taking any move. According to Deloitte (2024), the lack of rapid development of DEI and digital transformation results in a decrease in applications and an increase in turnover. These practices have to be obligatory in Marks and Spencer, where the HR control and open executive reporting would be the instruments of accountability.</w:t>
      </w:r>
    </w:p>
    <w:p w14:paraId="3FAA2142" w14:textId="77777777" w:rsidR="00B02001" w:rsidRPr="00F0463E" w:rsidRDefault="00B02001">
      <w:pPr>
        <w:rPr>
          <w:rFonts w:eastAsia="Times New Roman"/>
        </w:rPr>
      </w:pPr>
      <w:r w:rsidRPr="00F0463E">
        <w:br w:type="page"/>
      </w:r>
    </w:p>
    <w:p w14:paraId="4232AB14" w14:textId="77777777" w:rsidR="001921C7" w:rsidRPr="00F0463E" w:rsidRDefault="001921C7" w:rsidP="00376FBC">
      <w:pPr>
        <w:pStyle w:val="Heading1"/>
        <w:spacing w:line="360" w:lineRule="auto"/>
        <w:rPr>
          <w:sz w:val="22"/>
          <w:szCs w:val="22"/>
          <w:lang w:val="en-GB"/>
        </w:rPr>
      </w:pPr>
      <w:bookmarkStart w:id="10" w:name="_Toc225385979"/>
      <w:r w:rsidRPr="00F0463E">
        <w:rPr>
          <w:sz w:val="22"/>
          <w:szCs w:val="22"/>
          <w:lang w:val="en-GB"/>
        </w:rPr>
        <w:lastRenderedPageBreak/>
        <w:t>5. Conclusion and Recommendations</w:t>
      </w:r>
      <w:bookmarkEnd w:id="10"/>
    </w:p>
    <w:p w14:paraId="2CDA0824" w14:textId="3438B459" w:rsidR="001921C7" w:rsidRPr="00F0463E" w:rsidRDefault="001921C7" w:rsidP="00376FBC">
      <w:pPr>
        <w:pStyle w:val="NormalWeb"/>
        <w:spacing w:line="360" w:lineRule="auto"/>
        <w:jc w:val="both"/>
        <w:rPr>
          <w:rFonts w:ascii="Arial" w:hAnsi="Arial" w:cs="Arial"/>
          <w:sz w:val="22"/>
          <w:szCs w:val="22"/>
        </w:rPr>
      </w:pPr>
      <w:r w:rsidRPr="00F0463E">
        <w:rPr>
          <w:rFonts w:ascii="Arial" w:hAnsi="Arial" w:cs="Arial"/>
          <w:sz w:val="22"/>
          <w:szCs w:val="22"/>
        </w:rPr>
        <w:t>The report has discussed three critical HR issues at Marks and Spencer, such as technological development, HR acquisition and retention, and DEI, and analy</w:t>
      </w:r>
      <w:r w:rsidR="00F0463E">
        <w:rPr>
          <w:rFonts w:ascii="Arial" w:hAnsi="Arial" w:cs="Arial"/>
          <w:sz w:val="22"/>
          <w:szCs w:val="22"/>
        </w:rPr>
        <w:t>s</w:t>
      </w:r>
      <w:r w:rsidRPr="00F0463E">
        <w:rPr>
          <w:rFonts w:ascii="Arial" w:hAnsi="Arial" w:cs="Arial"/>
          <w:sz w:val="22"/>
          <w:szCs w:val="22"/>
        </w:rPr>
        <w:t>ed modern practices implemented to deal with them. M&amp;S has taken good steps in the context of AI-driven learning, hybrid work setups, blind hiring, and ERGs, but how these initiatives are converted into standard employee experience is dependent on the level of managerial involvement.</w:t>
      </w:r>
    </w:p>
    <w:p w14:paraId="437719CE" w14:textId="43FF169B" w:rsidR="001921C7" w:rsidRPr="00F0463E" w:rsidRDefault="001921C7" w:rsidP="00376FBC">
      <w:pPr>
        <w:pStyle w:val="NormalWeb"/>
        <w:spacing w:line="360" w:lineRule="auto"/>
        <w:jc w:val="both"/>
        <w:rPr>
          <w:rFonts w:ascii="Arial" w:hAnsi="Arial" w:cs="Arial"/>
          <w:sz w:val="22"/>
          <w:szCs w:val="22"/>
        </w:rPr>
      </w:pPr>
      <w:r w:rsidRPr="00F0463E">
        <w:rPr>
          <w:rFonts w:ascii="Arial" w:hAnsi="Arial" w:cs="Arial"/>
          <w:sz w:val="22"/>
          <w:szCs w:val="22"/>
        </w:rPr>
        <w:t>The following are some of the recommendations. To start with, M&amp;S must require at least 20 hours of digital skills training per employee per year, which should be tracked by using the LMS and assessed during the appraisal process. Second</w:t>
      </w:r>
      <w:r w:rsidR="003979A1" w:rsidRPr="00F0463E">
        <w:rPr>
          <w:rFonts w:ascii="Arial" w:hAnsi="Arial" w:cs="Arial"/>
          <w:sz w:val="22"/>
          <w:szCs w:val="22"/>
        </w:rPr>
        <w:t>ly</w:t>
      </w:r>
      <w:r w:rsidRPr="00F0463E">
        <w:rPr>
          <w:rFonts w:ascii="Arial" w:hAnsi="Arial" w:cs="Arial"/>
          <w:sz w:val="22"/>
          <w:szCs w:val="22"/>
        </w:rPr>
        <w:t>, all departmental managers are to be taught inclusive leadership training annually, and DEI behavio</w:t>
      </w:r>
      <w:r w:rsidR="00F0463E">
        <w:rPr>
          <w:rFonts w:ascii="Arial" w:hAnsi="Arial" w:cs="Arial"/>
          <w:sz w:val="22"/>
          <w:szCs w:val="22"/>
        </w:rPr>
        <w:t>u</w:t>
      </w:r>
      <w:r w:rsidRPr="00F0463E">
        <w:rPr>
          <w:rFonts w:ascii="Arial" w:hAnsi="Arial" w:cs="Arial"/>
          <w:sz w:val="22"/>
          <w:szCs w:val="22"/>
        </w:rPr>
        <w:t>rs are to be part of manager performance goals. Third</w:t>
      </w:r>
      <w:r w:rsidR="003979A1" w:rsidRPr="00F0463E">
        <w:rPr>
          <w:rFonts w:ascii="Arial" w:hAnsi="Arial" w:cs="Arial"/>
          <w:sz w:val="22"/>
          <w:szCs w:val="22"/>
        </w:rPr>
        <w:t>ly</w:t>
      </w:r>
      <w:r w:rsidRPr="00F0463E">
        <w:rPr>
          <w:rFonts w:ascii="Arial" w:hAnsi="Arial" w:cs="Arial"/>
          <w:sz w:val="22"/>
          <w:szCs w:val="22"/>
        </w:rPr>
        <w:t>, structured stay interviews need to be incorporated as a quarterly requirement for all line managers, and the outputs need to be reviewed by the HR business partners. Fourth</w:t>
      </w:r>
      <w:r w:rsidR="003979A1" w:rsidRPr="00F0463E">
        <w:rPr>
          <w:rFonts w:ascii="Arial" w:hAnsi="Arial" w:cs="Arial"/>
          <w:sz w:val="22"/>
          <w:szCs w:val="22"/>
        </w:rPr>
        <w:t>ly</w:t>
      </w:r>
      <w:r w:rsidRPr="00F0463E">
        <w:rPr>
          <w:rFonts w:ascii="Arial" w:hAnsi="Arial" w:cs="Arial"/>
          <w:sz w:val="22"/>
          <w:szCs w:val="22"/>
        </w:rPr>
        <w:t>, M&amp;S ought to release a clear annual DEI scorecard broken down by level of seniority to keep accountable and indicate true intentions of change on a system-wide basis. Such actions are based on the existing scholarly evidence and aligned with CIPD best practice and should equip M&amp;S to respond to its HR challenges with the urgency and strategic coherence they require.</w:t>
      </w:r>
    </w:p>
    <w:p w14:paraId="573B82A3" w14:textId="77777777" w:rsidR="00AC4491" w:rsidRPr="00F0463E" w:rsidRDefault="00AC4491" w:rsidP="00376FBC">
      <w:pPr>
        <w:spacing w:line="360" w:lineRule="auto"/>
        <w:rPr>
          <w:b/>
          <w:bCs/>
          <w:color w:val="000000" w:themeColor="text1"/>
        </w:rPr>
      </w:pPr>
      <w:bookmarkStart w:id="11" w:name="_Toc225385980"/>
      <w:r w:rsidRPr="00F0463E">
        <w:br w:type="page"/>
      </w:r>
    </w:p>
    <w:p w14:paraId="69F57295" w14:textId="4A3E687E" w:rsidR="00C4482F" w:rsidRPr="00F0463E" w:rsidRDefault="00DF378C" w:rsidP="00376FBC">
      <w:pPr>
        <w:pStyle w:val="Heading1"/>
        <w:spacing w:line="360" w:lineRule="auto"/>
        <w:rPr>
          <w:sz w:val="22"/>
          <w:szCs w:val="22"/>
          <w:lang w:val="en-GB"/>
        </w:rPr>
      </w:pPr>
      <w:r w:rsidRPr="00F0463E">
        <w:rPr>
          <w:sz w:val="22"/>
          <w:szCs w:val="22"/>
          <w:lang w:val="en-GB"/>
        </w:rPr>
        <w:lastRenderedPageBreak/>
        <w:t>References</w:t>
      </w:r>
      <w:bookmarkEnd w:id="11"/>
    </w:p>
    <w:p w14:paraId="0839B591" w14:textId="77777777" w:rsidR="00E43BA2" w:rsidRPr="00F0463E" w:rsidRDefault="00E43BA2" w:rsidP="00376FBC">
      <w:pPr>
        <w:spacing w:before="240" w:after="100" w:line="360" w:lineRule="auto"/>
        <w:jc w:val="both"/>
      </w:pPr>
      <w:r w:rsidRPr="00F0463E">
        <w:t xml:space="preserve">Chartered Institute of Personnel and Development (2024) </w:t>
      </w:r>
      <w:r w:rsidRPr="00F0463E">
        <w:rPr>
          <w:i/>
          <w:iCs/>
        </w:rPr>
        <w:t>People Profession 2024: UK and Ireland</w:t>
      </w:r>
      <w:r w:rsidRPr="00F0463E">
        <w:t xml:space="preserve">. London: Chartered Institute of Personnel and Development. Available at: </w:t>
      </w:r>
      <w:hyperlink r:id="rId11" w:tgtFrame="_blank" w:history="1">
        <w:r w:rsidRPr="00F0463E">
          <w:rPr>
            <w:rStyle w:val="Hyperlink"/>
            <w:color w:val="auto"/>
          </w:rPr>
          <w:t>https://www.cipd.org/uk/knowledge/reports/people-profession-survey/</w:t>
        </w:r>
      </w:hyperlink>
    </w:p>
    <w:p w14:paraId="28F743AF" w14:textId="77777777" w:rsidR="00E43BA2" w:rsidRPr="00F0463E" w:rsidRDefault="00E43BA2" w:rsidP="00376FBC">
      <w:pPr>
        <w:spacing w:before="240" w:after="100" w:line="360" w:lineRule="auto"/>
        <w:jc w:val="both"/>
        <w:rPr>
          <w:shd w:val="clear" w:color="auto" w:fill="FFFFFF"/>
        </w:rPr>
      </w:pPr>
      <w:r w:rsidRPr="00F0463E">
        <w:rPr>
          <w:shd w:val="clear" w:color="auto" w:fill="FFFFFF"/>
        </w:rPr>
        <w:t>Collings, D.G., McMackin, J., Nyberg, A.J. and Wright, P.M., 2021. Strategic human resource management and COVID</w:t>
      </w:r>
      <w:r w:rsidRPr="00F0463E">
        <w:rPr>
          <w:rFonts w:ascii="Cambria Math" w:hAnsi="Cambria Math" w:cs="Cambria Math"/>
          <w:shd w:val="clear" w:color="auto" w:fill="FFFFFF"/>
        </w:rPr>
        <w:t>‐</w:t>
      </w:r>
      <w:r w:rsidRPr="00F0463E">
        <w:rPr>
          <w:shd w:val="clear" w:color="auto" w:fill="FFFFFF"/>
        </w:rPr>
        <w:t>19: Emerging challenges and research opportunities. </w:t>
      </w:r>
      <w:r w:rsidRPr="00F0463E">
        <w:rPr>
          <w:i/>
          <w:iCs/>
          <w:shd w:val="clear" w:color="auto" w:fill="FFFFFF"/>
        </w:rPr>
        <w:t>Journal of Management Studies</w:t>
      </w:r>
      <w:r w:rsidRPr="00F0463E">
        <w:rPr>
          <w:shd w:val="clear" w:color="auto" w:fill="FFFFFF"/>
        </w:rPr>
        <w:t>, </w:t>
      </w:r>
      <w:r w:rsidRPr="00F0463E">
        <w:rPr>
          <w:i/>
          <w:iCs/>
          <w:shd w:val="clear" w:color="auto" w:fill="FFFFFF"/>
        </w:rPr>
        <w:t>58</w:t>
      </w:r>
      <w:r w:rsidRPr="00F0463E">
        <w:rPr>
          <w:shd w:val="clear" w:color="auto" w:fill="FFFFFF"/>
        </w:rPr>
        <w:t>(5), p.1378.</w:t>
      </w:r>
    </w:p>
    <w:p w14:paraId="30EC5968" w14:textId="77777777" w:rsidR="00E43BA2" w:rsidRPr="00F0463E" w:rsidRDefault="00E43BA2" w:rsidP="00376FBC">
      <w:pPr>
        <w:spacing w:before="240" w:after="100" w:line="360" w:lineRule="auto"/>
        <w:jc w:val="both"/>
      </w:pPr>
      <w:r w:rsidRPr="00F0463E">
        <w:t xml:space="preserve">Deloitte (2024) </w:t>
      </w:r>
      <w:r w:rsidRPr="00F0463E">
        <w:rPr>
          <w:i/>
          <w:iCs/>
        </w:rPr>
        <w:t>Thriving Beyond Boundaries: Human Performance in a Boundaryless World (2024 Global Human Capital Trends)</w:t>
      </w:r>
      <w:r w:rsidRPr="00F0463E">
        <w:t xml:space="preserve">. Available at: </w:t>
      </w:r>
      <w:hyperlink r:id="rId12" w:tgtFrame="_blank" w:history="1">
        <w:r w:rsidRPr="00F0463E">
          <w:rPr>
            <w:rStyle w:val="Hyperlink"/>
            <w:color w:val="auto"/>
          </w:rPr>
          <w:t>https://www.deloitte.com/ua/en/about/press-room/human-capital-trends.html</w:t>
        </w:r>
      </w:hyperlink>
    </w:p>
    <w:p w14:paraId="762EB389" w14:textId="77777777" w:rsidR="00E43BA2" w:rsidRPr="00F0463E" w:rsidRDefault="00E43BA2" w:rsidP="00376FBC">
      <w:pPr>
        <w:spacing w:before="240" w:after="100" w:line="360" w:lineRule="auto"/>
        <w:jc w:val="both"/>
      </w:pPr>
      <w:r w:rsidRPr="00F0463E">
        <w:rPr>
          <w:shd w:val="clear" w:color="auto" w:fill="FFFFFF"/>
        </w:rPr>
        <w:t>Dixon-Fyle, S., Hunt, V., Dolan, K. and Prince, S., 2020. Diversity wins.</w:t>
      </w:r>
    </w:p>
    <w:p w14:paraId="78AA76EB" w14:textId="77777777" w:rsidR="00E43BA2" w:rsidRPr="00F0463E" w:rsidRDefault="00E43BA2" w:rsidP="00376FBC">
      <w:pPr>
        <w:spacing w:before="240" w:after="100" w:line="360" w:lineRule="auto"/>
        <w:jc w:val="both"/>
      </w:pPr>
      <w:r w:rsidRPr="00F0463E">
        <w:t xml:space="preserve">Marks and Spencer Group plc (2024) </w:t>
      </w:r>
      <w:r w:rsidRPr="00F0463E">
        <w:rPr>
          <w:i/>
          <w:iCs/>
        </w:rPr>
        <w:t>Annual Report &amp; Financial Statements 2024</w:t>
      </w:r>
      <w:r w:rsidRPr="00F0463E">
        <w:t xml:space="preserve">. Available at: </w:t>
      </w:r>
      <w:hyperlink r:id="rId13" w:tgtFrame="_blank" w:history="1">
        <w:r w:rsidRPr="00F0463E">
          <w:rPr>
            <w:rStyle w:val="Hyperlink"/>
            <w:color w:val="auto"/>
          </w:rPr>
          <w:t>https://corporate.marksandspencer.com/sites/marksandspencer/files/2024-06/M-and-S-2024-Annual-Report.pdf</w:t>
        </w:r>
      </w:hyperlink>
    </w:p>
    <w:p w14:paraId="3EA101CB" w14:textId="77777777" w:rsidR="00E43BA2" w:rsidRPr="00F0463E" w:rsidRDefault="00E43BA2" w:rsidP="00376FBC">
      <w:pPr>
        <w:spacing w:before="240" w:after="100" w:line="360" w:lineRule="auto"/>
        <w:jc w:val="both"/>
        <w:rPr>
          <w:shd w:val="clear" w:color="auto" w:fill="FFFFFF"/>
        </w:rPr>
      </w:pPr>
      <w:r w:rsidRPr="00F0463E">
        <w:rPr>
          <w:shd w:val="clear" w:color="auto" w:fill="FFFFFF"/>
        </w:rPr>
        <w:t>Noe, R.A., 2022. </w:t>
      </w:r>
      <w:r w:rsidRPr="00F0463E">
        <w:rPr>
          <w:i/>
          <w:iCs/>
          <w:shd w:val="clear" w:color="auto" w:fill="FFFFFF"/>
        </w:rPr>
        <w:t>Human resource management: Gaining a competitive advantage</w:t>
      </w:r>
      <w:r w:rsidRPr="00F0463E">
        <w:rPr>
          <w:shd w:val="clear" w:color="auto" w:fill="FFFFFF"/>
        </w:rPr>
        <w:t>. McGraw-Hill Higher Education.</w:t>
      </w:r>
    </w:p>
    <w:p w14:paraId="41CE9C4B" w14:textId="77777777" w:rsidR="00E43BA2" w:rsidRPr="00F0463E" w:rsidRDefault="00E43BA2" w:rsidP="00376FBC">
      <w:pPr>
        <w:spacing w:before="240" w:after="100" w:line="360" w:lineRule="auto"/>
        <w:jc w:val="both"/>
        <w:rPr>
          <w:shd w:val="clear" w:color="auto" w:fill="FFFFFF"/>
        </w:rPr>
      </w:pPr>
      <w:r w:rsidRPr="00F0463E">
        <w:rPr>
          <w:shd w:val="clear" w:color="auto" w:fill="FFFFFF"/>
        </w:rPr>
        <w:t>Pichler, S., Kohli, C. and Granitz, N., 2021. DITTO for Gen Z: A framework for leveraging the uniqueness of the new generation. </w:t>
      </w:r>
      <w:r w:rsidRPr="00F0463E">
        <w:rPr>
          <w:i/>
          <w:iCs/>
          <w:shd w:val="clear" w:color="auto" w:fill="FFFFFF"/>
        </w:rPr>
        <w:t>Business horizons</w:t>
      </w:r>
      <w:r w:rsidRPr="00F0463E">
        <w:rPr>
          <w:shd w:val="clear" w:color="auto" w:fill="FFFFFF"/>
        </w:rPr>
        <w:t>, </w:t>
      </w:r>
      <w:r w:rsidRPr="00F0463E">
        <w:rPr>
          <w:i/>
          <w:iCs/>
          <w:shd w:val="clear" w:color="auto" w:fill="FFFFFF"/>
        </w:rPr>
        <w:t>64</w:t>
      </w:r>
      <w:r w:rsidRPr="00F0463E">
        <w:rPr>
          <w:shd w:val="clear" w:color="auto" w:fill="FFFFFF"/>
        </w:rPr>
        <w:t>(5), pp.599-610.</w:t>
      </w:r>
    </w:p>
    <w:p w14:paraId="2E4EB107" w14:textId="77777777" w:rsidR="00E43BA2" w:rsidRPr="00F0463E" w:rsidRDefault="00E43BA2" w:rsidP="00376FBC">
      <w:pPr>
        <w:spacing w:before="240" w:after="100" w:line="360" w:lineRule="auto"/>
        <w:jc w:val="both"/>
      </w:pPr>
      <w:r w:rsidRPr="00F0463E">
        <w:rPr>
          <w:shd w:val="clear" w:color="auto" w:fill="FFFFFF"/>
        </w:rPr>
        <w:t>Spreitzer, G.M. and Porath, C., 2014. 15 Self-Determination as for Thriving: Building an Integrative Model of Human Growth at Work. </w:t>
      </w:r>
      <w:r w:rsidRPr="00F0463E">
        <w:rPr>
          <w:i/>
          <w:iCs/>
          <w:shd w:val="clear" w:color="auto" w:fill="FFFFFF"/>
        </w:rPr>
        <w:t>The Oxford handbook of work engagement, motivation, and self-determination theory</w:t>
      </w:r>
      <w:r w:rsidRPr="00F0463E">
        <w:rPr>
          <w:shd w:val="clear" w:color="auto" w:fill="FFFFFF"/>
        </w:rPr>
        <w:t>, p.245.</w:t>
      </w:r>
    </w:p>
    <w:p w14:paraId="1BEA33D6" w14:textId="77777777" w:rsidR="00E43BA2" w:rsidRPr="00F0463E" w:rsidRDefault="00E43BA2" w:rsidP="00376FBC">
      <w:pPr>
        <w:spacing w:before="240" w:after="100" w:line="360" w:lineRule="auto"/>
        <w:jc w:val="both"/>
      </w:pPr>
      <w:r w:rsidRPr="00F0463E">
        <w:rPr>
          <w:shd w:val="clear" w:color="auto" w:fill="FFFFFF"/>
        </w:rPr>
        <w:t>Taylor, M.A.S., 2014. </w:t>
      </w:r>
      <w:r w:rsidRPr="00F0463E">
        <w:rPr>
          <w:i/>
          <w:iCs/>
          <w:shd w:val="clear" w:color="auto" w:fill="FFFFFF"/>
        </w:rPr>
        <w:t>Armstrongs handbook of human resource management practice</w:t>
      </w:r>
      <w:r w:rsidRPr="00F0463E">
        <w:rPr>
          <w:shd w:val="clear" w:color="auto" w:fill="FFFFFF"/>
        </w:rPr>
        <w:t>. Kogan Page Limited.</w:t>
      </w:r>
    </w:p>
    <w:p w14:paraId="02D34780" w14:textId="77777777" w:rsidR="00E43BA2" w:rsidRPr="00F0463E" w:rsidRDefault="00E43BA2" w:rsidP="00376FBC">
      <w:pPr>
        <w:spacing w:before="240" w:after="100" w:line="360" w:lineRule="auto"/>
        <w:jc w:val="both"/>
        <w:rPr>
          <w:shd w:val="clear" w:color="auto" w:fill="FFFFFF"/>
        </w:rPr>
      </w:pPr>
      <w:r w:rsidRPr="00F0463E">
        <w:rPr>
          <w:shd w:val="clear" w:color="auto" w:fill="FFFFFF"/>
        </w:rPr>
        <w:t>Zhang, J. and Chen, Z., 2024. Exploring human resource management digital transformation in the digital age. </w:t>
      </w:r>
      <w:r w:rsidRPr="00F0463E">
        <w:rPr>
          <w:i/>
          <w:iCs/>
          <w:shd w:val="clear" w:color="auto" w:fill="FFFFFF"/>
        </w:rPr>
        <w:t>Journal of the knowledge economy</w:t>
      </w:r>
      <w:r w:rsidRPr="00F0463E">
        <w:rPr>
          <w:shd w:val="clear" w:color="auto" w:fill="FFFFFF"/>
        </w:rPr>
        <w:t>, </w:t>
      </w:r>
      <w:r w:rsidRPr="00F0463E">
        <w:rPr>
          <w:i/>
          <w:iCs/>
          <w:shd w:val="clear" w:color="auto" w:fill="FFFFFF"/>
        </w:rPr>
        <w:t>15</w:t>
      </w:r>
      <w:r w:rsidRPr="00F0463E">
        <w:rPr>
          <w:shd w:val="clear" w:color="auto" w:fill="FFFFFF"/>
        </w:rPr>
        <w:t>(1), pp.1482-1498.</w:t>
      </w:r>
    </w:p>
    <w:p w14:paraId="7E6ABA29" w14:textId="77777777" w:rsidR="002C0960" w:rsidRPr="00F0463E" w:rsidRDefault="002C0960" w:rsidP="00376FBC">
      <w:pPr>
        <w:spacing w:before="100" w:after="100" w:line="360" w:lineRule="auto"/>
        <w:ind w:left="720" w:hanging="720"/>
        <w:jc w:val="both"/>
      </w:pPr>
    </w:p>
    <w:p w14:paraId="5F74ADBB" w14:textId="77777777" w:rsidR="008F549D" w:rsidRPr="00F0463E" w:rsidRDefault="008F549D" w:rsidP="00376FBC">
      <w:pPr>
        <w:spacing w:before="100" w:after="100" w:line="360" w:lineRule="auto"/>
        <w:ind w:left="720" w:hanging="720"/>
        <w:jc w:val="both"/>
      </w:pPr>
    </w:p>
    <w:p w14:paraId="1A39D300" w14:textId="77777777" w:rsidR="008F549D" w:rsidRPr="00F0463E" w:rsidRDefault="008F549D" w:rsidP="00376FBC">
      <w:pPr>
        <w:spacing w:before="100" w:after="100" w:line="360" w:lineRule="auto"/>
        <w:ind w:left="720" w:hanging="720"/>
        <w:jc w:val="both"/>
      </w:pPr>
    </w:p>
    <w:p w14:paraId="37606857" w14:textId="77777777" w:rsidR="00C4482F" w:rsidRPr="00376FBC" w:rsidRDefault="00C4482F" w:rsidP="00376FBC">
      <w:pPr>
        <w:spacing w:before="100" w:after="100" w:line="360" w:lineRule="auto"/>
        <w:ind w:left="720" w:hanging="720"/>
        <w:jc w:val="both"/>
      </w:pPr>
    </w:p>
    <w:sectPr w:rsidR="00C4482F" w:rsidRPr="00376FBC" w:rsidSect="008B0239">
      <w:footerReference w:type="default" r:id="rId14"/>
      <w:pgSz w:w="11906" w:h="16838"/>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8A9599" w14:textId="77777777" w:rsidR="00193706" w:rsidRPr="00F0463E" w:rsidRDefault="00193706">
      <w:r w:rsidRPr="00F0463E">
        <w:separator/>
      </w:r>
    </w:p>
  </w:endnote>
  <w:endnote w:type="continuationSeparator" w:id="0">
    <w:p w14:paraId="009183D4" w14:textId="77777777" w:rsidR="00193706" w:rsidRPr="00F0463E" w:rsidRDefault="00193706">
      <w:r w:rsidRPr="00F0463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958703" w14:textId="77777777" w:rsidR="00C4482F" w:rsidRPr="00F0463E" w:rsidRDefault="00DF378C">
    <w:pPr>
      <w:pBdr>
        <w:top w:val="single" w:sz="6" w:space="1" w:color="2E75B6"/>
      </w:pBdr>
      <w:jc w:val="center"/>
    </w:pPr>
    <w:r w:rsidRPr="00F0463E">
      <w:rPr>
        <w:color w:val="595959"/>
        <w:sz w:val="18"/>
        <w:szCs w:val="18"/>
      </w:rPr>
      <w:t xml:space="preserve">Page </w:t>
    </w:r>
    <w:r w:rsidRPr="00F0463E">
      <w:rPr>
        <w:color w:val="595959"/>
        <w:sz w:val="18"/>
        <w:szCs w:val="18"/>
      </w:rPr>
      <w:fldChar w:fldCharType="begin"/>
    </w:r>
    <w:r w:rsidRPr="00F0463E">
      <w:rPr>
        <w:color w:val="595959"/>
        <w:sz w:val="18"/>
        <w:szCs w:val="18"/>
      </w:rPr>
      <w:instrText>PAGE</w:instrText>
    </w:r>
    <w:r w:rsidRPr="00F0463E">
      <w:rPr>
        <w:color w:val="595959"/>
        <w:sz w:val="18"/>
        <w:szCs w:val="18"/>
      </w:rPr>
      <w:fldChar w:fldCharType="separate"/>
    </w:r>
    <w:r w:rsidR="0031104F" w:rsidRPr="00F0463E">
      <w:rPr>
        <w:color w:val="595959"/>
        <w:sz w:val="18"/>
        <w:szCs w:val="18"/>
      </w:rPr>
      <w:t>7</w:t>
    </w:r>
    <w:r w:rsidRPr="00F0463E">
      <w:rPr>
        <w:color w:val="595959"/>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7DFCE2" w14:textId="77777777" w:rsidR="00193706" w:rsidRPr="00F0463E" w:rsidRDefault="00193706">
      <w:r w:rsidRPr="00F0463E">
        <w:separator/>
      </w:r>
    </w:p>
  </w:footnote>
  <w:footnote w:type="continuationSeparator" w:id="0">
    <w:p w14:paraId="36C3DA58" w14:textId="77777777" w:rsidR="00193706" w:rsidRPr="00F0463E" w:rsidRDefault="00193706">
      <w:r w:rsidRPr="00F0463E">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152807"/>
    <w:multiLevelType w:val="hybridMultilevel"/>
    <w:tmpl w:val="478A10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68538B4"/>
    <w:multiLevelType w:val="hybridMultilevel"/>
    <w:tmpl w:val="DDF830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6B82C22"/>
    <w:multiLevelType w:val="hybridMultilevel"/>
    <w:tmpl w:val="B52C05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49276A2"/>
    <w:multiLevelType w:val="hybridMultilevel"/>
    <w:tmpl w:val="B2E6C0DE"/>
    <w:lvl w:ilvl="0" w:tplc="464E8604">
      <w:start w:val="1"/>
      <w:numFmt w:val="decimal"/>
      <w:lvlText w:val="%1."/>
      <w:lvlJc w:val="left"/>
      <w:pPr>
        <w:ind w:left="720" w:hanging="360"/>
      </w:pPr>
      <w:rPr>
        <w:rFonts w:eastAsia="Aria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69C49B9"/>
    <w:multiLevelType w:val="hybridMultilevel"/>
    <w:tmpl w:val="2998F3B8"/>
    <w:lvl w:ilvl="0" w:tplc="6DFCB59C">
      <w:start w:val="1"/>
      <w:numFmt w:val="bullet"/>
      <w:lvlText w:val="●"/>
      <w:lvlJc w:val="left"/>
      <w:pPr>
        <w:ind w:left="720" w:hanging="360"/>
      </w:pPr>
    </w:lvl>
    <w:lvl w:ilvl="1" w:tplc="C2D851B6">
      <w:start w:val="1"/>
      <w:numFmt w:val="bullet"/>
      <w:lvlText w:val="○"/>
      <w:lvlJc w:val="left"/>
      <w:pPr>
        <w:ind w:left="1440" w:hanging="360"/>
      </w:pPr>
    </w:lvl>
    <w:lvl w:ilvl="2" w:tplc="0CA21B1C">
      <w:start w:val="1"/>
      <w:numFmt w:val="bullet"/>
      <w:lvlText w:val="■"/>
      <w:lvlJc w:val="left"/>
      <w:pPr>
        <w:ind w:left="2160" w:hanging="360"/>
      </w:pPr>
    </w:lvl>
    <w:lvl w:ilvl="3" w:tplc="88CECD84">
      <w:start w:val="1"/>
      <w:numFmt w:val="bullet"/>
      <w:lvlText w:val="●"/>
      <w:lvlJc w:val="left"/>
      <w:pPr>
        <w:ind w:left="2880" w:hanging="360"/>
      </w:pPr>
    </w:lvl>
    <w:lvl w:ilvl="4" w:tplc="BF047218">
      <w:start w:val="1"/>
      <w:numFmt w:val="bullet"/>
      <w:lvlText w:val="○"/>
      <w:lvlJc w:val="left"/>
      <w:pPr>
        <w:ind w:left="3600" w:hanging="360"/>
      </w:pPr>
    </w:lvl>
    <w:lvl w:ilvl="5" w:tplc="A56A61D6">
      <w:start w:val="1"/>
      <w:numFmt w:val="bullet"/>
      <w:lvlText w:val="■"/>
      <w:lvlJc w:val="left"/>
      <w:pPr>
        <w:ind w:left="4320" w:hanging="360"/>
      </w:pPr>
    </w:lvl>
    <w:lvl w:ilvl="6" w:tplc="A4EC9912">
      <w:start w:val="1"/>
      <w:numFmt w:val="bullet"/>
      <w:lvlText w:val="●"/>
      <w:lvlJc w:val="left"/>
      <w:pPr>
        <w:ind w:left="5040" w:hanging="360"/>
      </w:pPr>
    </w:lvl>
    <w:lvl w:ilvl="7" w:tplc="CAA48FC2">
      <w:start w:val="1"/>
      <w:numFmt w:val="bullet"/>
      <w:lvlText w:val="●"/>
      <w:lvlJc w:val="left"/>
      <w:pPr>
        <w:ind w:left="5760" w:hanging="360"/>
      </w:pPr>
    </w:lvl>
    <w:lvl w:ilvl="8" w:tplc="67D03596">
      <w:start w:val="1"/>
      <w:numFmt w:val="bullet"/>
      <w:lvlText w:val="●"/>
      <w:lvlJc w:val="left"/>
      <w:pPr>
        <w:ind w:left="6480" w:hanging="360"/>
      </w:pPr>
    </w:lvl>
  </w:abstractNum>
  <w:abstractNum w:abstractNumId="5" w15:restartNumberingAfterBreak="0">
    <w:nsid w:val="6CAD7DFE"/>
    <w:multiLevelType w:val="hybridMultilevel"/>
    <w:tmpl w:val="D99CDF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4FA71A8"/>
    <w:multiLevelType w:val="hybridMultilevel"/>
    <w:tmpl w:val="1366B6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68788142">
    <w:abstractNumId w:val="4"/>
    <w:lvlOverride w:ilvl="0">
      <w:startOverride w:val="1"/>
    </w:lvlOverride>
  </w:num>
  <w:num w:numId="2" w16cid:durableId="960261718">
    <w:abstractNumId w:val="3"/>
  </w:num>
  <w:num w:numId="3" w16cid:durableId="1842575160">
    <w:abstractNumId w:val="1"/>
  </w:num>
  <w:num w:numId="4" w16cid:durableId="1375353437">
    <w:abstractNumId w:val="0"/>
  </w:num>
  <w:num w:numId="5" w16cid:durableId="455373968">
    <w:abstractNumId w:val="5"/>
  </w:num>
  <w:num w:numId="6" w16cid:durableId="1280183955">
    <w:abstractNumId w:val="2"/>
  </w:num>
  <w:num w:numId="7" w16cid:durableId="20479460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C4482F"/>
    <w:rsid w:val="00043D70"/>
    <w:rsid w:val="00050497"/>
    <w:rsid w:val="00051122"/>
    <w:rsid w:val="00051394"/>
    <w:rsid w:val="000646B2"/>
    <w:rsid w:val="000802B4"/>
    <w:rsid w:val="00101EA3"/>
    <w:rsid w:val="0016158A"/>
    <w:rsid w:val="001921C7"/>
    <w:rsid w:val="00193706"/>
    <w:rsid w:val="001F065D"/>
    <w:rsid w:val="002731B2"/>
    <w:rsid w:val="002C0960"/>
    <w:rsid w:val="002F6589"/>
    <w:rsid w:val="0031104F"/>
    <w:rsid w:val="00353489"/>
    <w:rsid w:val="00373309"/>
    <w:rsid w:val="00376FBC"/>
    <w:rsid w:val="003979A1"/>
    <w:rsid w:val="004730C7"/>
    <w:rsid w:val="00541DD4"/>
    <w:rsid w:val="0056460B"/>
    <w:rsid w:val="00593CAC"/>
    <w:rsid w:val="005A135E"/>
    <w:rsid w:val="005D74B6"/>
    <w:rsid w:val="006261E1"/>
    <w:rsid w:val="006D0C91"/>
    <w:rsid w:val="006F030E"/>
    <w:rsid w:val="00764F7C"/>
    <w:rsid w:val="00780F90"/>
    <w:rsid w:val="007971FF"/>
    <w:rsid w:val="007C247D"/>
    <w:rsid w:val="007E4962"/>
    <w:rsid w:val="00827F2A"/>
    <w:rsid w:val="008B0239"/>
    <w:rsid w:val="008F549D"/>
    <w:rsid w:val="00965D03"/>
    <w:rsid w:val="009753D4"/>
    <w:rsid w:val="009A1A6F"/>
    <w:rsid w:val="00AB5B20"/>
    <w:rsid w:val="00AC4491"/>
    <w:rsid w:val="00B02001"/>
    <w:rsid w:val="00C4482F"/>
    <w:rsid w:val="00CE77D8"/>
    <w:rsid w:val="00CF2E42"/>
    <w:rsid w:val="00D30FF5"/>
    <w:rsid w:val="00D32E9C"/>
    <w:rsid w:val="00DF378C"/>
    <w:rsid w:val="00E012C8"/>
    <w:rsid w:val="00E43BA2"/>
    <w:rsid w:val="00E7092E"/>
    <w:rsid w:val="00EE1123"/>
    <w:rsid w:val="00F0463E"/>
    <w:rsid w:val="00F17A93"/>
    <w:rsid w:val="00F56E34"/>
    <w:rsid w:val="00FB62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30547"/>
  <w15:docId w15:val="{7D9B4C38-F23C-4FE0-AD46-917E78813C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qFormat/>
    <w:rsid w:val="00373309"/>
    <w:pPr>
      <w:spacing w:before="320" w:after="160"/>
      <w:outlineLvl w:val="0"/>
    </w:pPr>
    <w:rPr>
      <w:b/>
      <w:bCs/>
      <w:color w:val="000000" w:themeColor="text1"/>
      <w:sz w:val="24"/>
      <w:szCs w:val="28"/>
    </w:rPr>
  </w:style>
  <w:style w:type="paragraph" w:styleId="Heading2">
    <w:name w:val="heading 2"/>
    <w:qFormat/>
    <w:rsid w:val="00373309"/>
    <w:pPr>
      <w:spacing w:before="240" w:after="120"/>
      <w:outlineLvl w:val="1"/>
    </w:pPr>
    <w:rPr>
      <w:b/>
      <w:bCs/>
      <w:i/>
      <w:color w:val="000000" w:themeColor="text1"/>
      <w:sz w:val="24"/>
      <w:szCs w:val="24"/>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customStyle="1" w:styleId="whitespace-normal">
    <w:name w:val="whitespace-normal"/>
    <w:basedOn w:val="DefaultParagraphFont"/>
    <w:rsid w:val="00101EA3"/>
  </w:style>
  <w:style w:type="paragraph" w:styleId="NormalWeb">
    <w:name w:val="Normal (Web)"/>
    <w:basedOn w:val="Normal"/>
    <w:uiPriority w:val="99"/>
    <w:unhideWhenUsed/>
    <w:rsid w:val="007971FF"/>
    <w:pPr>
      <w:spacing w:before="100" w:beforeAutospacing="1" w:after="100" w:afterAutospacing="1"/>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80F90"/>
    <w:rPr>
      <w:rFonts w:ascii="Tahoma" w:hAnsi="Tahoma" w:cs="Tahoma"/>
      <w:sz w:val="16"/>
      <w:szCs w:val="16"/>
    </w:rPr>
  </w:style>
  <w:style w:type="character" w:customStyle="1" w:styleId="BalloonTextChar">
    <w:name w:val="Balloon Text Char"/>
    <w:basedOn w:val="DefaultParagraphFont"/>
    <w:link w:val="BalloonText"/>
    <w:uiPriority w:val="99"/>
    <w:semiHidden/>
    <w:rsid w:val="00780F90"/>
    <w:rPr>
      <w:rFonts w:ascii="Tahoma" w:hAnsi="Tahoma" w:cs="Tahoma"/>
      <w:sz w:val="16"/>
      <w:szCs w:val="16"/>
    </w:rPr>
  </w:style>
  <w:style w:type="paragraph" w:styleId="Header">
    <w:name w:val="header"/>
    <w:basedOn w:val="Normal"/>
    <w:link w:val="HeaderChar"/>
    <w:uiPriority w:val="99"/>
    <w:unhideWhenUsed/>
    <w:rsid w:val="00AB5B20"/>
    <w:pPr>
      <w:tabs>
        <w:tab w:val="center" w:pos="4680"/>
        <w:tab w:val="right" w:pos="9360"/>
      </w:tabs>
    </w:pPr>
  </w:style>
  <w:style w:type="character" w:customStyle="1" w:styleId="HeaderChar">
    <w:name w:val="Header Char"/>
    <w:basedOn w:val="DefaultParagraphFont"/>
    <w:link w:val="Header"/>
    <w:uiPriority w:val="99"/>
    <w:rsid w:val="00AB5B20"/>
  </w:style>
  <w:style w:type="paragraph" w:styleId="Footer">
    <w:name w:val="footer"/>
    <w:basedOn w:val="Normal"/>
    <w:link w:val="FooterChar"/>
    <w:uiPriority w:val="99"/>
    <w:unhideWhenUsed/>
    <w:rsid w:val="00AB5B20"/>
    <w:pPr>
      <w:tabs>
        <w:tab w:val="center" w:pos="4680"/>
        <w:tab w:val="right" w:pos="9360"/>
      </w:tabs>
    </w:pPr>
  </w:style>
  <w:style w:type="character" w:customStyle="1" w:styleId="FooterChar">
    <w:name w:val="Footer Char"/>
    <w:basedOn w:val="DefaultParagraphFont"/>
    <w:link w:val="Footer"/>
    <w:uiPriority w:val="99"/>
    <w:rsid w:val="00AB5B20"/>
  </w:style>
  <w:style w:type="paragraph" w:styleId="TOCHeading">
    <w:name w:val="TOC Heading"/>
    <w:basedOn w:val="Heading1"/>
    <w:next w:val="Normal"/>
    <w:uiPriority w:val="39"/>
    <w:semiHidden/>
    <w:unhideWhenUsed/>
    <w:qFormat/>
    <w:rsid w:val="008B0239"/>
    <w:pPr>
      <w:keepNext/>
      <w:keepLines/>
      <w:spacing w:before="480" w:after="0" w:line="276" w:lineRule="auto"/>
      <w:outlineLvl w:val="9"/>
    </w:pPr>
    <w:rPr>
      <w:rFonts w:asciiTheme="majorHAnsi" w:eastAsiaTheme="majorEastAsia" w:hAnsiTheme="majorHAnsi" w:cstheme="majorBidi"/>
      <w:color w:val="365F91" w:themeColor="accent1" w:themeShade="BF"/>
      <w:sz w:val="28"/>
      <w:lang w:eastAsia="ja-JP"/>
    </w:rPr>
  </w:style>
  <w:style w:type="paragraph" w:styleId="TOC1">
    <w:name w:val="toc 1"/>
    <w:basedOn w:val="Normal"/>
    <w:next w:val="Normal"/>
    <w:autoRedefine/>
    <w:uiPriority w:val="39"/>
    <w:unhideWhenUsed/>
    <w:rsid w:val="008B0239"/>
    <w:pPr>
      <w:spacing w:after="100"/>
    </w:pPr>
  </w:style>
  <w:style w:type="paragraph" w:styleId="TOC2">
    <w:name w:val="toc 2"/>
    <w:basedOn w:val="Normal"/>
    <w:next w:val="Normal"/>
    <w:autoRedefine/>
    <w:uiPriority w:val="39"/>
    <w:unhideWhenUsed/>
    <w:rsid w:val="008B023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rporate.marksandspencer.com/sites/marksandspencer/files/2024-06/M-and-S-2024-Annual-Report.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deloitte.com/ua/en/about/press-room/human-capital-trends.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uk/knowledge/reports/people-profession-survey/"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223DE36-30DF-45C4-8CE1-D332E3D802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2648</Words>
  <Characters>15097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 PC</dc:creator>
  <cp:lastModifiedBy>j w</cp:lastModifiedBy>
  <cp:revision>44</cp:revision>
  <dcterms:created xsi:type="dcterms:W3CDTF">2026-03-26T07:46:00Z</dcterms:created>
  <dcterms:modified xsi:type="dcterms:W3CDTF">2026-03-28T13:31:00Z</dcterms:modified>
</cp:coreProperties>
</file>