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color w:val="2F5496" w:themeColor="accent1" w:themeShade="BF"/>
          <w:sz w:val="28"/>
          <w:szCs w:val="28"/>
          <w:lang w:val="en-GB"/>
        </w:rPr>
        <w:id w:val="993300106"/>
        <w:docPartObj>
          <w:docPartGallery w:val="Cover Pages"/>
          <w:docPartUnique/>
        </w:docPartObj>
      </w:sdtPr>
      <w:sdtEndPr>
        <w:rPr>
          <w:rFonts w:ascii="Times New Roman" w:eastAsiaTheme="minorHAnsi" w:hAnsi="Times New Roman" w:cs="Times New Roman"/>
          <w:b w:val="0"/>
          <w:bCs w:val="0"/>
          <w:color w:val="auto"/>
          <w:sz w:val="24"/>
          <w:szCs w:val="24"/>
          <w:lang w:val="en-US"/>
        </w:rPr>
      </w:sdtEndPr>
      <w:sdtContent>
        <w:p w14:paraId="54D0F3B2" w14:textId="77777777" w:rsidR="00E2659D" w:rsidRDefault="004F0757" w:rsidP="002A3B15">
          <w:pPr>
            <w:jc w:val="both"/>
          </w:pPr>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14:paraId="2D14A9BE" w14:textId="27201070" w:rsidR="00E2659D" w:rsidRPr="00A426D8" w:rsidRDefault="00000000" w:rsidP="00E2659D">
                                  <w:pPr>
                                    <w:pStyle w:val="NoSpacing"/>
                                    <w:spacing w:before="240"/>
                                    <w:jc w:val="center"/>
                                    <w:rPr>
                                      <w:rFonts w:ascii="Times New Roman" w:hAnsi="Times New Roman" w:cs="Times New Roman"/>
                                      <w:caps/>
                                      <w:color w:val="7030A0"/>
                                      <w:sz w:val="28"/>
                                      <w:szCs w:val="28"/>
                                    </w:rPr>
                                  </w:pPr>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905E0D">
                                        <w:rPr>
                                          <w:rFonts w:ascii="Times New Roman" w:hAnsi="Times New Roman"/>
                                          <w:b/>
                                          <w:color w:val="7030A0"/>
                                          <w:sz w:val="28"/>
                                          <w:szCs w:val="28"/>
                                          <w:lang w:val="en-GB"/>
                                        </w:rPr>
                                        <w:t>Assignment 1: Property Law</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left:0;text-align:left;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6CE82B74"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875D11">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14:paraId="2D14A9BE" w14:textId="27201070" w:rsidR="00E2659D" w:rsidRPr="00A426D8" w:rsidRDefault="00000000" w:rsidP="00E2659D">
                            <w:pPr>
                              <w:pStyle w:val="NoSpacing"/>
                              <w:spacing w:before="240"/>
                              <w:jc w:val="center"/>
                              <w:rPr>
                                <w:rFonts w:ascii="Times New Roman" w:hAnsi="Times New Roman" w:cs="Times New Roman"/>
                                <w:caps/>
                                <w:color w:val="7030A0"/>
                                <w:sz w:val="28"/>
                                <w:szCs w:val="28"/>
                              </w:rPr>
                            </w:pPr>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905E0D">
                                  <w:rPr>
                                    <w:rFonts w:ascii="Times New Roman" w:hAnsi="Times New Roman"/>
                                    <w:b/>
                                    <w:color w:val="7030A0"/>
                                    <w:sz w:val="28"/>
                                    <w:szCs w:val="28"/>
                                    <w:lang w:val="en-GB"/>
                                  </w:rPr>
                                  <w:t>Assignment 1: Property Law</w:t>
                                </w:r>
                              </w:sdtContent>
                            </w:sdt>
                          </w:p>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9BEC4A" w14:textId="77777777" w:rsidR="00245A3B" w:rsidRDefault="00357783" w:rsidP="00245A3B">
          <w:pPr>
            <w:spacing w:after="0" w:line="480" w:lineRule="auto"/>
            <w:contextualSpacing/>
            <w:jc w:val="both"/>
            <w:rPr>
              <w:rFonts w:ascii="Times New Roman" w:hAnsi="Times New Roman"/>
            </w:rPr>
          </w:pPr>
          <w:r w:rsidRPr="00357783">
            <w:rPr>
              <w:rFonts w:asciiTheme="minorHAnsi" w:hAnsiTheme="minorHAnsi" w:cstheme="minorBidi"/>
              <w:noProof/>
              <w:sz w:val="22"/>
              <w:szCs w:val="22"/>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6DFDE90F"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2A0FA0">
                                  <w:rPr>
                                    <w:rFonts w:ascii="Times New Roman" w:hAnsi="Times New Roman"/>
                                    <w:b/>
                                    <w:sz w:val="32"/>
                                    <w:szCs w:val="32"/>
                                  </w:rPr>
                                  <w:t>Sian Turvey</w:t>
                                </w:r>
                              </w:p>
                              <w:p w14:paraId="772E4951" w14:textId="2F14812B"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644A19">
                                  <w:rPr>
                                    <w:rFonts w:ascii="Times New Roman" w:hAnsi="Times New Roman"/>
                                    <w:b/>
                                    <w:sz w:val="32"/>
                                    <w:szCs w:val="32"/>
                                  </w:rPr>
                                  <w:t>Property Law</w:t>
                                </w:r>
                              </w:p>
                              <w:p w14:paraId="45BF99DE" w14:textId="3F0502FD"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6E77A7">
                                  <w:rPr>
                                    <w:rFonts w:ascii="Times New Roman" w:hAnsi="Times New Roman"/>
                                    <w:b/>
                                    <w:sz w:val="32"/>
                                    <w:szCs w:val="32"/>
                                  </w:rPr>
                                  <w:t>6006</w:t>
                                </w:r>
                              </w:p>
                              <w:p w14:paraId="627EB3C9" w14:textId="5E6E73C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9711D3">
                                  <w:rPr>
                                    <w:rFonts w:ascii="Times New Roman" w:hAnsi="Times New Roman"/>
                                    <w:b/>
                                    <w:sz w:val="32"/>
                                    <w:szCs w:val="32"/>
                                  </w:rPr>
                                  <w:t>11</w:t>
                                </w:r>
                                <w:r w:rsidR="009711D3" w:rsidRPr="009711D3">
                                  <w:rPr>
                                    <w:rFonts w:ascii="Times New Roman" w:hAnsi="Times New Roman"/>
                                    <w:b/>
                                    <w:sz w:val="32"/>
                                    <w:szCs w:val="32"/>
                                    <w:vertAlign w:val="superscript"/>
                                  </w:rPr>
                                  <w:t>th</w:t>
                                </w:r>
                                <w:r w:rsidR="009711D3">
                                  <w:rPr>
                                    <w:rFonts w:ascii="Times New Roman" w:hAnsi="Times New Roman"/>
                                    <w:b/>
                                    <w:sz w:val="32"/>
                                    <w:szCs w:val="32"/>
                                  </w:rPr>
                                  <w:t xml:space="preserve"> </w:t>
                                </w:r>
                                <w:r w:rsidR="006E77A7">
                                  <w:rPr>
                                    <w:rFonts w:ascii="Times New Roman" w:hAnsi="Times New Roman"/>
                                    <w:b/>
                                    <w:sz w:val="32"/>
                                    <w:szCs w:val="32"/>
                                  </w:rPr>
                                  <w:t xml:space="preserve">November </w:t>
                                </w:r>
                                <w:r w:rsidRPr="00357783">
                                  <w:rPr>
                                    <w:rFonts w:ascii="Times New Roman" w:hAnsi="Times New Roman"/>
                                    <w:b/>
                                    <w:sz w:val="32"/>
                                    <w:szCs w:val="32"/>
                                  </w:rPr>
                                  <w:t>202</w:t>
                                </w:r>
                                <w:r w:rsidR="00E42CF1">
                                  <w:rPr>
                                    <w:rFonts w:ascii="Times New Roman" w:hAnsi="Times New Roman"/>
                                    <w:b/>
                                    <w:sz w:val="32"/>
                                    <w:szCs w:val="3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left:0;text-align:left;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6DFDE90F"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2A0FA0">
                            <w:rPr>
                              <w:rFonts w:ascii="Times New Roman" w:hAnsi="Times New Roman"/>
                              <w:b/>
                              <w:sz w:val="32"/>
                              <w:szCs w:val="32"/>
                            </w:rPr>
                            <w:t>Sian Turvey</w:t>
                          </w:r>
                        </w:p>
                        <w:p w14:paraId="772E4951" w14:textId="2F14812B"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644A19">
                            <w:rPr>
                              <w:rFonts w:ascii="Times New Roman" w:hAnsi="Times New Roman"/>
                              <w:b/>
                              <w:sz w:val="32"/>
                              <w:szCs w:val="32"/>
                            </w:rPr>
                            <w:t>Property Law</w:t>
                          </w:r>
                        </w:p>
                        <w:p w14:paraId="45BF99DE" w14:textId="3F0502FD"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6E77A7">
                            <w:rPr>
                              <w:rFonts w:ascii="Times New Roman" w:hAnsi="Times New Roman"/>
                              <w:b/>
                              <w:sz w:val="32"/>
                              <w:szCs w:val="32"/>
                            </w:rPr>
                            <w:t>6006</w:t>
                          </w:r>
                        </w:p>
                        <w:p w14:paraId="627EB3C9" w14:textId="5E6E73C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9711D3">
                            <w:rPr>
                              <w:rFonts w:ascii="Times New Roman" w:hAnsi="Times New Roman"/>
                              <w:b/>
                              <w:sz w:val="32"/>
                              <w:szCs w:val="32"/>
                            </w:rPr>
                            <w:t>11</w:t>
                          </w:r>
                          <w:r w:rsidR="009711D3" w:rsidRPr="009711D3">
                            <w:rPr>
                              <w:rFonts w:ascii="Times New Roman" w:hAnsi="Times New Roman"/>
                              <w:b/>
                              <w:sz w:val="32"/>
                              <w:szCs w:val="32"/>
                              <w:vertAlign w:val="superscript"/>
                            </w:rPr>
                            <w:t>th</w:t>
                          </w:r>
                          <w:r w:rsidR="009711D3">
                            <w:rPr>
                              <w:rFonts w:ascii="Times New Roman" w:hAnsi="Times New Roman"/>
                              <w:b/>
                              <w:sz w:val="32"/>
                              <w:szCs w:val="32"/>
                            </w:rPr>
                            <w:t xml:space="preserve"> </w:t>
                          </w:r>
                          <w:r w:rsidR="006E77A7">
                            <w:rPr>
                              <w:rFonts w:ascii="Times New Roman" w:hAnsi="Times New Roman"/>
                              <w:b/>
                              <w:sz w:val="32"/>
                              <w:szCs w:val="32"/>
                            </w:rPr>
                            <w:t xml:space="preserve">November </w:t>
                          </w:r>
                          <w:r w:rsidRPr="00357783">
                            <w:rPr>
                              <w:rFonts w:ascii="Times New Roman" w:hAnsi="Times New Roman"/>
                              <w:b/>
                              <w:sz w:val="32"/>
                              <w:szCs w:val="32"/>
                            </w:rPr>
                            <w:t>202</w:t>
                          </w:r>
                          <w:r w:rsidR="00E42CF1">
                            <w:rPr>
                              <w:rFonts w:ascii="Times New Roman" w:hAnsi="Times New Roman"/>
                              <w:b/>
                              <w:sz w:val="32"/>
                              <w:szCs w:val="32"/>
                            </w:rPr>
                            <w:t>2</w:t>
                          </w:r>
                        </w:p>
                      </w:txbxContent>
                    </v:textbox>
                    <w10:wrap anchorx="margin"/>
                  </v:rect>
                </w:pict>
              </mc:Fallback>
            </mc:AlternateContent>
          </w:r>
          <w:r w:rsidR="00E2659D">
            <w:rPr>
              <w:rFonts w:ascii="Times New Roman" w:hAnsi="Times New Roman"/>
            </w:rPr>
            <w:br w:type="page"/>
          </w:r>
        </w:p>
      </w:sdtContent>
    </w:sdt>
    <w:p w14:paraId="72E82739" w14:textId="3EF2034B" w:rsidR="00245A3B" w:rsidRPr="008536A5" w:rsidRDefault="00245A3B" w:rsidP="00245A3B">
      <w:pPr>
        <w:spacing w:after="0" w:line="480" w:lineRule="auto"/>
        <w:contextualSpacing/>
        <w:jc w:val="both"/>
        <w:rPr>
          <w:rFonts w:ascii="Times New Roman" w:hAnsi="Times New Roman"/>
        </w:rPr>
      </w:pPr>
      <w:r w:rsidRPr="008536A5">
        <w:rPr>
          <w:rFonts w:ascii="Times New Roman" w:hAnsi="Times New Roman"/>
        </w:rPr>
        <w:lastRenderedPageBreak/>
        <w:t xml:space="preserve"> </w:t>
      </w:r>
      <w:r w:rsidRPr="008536A5">
        <w:rPr>
          <w:rFonts w:ascii="Times New Roman" w:hAnsi="Times New Roman"/>
        </w:rPr>
        <w:t xml:space="preserve">Land law is connected with the property rights acquired from the registration system, equity, and common law. The land ownership is decided by the contract of sale, where the buyer and seller indulge in the registry of the land. The Law of Property Act 1925 was developed in England and Wales to overlook the enactments specific to conveyancing and decide the equitable powers in cases of lease and land disposal. However, the land has various limitations, such as prohibited trespassing </w:t>
      </w:r>
      <w:r w:rsidRPr="008536A5">
        <w:rPr>
          <w:rFonts w:ascii="Times New Roman" w:hAnsi="Times New Roman"/>
          <w:i/>
          <w:iCs/>
        </w:rPr>
        <w:t>(Roche, 2018).</w:t>
      </w:r>
      <w:r w:rsidRPr="008536A5">
        <w:rPr>
          <w:rFonts w:ascii="Times New Roman" w:hAnsi="Times New Roman"/>
        </w:rPr>
        <w:t xml:space="preserve"> An easement is gained by prescription according to </w:t>
      </w:r>
      <w:r w:rsidR="006E67DD" w:rsidRPr="008536A5">
        <w:rPr>
          <w:rFonts w:ascii="Times New Roman" w:hAnsi="Times New Roman"/>
        </w:rPr>
        <w:t>Section</w:t>
      </w:r>
      <w:r w:rsidRPr="008536A5">
        <w:rPr>
          <w:rFonts w:ascii="Times New Roman" w:hAnsi="Times New Roman"/>
        </w:rPr>
        <w:t xml:space="preserve"> 15 of </w:t>
      </w:r>
      <w:r w:rsidR="00F56C96" w:rsidRPr="008536A5">
        <w:rPr>
          <w:rFonts w:ascii="Times New Roman" w:hAnsi="Times New Roman"/>
        </w:rPr>
        <w:t>the easement</w:t>
      </w:r>
      <w:r w:rsidRPr="008536A5">
        <w:rPr>
          <w:rFonts w:ascii="Times New Roman" w:hAnsi="Times New Roman"/>
        </w:rPr>
        <w:t xml:space="preserve"> act where the owner of land is subjected to exclusive use and are able to attain the natural advantages. Moreover, the easement is claimed by prescription adhering to the application and aligning with the exclusive rights of prescription without any pressure or secrecy. For example, in the case, </w:t>
      </w:r>
      <w:bookmarkStart w:id="0" w:name="_Hlk117589282"/>
      <w:r w:rsidRPr="008536A5">
        <w:rPr>
          <w:rFonts w:ascii="Times New Roman" w:hAnsi="Times New Roman"/>
          <w:i/>
        </w:rPr>
        <w:t xml:space="preserve">Anchor Brewhouse Developments v Berkley House (Docklands) Developments [1987], </w:t>
      </w:r>
      <w:bookmarkEnd w:id="0"/>
      <w:r w:rsidRPr="008536A5">
        <w:rPr>
          <w:rFonts w:ascii="Times New Roman" w:hAnsi="Times New Roman"/>
        </w:rPr>
        <w:t>the crane's jib was trespassing in the air directly upwards to the claimant's property due to which an injunction was initiated to reduce such activities in future. Furthermore, land law also includes easement, which is a right provided to the owner of land for acquiring advantages of the land by commencing activities of their choice or prohibiting certain activities. For example- the landowner possesses rights such as grazing animals, hunting, and catching fish.</w:t>
      </w:r>
    </w:p>
    <w:p w14:paraId="4F35A221" w14:textId="4443CF61" w:rsidR="00245A3B" w:rsidRPr="008536A5" w:rsidRDefault="00245A3B" w:rsidP="00245A3B">
      <w:pPr>
        <w:spacing w:after="0" w:line="480" w:lineRule="auto"/>
        <w:ind w:firstLine="720"/>
        <w:contextualSpacing/>
        <w:jc w:val="both"/>
        <w:rPr>
          <w:rFonts w:ascii="Times New Roman" w:hAnsi="Times New Roman"/>
        </w:rPr>
      </w:pPr>
      <w:r w:rsidRPr="008536A5">
        <w:rPr>
          <w:rFonts w:ascii="Times New Roman" w:hAnsi="Times New Roman"/>
        </w:rPr>
        <w:t xml:space="preserve">Moreover, easement is also referred to as exclusive rights acquired by the landowner to utilise another parcel of land to enhance their land's advantages. Furthermore, easement is considered as exclusive rights acquired by occupier to avail beneficial enjoyment of the land </w:t>
      </w:r>
      <w:r w:rsidRPr="008536A5">
        <w:rPr>
          <w:rFonts w:ascii="Times New Roman" w:hAnsi="Times New Roman"/>
          <w:i/>
          <w:iCs/>
        </w:rPr>
        <w:t>(McFarlane, Hopkins, and Nield, 2018)</w:t>
      </w:r>
      <w:r w:rsidRPr="008536A5">
        <w:rPr>
          <w:rFonts w:ascii="Times New Roman" w:hAnsi="Times New Roman"/>
        </w:rPr>
        <w:t xml:space="preserve">. The main features of </w:t>
      </w:r>
      <w:r w:rsidR="006E67DD" w:rsidRPr="008536A5">
        <w:rPr>
          <w:rFonts w:ascii="Times New Roman" w:hAnsi="Times New Roman"/>
        </w:rPr>
        <w:t>an easement</w:t>
      </w:r>
      <w:r w:rsidRPr="008536A5">
        <w:rPr>
          <w:rFonts w:ascii="Times New Roman" w:hAnsi="Times New Roman"/>
        </w:rPr>
        <w:t xml:space="preserve"> are beneficial enjoyment, implied circumstances, obligation of a dominant servient and compulsory existence of two parties. In this context, the assignment aims to analyse the process when an easement might have been generated by prescription by evaluating the key features, concepts, and laws associated with the easement. Along with this, the assignment also showcases several cases and discusses legal laws related to the easement.</w:t>
      </w:r>
    </w:p>
    <w:p w14:paraId="57999F88" w14:textId="72E3539D" w:rsidR="00245A3B" w:rsidRPr="008536A5" w:rsidRDefault="00245A3B" w:rsidP="00245A3B">
      <w:pPr>
        <w:spacing w:after="0" w:line="480" w:lineRule="auto"/>
        <w:ind w:firstLine="720"/>
        <w:contextualSpacing/>
        <w:jc w:val="both"/>
        <w:rPr>
          <w:rFonts w:ascii="Times New Roman" w:hAnsi="Times New Roman"/>
        </w:rPr>
      </w:pPr>
      <w:r w:rsidRPr="008536A5">
        <w:rPr>
          <w:rFonts w:ascii="Times New Roman" w:hAnsi="Times New Roman"/>
        </w:rPr>
        <w:t xml:space="preserve">The concept of easement is defined as the non-possessory </w:t>
      </w:r>
      <w:r w:rsidR="00F94E50" w:rsidRPr="008536A5">
        <w:rPr>
          <w:rFonts w:ascii="Times New Roman" w:hAnsi="Times New Roman"/>
        </w:rPr>
        <w:t>right</w:t>
      </w:r>
      <w:r w:rsidRPr="008536A5">
        <w:rPr>
          <w:rFonts w:ascii="Times New Roman" w:hAnsi="Times New Roman"/>
        </w:rPr>
        <w:t xml:space="preserve"> to enter and utilise the real property of others without actually owning it. In a positive context, easement means a person has the </w:t>
      </w:r>
      <w:r w:rsidRPr="008536A5">
        <w:rPr>
          <w:rFonts w:ascii="Times New Roman" w:hAnsi="Times New Roman"/>
        </w:rPr>
        <w:lastRenderedPageBreak/>
        <w:t xml:space="preserve">right to exercise activities on another's land, also known as the right of way. In contrast, the negative easement is considered the rights showcased by the rights holder to restrict the landowner from acting in a specific way on the land, known as the right of light. The easement rights are considered private, and two land parcels are always involved, also known as tenements. Moreover, the land which acquires immense benefits and pros of easement is considered a dominant tenement. However, the land which is prone to burden and on which the rights of the landowner are exercised is referred to as a servient tenement </w:t>
      </w:r>
      <w:r w:rsidRPr="008536A5">
        <w:rPr>
          <w:rFonts w:ascii="Times New Roman" w:hAnsi="Times New Roman"/>
          <w:i/>
          <w:iCs/>
        </w:rPr>
        <w:t>(Gray and Gray, 2013).</w:t>
      </w:r>
      <w:r w:rsidRPr="008536A5">
        <w:rPr>
          <w:rFonts w:ascii="Times New Roman" w:hAnsi="Times New Roman"/>
        </w:rPr>
        <w:t xml:space="preserve"> In several cases, the servient owner is restricted from any expenditures of the easement. However, situations such as easement are exerted for taking care of or developing a fence and obligation to ensure proper cleanliness and well-maintained. These are the two exceptions where the servient owner is subjected to bear the expenditure of easement. Furthermore, the concept of easement depicts that dominant and servient land should be owned by different people, so it is easy to provide easement rights</w:t>
      </w:r>
      <w:r w:rsidR="00F94E50" w:rsidRPr="008536A5">
        <w:rPr>
          <w:rFonts w:ascii="Times New Roman" w:hAnsi="Times New Roman"/>
        </w:rPr>
        <w:t>.</w:t>
      </w:r>
      <w:r w:rsidRPr="008536A5">
        <w:rPr>
          <w:rFonts w:ascii="Times New Roman" w:hAnsi="Times New Roman"/>
        </w:rPr>
        <w:t xml:space="preserve"> As examined in the case of </w:t>
      </w:r>
      <w:r w:rsidRPr="008536A5">
        <w:rPr>
          <w:rFonts w:ascii="Times New Roman" w:hAnsi="Times New Roman"/>
          <w:i/>
        </w:rPr>
        <w:t xml:space="preserve">Rance V Elvin </w:t>
      </w:r>
      <w:r w:rsidRPr="008536A5">
        <w:rPr>
          <w:rFonts w:ascii="Times New Roman" w:hAnsi="Times New Roman"/>
        </w:rPr>
        <w:t xml:space="preserve">(1985) the case was transferred to court where court promoted positive obligation. However, the servient owner </w:t>
      </w:r>
      <w:r w:rsidR="00F56C96" w:rsidRPr="008536A5">
        <w:rPr>
          <w:rFonts w:ascii="Times New Roman" w:hAnsi="Times New Roman"/>
        </w:rPr>
        <w:t>was so</w:t>
      </w:r>
      <w:r w:rsidRPr="008536A5">
        <w:rPr>
          <w:rFonts w:ascii="Times New Roman" w:hAnsi="Times New Roman"/>
        </w:rPr>
        <w:t xml:space="preserve"> obligated to that water reaches the private system.  </w:t>
      </w:r>
      <w:r w:rsidRPr="008536A5">
        <w:rPr>
          <w:rFonts w:ascii="Times New Roman" w:hAnsi="Times New Roman"/>
          <w:i/>
          <w:iCs/>
        </w:rPr>
        <w:t>(Waite, 1985).</w:t>
      </w:r>
    </w:p>
    <w:p w14:paraId="3B8A128D" w14:textId="3FD0A0D3" w:rsidR="00245A3B" w:rsidRPr="008536A5" w:rsidRDefault="00245A3B" w:rsidP="00245A3B">
      <w:pPr>
        <w:spacing w:after="0" w:line="480" w:lineRule="auto"/>
        <w:contextualSpacing/>
        <w:jc w:val="both"/>
        <w:rPr>
          <w:rFonts w:ascii="Times New Roman" w:hAnsi="Times New Roman"/>
        </w:rPr>
      </w:pPr>
      <w:r w:rsidRPr="008536A5">
        <w:rPr>
          <w:rFonts w:ascii="Times New Roman" w:hAnsi="Times New Roman"/>
        </w:rPr>
        <w:tab/>
        <w:t xml:space="preserve">The easement can be easily made legal if it aligns with the demand of 1(2)(a) of the Law of Property Act 1925, which depicts that the pre-determined </w:t>
      </w:r>
      <w:r w:rsidR="00BA5EB1" w:rsidRPr="008536A5">
        <w:rPr>
          <w:rFonts w:ascii="Times New Roman" w:hAnsi="Times New Roman"/>
        </w:rPr>
        <w:t>privileges</w:t>
      </w:r>
      <w:r w:rsidRPr="008536A5">
        <w:rPr>
          <w:rFonts w:ascii="Times New Roman" w:hAnsi="Times New Roman"/>
        </w:rPr>
        <w:t xml:space="preserve"> are equal or fixed and unmodified for the ascertainable time duration. However, an easement constructed for uncertain and irregular duration has no potential to become legal as per section S1(3) Law of Property Act 1925. It is important to adhere to </w:t>
      </w:r>
      <w:r w:rsidR="00BA5EB1" w:rsidRPr="008536A5">
        <w:rPr>
          <w:rFonts w:ascii="Times New Roman" w:hAnsi="Times New Roman"/>
        </w:rPr>
        <w:t>the terms</w:t>
      </w:r>
      <w:r w:rsidRPr="008536A5">
        <w:rPr>
          <w:rFonts w:ascii="Times New Roman" w:hAnsi="Times New Roman"/>
        </w:rPr>
        <w:t xml:space="preserve"> and conditions of the Law of Property Act 1925 to ensure the legality of easement. Furthermore, new easements are often considered as becoming analogous to the already existing easements. For instance- the right to park corresponds to the easement right for storage </w:t>
      </w:r>
      <w:r w:rsidRPr="008536A5">
        <w:rPr>
          <w:rFonts w:ascii="Times New Roman" w:hAnsi="Times New Roman"/>
          <w:i/>
          <w:iCs/>
        </w:rPr>
        <w:t>(Romero, 2013).</w:t>
      </w:r>
    </w:p>
    <w:p w14:paraId="3AF68583" w14:textId="7F2F3A8E" w:rsidR="00245A3B" w:rsidRPr="008536A5" w:rsidRDefault="00245A3B" w:rsidP="00245A3B">
      <w:pPr>
        <w:spacing w:after="0" w:line="480" w:lineRule="auto"/>
        <w:contextualSpacing/>
        <w:jc w:val="both"/>
        <w:rPr>
          <w:rFonts w:ascii="Times New Roman" w:hAnsi="Times New Roman"/>
          <w:lang w:val="en-IN"/>
        </w:rPr>
      </w:pPr>
      <w:r w:rsidRPr="008536A5">
        <w:rPr>
          <w:rFonts w:ascii="Times New Roman" w:hAnsi="Times New Roman"/>
        </w:rPr>
        <w:tab/>
        <w:t xml:space="preserve">In addition, according to </w:t>
      </w:r>
      <w:bookmarkStart w:id="1" w:name="_Hlk117589488"/>
      <w:r w:rsidRPr="008536A5">
        <w:rPr>
          <w:rFonts w:ascii="Times New Roman" w:hAnsi="Times New Roman"/>
          <w:i/>
          <w:iCs/>
        </w:rPr>
        <w:t>Re-Ellenborough Park [1956] CH 131,</w:t>
      </w:r>
      <w:r w:rsidRPr="008536A5">
        <w:rPr>
          <w:rFonts w:ascii="Times New Roman" w:hAnsi="Times New Roman"/>
        </w:rPr>
        <w:t xml:space="preserve"> </w:t>
      </w:r>
      <w:bookmarkEnd w:id="1"/>
      <w:r w:rsidRPr="008536A5">
        <w:rPr>
          <w:rFonts w:ascii="Times New Roman" w:hAnsi="Times New Roman"/>
        </w:rPr>
        <w:t xml:space="preserve">the critical features of easement state that easement should compulsorily consist of a </w:t>
      </w:r>
      <w:r w:rsidRPr="008536A5">
        <w:rPr>
          <w:rFonts w:ascii="Times New Roman" w:hAnsi="Times New Roman"/>
          <w:lang w:val="en-IN"/>
        </w:rPr>
        <w:t xml:space="preserve">dominant and a servient tenement where the easement is accommodated and offered to the dominant tenement. The benefits and rights </w:t>
      </w:r>
      <w:r w:rsidRPr="008536A5">
        <w:rPr>
          <w:rFonts w:ascii="Times New Roman" w:hAnsi="Times New Roman"/>
          <w:lang w:val="en-IN"/>
        </w:rPr>
        <w:lastRenderedPageBreak/>
        <w:t xml:space="preserve">ensured in the easement should be enjoyed by the dominant tenement. Moreover, the claimed rights should have the potential to be presented in a written document. The easement only pertains to its value when linked to the dominant land. However, an easement cannot sustain in gross where only service tenement is known and has no signs of the dominant land. Future owners or buyers of the dominant land have the potential to acquire easement rights and benefits </w:t>
      </w:r>
      <w:r w:rsidRPr="008536A5">
        <w:rPr>
          <w:rFonts w:ascii="Times New Roman" w:hAnsi="Times New Roman"/>
          <w:i/>
          <w:iCs/>
          <w:lang w:val="en-IN"/>
        </w:rPr>
        <w:t>(</w:t>
      </w:r>
      <w:r w:rsidRPr="008536A5">
        <w:rPr>
          <w:rFonts w:ascii="Times New Roman" w:hAnsi="Times New Roman"/>
          <w:i/>
          <w:iCs/>
        </w:rPr>
        <w:t>Egan-Ronayne, 2017).</w:t>
      </w:r>
      <w:r w:rsidRPr="008536A5">
        <w:rPr>
          <w:rFonts w:ascii="Times New Roman" w:hAnsi="Times New Roman"/>
          <w:lang w:val="en-IN"/>
        </w:rPr>
        <w:t xml:space="preserve"> As per </w:t>
      </w:r>
      <w:bookmarkStart w:id="2" w:name="_Hlk117589560"/>
      <w:r w:rsidRPr="008536A5">
        <w:rPr>
          <w:rFonts w:ascii="Times New Roman" w:hAnsi="Times New Roman"/>
          <w:i/>
          <w:lang w:val="en-IN"/>
        </w:rPr>
        <w:t xml:space="preserve">Metropolitan Railway Co v Fowler (1893), </w:t>
      </w:r>
      <w:bookmarkEnd w:id="2"/>
      <w:r w:rsidRPr="008536A5">
        <w:rPr>
          <w:rFonts w:ascii="Times New Roman" w:hAnsi="Times New Roman"/>
          <w:lang w:val="en-IN"/>
        </w:rPr>
        <w:t xml:space="preserve">an easement can never happen on your land because it comes under the rights over the </w:t>
      </w:r>
      <w:r w:rsidR="00AD78D7" w:rsidRPr="008536A5">
        <w:rPr>
          <w:rFonts w:ascii="Times New Roman" w:hAnsi="Times New Roman"/>
          <w:lang w:val="en-IN"/>
        </w:rPr>
        <w:t>servant’s</w:t>
      </w:r>
      <w:r w:rsidRPr="008536A5">
        <w:rPr>
          <w:rFonts w:ascii="Times New Roman" w:hAnsi="Times New Roman"/>
          <w:lang w:val="en-IN"/>
        </w:rPr>
        <w:t xml:space="preserve"> land. However, a tenant can exert rights over the landlord's land. Moreover, the grantor and grantee involved in the easement should be competent, and the rights should also be entirely fulfilling </w:t>
      </w:r>
      <w:r w:rsidRPr="008536A5">
        <w:rPr>
          <w:rFonts w:ascii="Times New Roman" w:hAnsi="Times New Roman"/>
          <w:i/>
          <w:iCs/>
          <w:lang w:val="en-IN"/>
        </w:rPr>
        <w:t>(</w:t>
      </w:r>
      <w:r w:rsidRPr="008536A5">
        <w:rPr>
          <w:rFonts w:ascii="Times New Roman" w:hAnsi="Times New Roman"/>
          <w:i/>
          <w:iCs/>
        </w:rPr>
        <w:t>Kowallis, 2018).</w:t>
      </w:r>
    </w:p>
    <w:p w14:paraId="1E6CC7B6" w14:textId="77777777" w:rsidR="00245A3B" w:rsidRPr="008536A5" w:rsidRDefault="00245A3B" w:rsidP="00245A3B">
      <w:pPr>
        <w:spacing w:after="0" w:line="480" w:lineRule="auto"/>
        <w:ind w:firstLine="720"/>
        <w:contextualSpacing/>
        <w:jc w:val="both"/>
        <w:rPr>
          <w:rFonts w:ascii="Times New Roman" w:hAnsi="Times New Roman"/>
          <w:lang w:val="en-IN"/>
        </w:rPr>
      </w:pPr>
      <w:r w:rsidRPr="008536A5">
        <w:rPr>
          <w:rFonts w:ascii="Times New Roman" w:hAnsi="Times New Roman"/>
          <w:lang w:val="en-IN"/>
        </w:rPr>
        <w:t xml:space="preserve">Offering permission to easements for being generated in gross results in immense challenges and burdens that can lead to the unattractiveness of the land and make it incapable in front of the buyer. Confirming that there is an identifiable and known dominant tenement helps in ensuring higher certainty. In the case of profit, it can be exerted in gross as only servient tenement is needed for profit creation </w:t>
      </w:r>
      <w:r w:rsidRPr="008536A5">
        <w:rPr>
          <w:rFonts w:ascii="Times New Roman" w:hAnsi="Times New Roman"/>
          <w:i/>
          <w:iCs/>
          <w:lang w:val="en-IN"/>
        </w:rPr>
        <w:t>(</w:t>
      </w:r>
      <w:r w:rsidRPr="008536A5">
        <w:rPr>
          <w:rFonts w:ascii="Times New Roman" w:hAnsi="Times New Roman"/>
          <w:i/>
          <w:iCs/>
        </w:rPr>
        <w:t>Thompson and George, 2017).</w:t>
      </w:r>
    </w:p>
    <w:p w14:paraId="4E3651C8" w14:textId="77777777" w:rsidR="00245A3B" w:rsidRPr="008536A5" w:rsidRDefault="00245A3B" w:rsidP="00245A3B">
      <w:pPr>
        <w:shd w:val="clear" w:color="auto" w:fill="FFFFFF"/>
        <w:spacing w:after="0" w:line="480" w:lineRule="auto"/>
        <w:ind w:firstLine="720"/>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An easement could be obtained through an expressed grant registered by applying for a clause of granting such as a </w:t>
      </w:r>
      <w:r w:rsidRPr="008536A5">
        <w:rPr>
          <w:rFonts w:ascii="Times New Roman" w:eastAsia="Times New Roman" w:hAnsi="Times New Roman"/>
          <w:bCs/>
          <w:lang w:val="en-IN" w:eastAsia="en-GB"/>
        </w:rPr>
        <w:t xml:space="preserve">right in the deed of mortgage, sale, or any other form of transfer. However, </w:t>
      </w:r>
      <w:r w:rsidRPr="008536A5">
        <w:rPr>
          <w:rFonts w:ascii="Times New Roman" w:eastAsia="Times New Roman" w:hAnsi="Times New Roman"/>
          <w:lang w:val="en-IN" w:eastAsia="en-GB"/>
        </w:rPr>
        <w:t xml:space="preserve">in situations where it is unclear whether or not an easement does exist in the prescription, the </w:t>
      </w:r>
      <w:r w:rsidRPr="008536A5">
        <w:rPr>
          <w:rFonts w:ascii="Times New Roman" w:eastAsia="Times New Roman" w:hAnsi="Times New Roman"/>
          <w:i/>
          <w:iCs/>
          <w:lang w:val="en-IN" w:eastAsia="en-GB"/>
        </w:rPr>
        <w:t>Law of Property Act of 1925</w:t>
      </w:r>
      <w:r w:rsidRPr="008536A5">
        <w:rPr>
          <w:rFonts w:ascii="Times New Roman" w:eastAsia="Times New Roman" w:hAnsi="Times New Roman"/>
          <w:lang w:val="en-IN" w:eastAsia="en-GB"/>
        </w:rPr>
        <w:t xml:space="preserve"> was established with a tendency to lean in favour towards easement existence. It deals with the transferability or holding of any land by deed </w:t>
      </w:r>
      <w:r w:rsidRPr="008536A5">
        <w:rPr>
          <w:rFonts w:ascii="Times New Roman" w:eastAsia="Times New Roman" w:hAnsi="Times New Roman"/>
          <w:i/>
          <w:iCs/>
          <w:lang w:val="en-IN" w:eastAsia="en-GB"/>
        </w:rPr>
        <w:t>(</w:t>
      </w:r>
      <w:r w:rsidRPr="008536A5">
        <w:rPr>
          <w:rFonts w:ascii="Times New Roman" w:hAnsi="Times New Roman"/>
          <w:i/>
          <w:iCs/>
          <w:shd w:val="clear" w:color="auto" w:fill="FFFFFF"/>
          <w:lang w:val="en-IN"/>
        </w:rPr>
        <w:t>Roche, 2018</w:t>
      </w:r>
      <w:r w:rsidRPr="008536A5">
        <w:rPr>
          <w:rFonts w:ascii="Times New Roman" w:eastAsia="Times New Roman" w:hAnsi="Times New Roman"/>
          <w:i/>
          <w:iCs/>
          <w:lang w:val="en-IN" w:eastAsia="en-GB"/>
        </w:rPr>
        <w:t>).</w:t>
      </w:r>
      <w:r w:rsidRPr="008536A5">
        <w:rPr>
          <w:rFonts w:ascii="Times New Roman" w:eastAsia="Times New Roman" w:hAnsi="Times New Roman"/>
          <w:lang w:val="en-IN" w:eastAsia="en-GB"/>
        </w:rPr>
        <w:t xml:space="preserve"> However, on 13 October 2003, this act was repelled by the Land Registration Act 2002 </w:t>
      </w:r>
      <w:r w:rsidRPr="008536A5">
        <w:rPr>
          <w:rFonts w:ascii="Times New Roman" w:eastAsia="Times New Roman" w:hAnsi="Times New Roman"/>
          <w:i/>
          <w:iCs/>
          <w:lang w:val="en-IN" w:eastAsia="en-GB"/>
        </w:rPr>
        <w:t>(LRA 2002).</w:t>
      </w:r>
      <w:r w:rsidRPr="008536A5">
        <w:rPr>
          <w:rFonts w:ascii="Times New Roman" w:eastAsia="Times New Roman" w:hAnsi="Times New Roman"/>
          <w:lang w:val="en-IN" w:eastAsia="en-GB"/>
        </w:rPr>
        <w:t xml:space="preserve"> Following that, the LRA 2002 was made into a single act that deals with the enactments under the prescription of conveyancing and the Law of Property in the UK </w:t>
      </w:r>
      <w:r w:rsidRPr="008536A5">
        <w:rPr>
          <w:rFonts w:ascii="Times New Roman" w:eastAsia="Times New Roman" w:hAnsi="Times New Roman"/>
          <w:i/>
          <w:iCs/>
          <w:lang w:val="en-IN" w:eastAsia="en-GB"/>
        </w:rPr>
        <w:t>(OGL, 2021).</w:t>
      </w:r>
      <w:r w:rsidRPr="008536A5">
        <w:rPr>
          <w:rFonts w:ascii="Times New Roman" w:eastAsia="Times New Roman" w:hAnsi="Times New Roman"/>
          <w:lang w:val="en-IN" w:eastAsia="en-GB"/>
        </w:rPr>
        <w:t xml:space="preserve"> </w:t>
      </w:r>
    </w:p>
    <w:p w14:paraId="14EC3622" w14:textId="77777777" w:rsidR="00245A3B" w:rsidRPr="008536A5" w:rsidRDefault="00245A3B" w:rsidP="00245A3B">
      <w:pPr>
        <w:shd w:val="clear" w:color="auto" w:fill="FFFFFF"/>
        <w:spacing w:after="0" w:line="480" w:lineRule="auto"/>
        <w:ind w:firstLine="720"/>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On the other hand, it has also been asserted that the legislation of the UK also determines the extent to which the interest of both parties would go as well as how that interest could be dealt with under the Trusts of Land and Appointment of Trustees Act 1996 </w:t>
      </w:r>
      <w:r w:rsidRPr="008536A5">
        <w:rPr>
          <w:rFonts w:ascii="Times New Roman" w:eastAsia="Times New Roman" w:hAnsi="Times New Roman"/>
          <w:i/>
          <w:iCs/>
          <w:lang w:val="en-IN" w:eastAsia="en-GB"/>
        </w:rPr>
        <w:t xml:space="preserve">(TOLATA 1996). </w:t>
      </w:r>
      <w:r w:rsidRPr="008536A5">
        <w:rPr>
          <w:rFonts w:ascii="Times New Roman" w:eastAsia="Times New Roman" w:hAnsi="Times New Roman"/>
          <w:lang w:val="en-IN" w:eastAsia="en-GB"/>
        </w:rPr>
        <w:t xml:space="preserve">It allows the owner </w:t>
      </w:r>
      <w:r w:rsidRPr="008536A5">
        <w:rPr>
          <w:rFonts w:ascii="Times New Roman" w:eastAsia="Times New Roman" w:hAnsi="Times New Roman"/>
          <w:lang w:val="en-IN" w:eastAsia="en-GB"/>
        </w:rPr>
        <w:lastRenderedPageBreak/>
        <w:t xml:space="preserve">to sell his property under easement. Not only this, but it also offers many benefits to the owner of the property who owns the prescription of easement. Under section 12 of this act, beneficiaries are also allowed to occupy the property </w:t>
      </w:r>
      <w:r w:rsidRPr="008536A5">
        <w:rPr>
          <w:rFonts w:ascii="Times New Roman" w:eastAsia="Times New Roman" w:hAnsi="Times New Roman"/>
          <w:i/>
          <w:iCs/>
          <w:lang w:val="en-IN" w:eastAsia="en-GB"/>
        </w:rPr>
        <w:t>(Dickinson, 2020).</w:t>
      </w:r>
      <w:r w:rsidRPr="008536A5">
        <w:rPr>
          <w:rFonts w:ascii="Times New Roman" w:eastAsia="Times New Roman" w:hAnsi="Times New Roman"/>
          <w:lang w:val="en-IN" w:eastAsia="en-GB"/>
        </w:rPr>
        <w:t xml:space="preserve"> </w:t>
      </w:r>
    </w:p>
    <w:p w14:paraId="44E56CF9" w14:textId="77777777" w:rsidR="00245A3B" w:rsidRPr="008536A5" w:rsidRDefault="00245A3B" w:rsidP="00245A3B">
      <w:pPr>
        <w:shd w:val="clear" w:color="auto" w:fill="FFFFFF"/>
        <w:spacing w:after="0" w:line="480" w:lineRule="auto"/>
        <w:ind w:firstLine="720"/>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Later on, the legalisation of the UK established the Law of Property (Miscellaneous Provisions) Act 1989 as an act for implementing new providing with regard to the existing deeds and their execution. Also, it deals with the contractual agreement during the sale or even other disposition of interests in land under easement. This act has been introduced with several additional distinct norms in which the rules common for governing the form and delivery of a deed were abolished. Moreover, new rules have been established that state that a contract for selling or disposing interest in land under easement must be written </w:t>
      </w:r>
      <w:r w:rsidRPr="008536A5">
        <w:rPr>
          <w:rFonts w:ascii="Times New Roman" w:eastAsia="Times New Roman" w:hAnsi="Times New Roman"/>
          <w:i/>
          <w:iCs/>
          <w:lang w:val="en-IN" w:eastAsia="en-GB"/>
        </w:rPr>
        <w:t>(Legislation UK, 2022</w:t>
      </w:r>
      <w:r w:rsidRPr="008536A5">
        <w:rPr>
          <w:rFonts w:ascii="Times New Roman" w:eastAsia="Times New Roman" w:hAnsi="Times New Roman"/>
          <w:i/>
          <w:iCs/>
          <w:vertAlign w:val="subscript"/>
          <w:lang w:val="en-IN" w:eastAsia="en-GB"/>
        </w:rPr>
        <w:t>1</w:t>
      </w:r>
      <w:r w:rsidRPr="008536A5">
        <w:rPr>
          <w:rFonts w:ascii="Times New Roman" w:eastAsia="Times New Roman" w:hAnsi="Times New Roman"/>
          <w:i/>
          <w:iCs/>
          <w:lang w:val="en-IN" w:eastAsia="en-GB"/>
        </w:rPr>
        <w:t>).</w:t>
      </w:r>
      <w:r w:rsidRPr="008536A5">
        <w:rPr>
          <w:rFonts w:ascii="Times New Roman" w:eastAsia="Times New Roman" w:hAnsi="Times New Roman"/>
          <w:lang w:val="en-IN" w:eastAsia="en-GB"/>
        </w:rPr>
        <w:t xml:space="preserve"> </w:t>
      </w:r>
    </w:p>
    <w:p w14:paraId="30927642" w14:textId="77777777" w:rsidR="00245A3B" w:rsidRPr="008536A5" w:rsidRDefault="00245A3B" w:rsidP="00245A3B">
      <w:pPr>
        <w:shd w:val="clear" w:color="auto" w:fill="FFFFFF"/>
        <w:spacing w:after="0" w:line="480" w:lineRule="auto"/>
        <w:ind w:firstLine="709"/>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Even though there were already a significant number of laws and acts concerning easements, the legislation of easement needs more effectiveness. So, in order to enhance effectiveness of legislation regarding the easement, the UK Act of Parliament passed The Land Charges Act in 1972, which entails updating the system for registering charges on unregistered land in England and Wales. The Land Charges Act of 1925 as well as some other laws that were affecting real property rights from owner’s perspective were modified in order reflect effectiveness of this act in easement </w:t>
      </w:r>
      <w:r w:rsidRPr="008536A5">
        <w:rPr>
          <w:rFonts w:ascii="Times New Roman" w:eastAsia="Times New Roman" w:hAnsi="Times New Roman"/>
          <w:i/>
          <w:iCs/>
          <w:lang w:val="en-IN" w:eastAsia="en-GB"/>
        </w:rPr>
        <w:t>(Legislation UK, 2022</w:t>
      </w:r>
      <w:r w:rsidRPr="008536A5">
        <w:rPr>
          <w:rFonts w:ascii="Times New Roman" w:eastAsia="Times New Roman" w:hAnsi="Times New Roman"/>
          <w:i/>
          <w:iCs/>
          <w:vertAlign w:val="subscript"/>
          <w:lang w:val="en-IN" w:eastAsia="en-GB"/>
        </w:rPr>
        <w:t>2</w:t>
      </w:r>
      <w:r w:rsidRPr="008536A5">
        <w:rPr>
          <w:rFonts w:ascii="Times New Roman" w:eastAsia="Times New Roman" w:hAnsi="Times New Roman"/>
          <w:i/>
          <w:iCs/>
          <w:lang w:val="en-IN" w:eastAsia="en-GB"/>
        </w:rPr>
        <w:t>).</w:t>
      </w:r>
    </w:p>
    <w:p w14:paraId="7DCF87BB" w14:textId="77777777" w:rsidR="00245A3B" w:rsidRPr="008536A5" w:rsidRDefault="00245A3B" w:rsidP="00245A3B">
      <w:pPr>
        <w:shd w:val="clear" w:color="auto" w:fill="FFFFFF"/>
        <w:spacing w:after="0" w:line="480" w:lineRule="auto"/>
        <w:ind w:firstLine="709"/>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Besides that, the legislation also established the Prescription Act of 1832. It states that if land under easement has been used by a non-owner openly for an adequate period without even granting permission from its owner, then a grant has to be made for easement so that the non-owner would be continued to use the land without seeking the owner’s permission. As per this act, the minimum period for land to be used without an owner's permission is twenty years </w:t>
      </w:r>
      <w:r w:rsidRPr="008536A5">
        <w:rPr>
          <w:rFonts w:ascii="Times New Roman" w:eastAsia="Times New Roman" w:hAnsi="Times New Roman"/>
          <w:i/>
          <w:iCs/>
          <w:lang w:val="en-IN" w:eastAsia="en-GB"/>
        </w:rPr>
        <w:t>(LexisNexis, 2022).</w:t>
      </w:r>
    </w:p>
    <w:p w14:paraId="1D971542" w14:textId="6ADD7FD2" w:rsidR="00245A3B" w:rsidRPr="008536A5" w:rsidRDefault="00245A3B" w:rsidP="00245A3B">
      <w:pPr>
        <w:shd w:val="clear" w:color="auto" w:fill="FFFFFF"/>
        <w:spacing w:after="0" w:line="480" w:lineRule="auto"/>
        <w:ind w:firstLine="720"/>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When establishing an easement by prescription, it is common to consider taking time immemorial. Time immemorial is typically defined as a period of unending tradition or history. In other words, a time immemorial is a time period which is extended beyond the reach of records, </w:t>
      </w:r>
      <w:r w:rsidRPr="008536A5">
        <w:rPr>
          <w:rFonts w:ascii="Times New Roman" w:eastAsia="Times New Roman" w:hAnsi="Times New Roman"/>
          <w:lang w:val="en-IN" w:eastAsia="en-GB"/>
        </w:rPr>
        <w:lastRenderedPageBreak/>
        <w:t xml:space="preserve">tradition or memory as it is indefinitely ancient. Meanwhile in legal terms, time immemorial defines any date or year that does not have any legal evidence or </w:t>
      </w:r>
      <w:r w:rsidR="00BA5EB1" w:rsidRPr="008536A5">
        <w:rPr>
          <w:rFonts w:ascii="Times New Roman" w:eastAsia="Times New Roman" w:hAnsi="Times New Roman"/>
          <w:lang w:val="en-IN" w:eastAsia="en-GB"/>
        </w:rPr>
        <w:t>through</w:t>
      </w:r>
      <w:r w:rsidRPr="008536A5">
        <w:rPr>
          <w:rFonts w:ascii="Times New Roman" w:eastAsia="Times New Roman" w:hAnsi="Times New Roman"/>
          <w:lang w:val="en-IN" w:eastAsia="en-GB"/>
        </w:rPr>
        <w:t xml:space="preserve"> which legal memory could not go. </w:t>
      </w:r>
    </w:p>
    <w:p w14:paraId="4817566C" w14:textId="77777777" w:rsidR="00245A3B" w:rsidRPr="008536A5" w:rsidRDefault="00245A3B" w:rsidP="00245A3B">
      <w:pPr>
        <w:shd w:val="clear" w:color="auto" w:fill="FFFFFF"/>
        <w:spacing w:after="0" w:line="480" w:lineRule="auto"/>
        <w:ind w:firstLine="720"/>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In addition, a law prescription is founded on a principle that can be traced back to Time Immemorial. Where it has been stated that a right has been enjoyed since time immemorial, it is presumed to have a lawful basis; the statute defines "since time immemorial" as beginning in 1189. Under common law, the applicant is responsible for proving that the property has been used "since the beginning of time." The Statute of Westminster 1275 established 1189 as the current year in its ruling. It should not be surprising that such a claim is straightforward to invalidate.</w:t>
      </w:r>
    </w:p>
    <w:p w14:paraId="425B5815" w14:textId="77777777" w:rsidR="00245A3B" w:rsidRPr="008536A5" w:rsidRDefault="00245A3B" w:rsidP="00245A3B">
      <w:pPr>
        <w:shd w:val="clear" w:color="auto" w:fill="FFFFFF"/>
        <w:spacing w:after="0" w:line="480" w:lineRule="auto"/>
        <w:ind w:firstLine="720"/>
        <w:contextualSpacing/>
        <w:jc w:val="both"/>
        <w:rPr>
          <w:rFonts w:ascii="Times New Roman" w:eastAsia="Times New Roman" w:hAnsi="Times New Roman"/>
          <w:lang w:val="en-IN" w:eastAsia="en-GB"/>
        </w:rPr>
      </w:pPr>
      <w:r w:rsidRPr="008536A5">
        <w:rPr>
          <w:rFonts w:ascii="Times New Roman" w:eastAsia="Times New Roman" w:hAnsi="Times New Roman"/>
          <w:lang w:val="en-IN" w:eastAsia="en-GB"/>
        </w:rPr>
        <w:t xml:space="preserve">The creation of easement hence practices an existing rule of law which states that if used as of right for 20 years can be shown, then it is presumed that this has been the case since 1189. Despite this, if it has been shown that the enjoyment of the right commenced in 1189 or that it could not have existed at that date, then a prescription for easement would be disapproved </w:t>
      </w:r>
      <w:r w:rsidRPr="008536A5">
        <w:rPr>
          <w:rFonts w:ascii="Times New Roman" w:eastAsia="Times New Roman" w:hAnsi="Times New Roman"/>
          <w:i/>
          <w:iCs/>
          <w:lang w:val="en-IN" w:eastAsia="en-GB"/>
        </w:rPr>
        <w:t>(Law Commission, 2011).</w:t>
      </w:r>
      <w:r w:rsidRPr="008536A5">
        <w:rPr>
          <w:rFonts w:ascii="Times New Roman" w:eastAsia="Times New Roman" w:hAnsi="Times New Roman"/>
          <w:lang w:val="en-IN" w:eastAsia="en-GB"/>
        </w:rPr>
        <w:t xml:space="preserve"> For instance, in the case of </w:t>
      </w:r>
      <w:bookmarkStart w:id="3" w:name="_Hlk117589990"/>
      <w:r w:rsidRPr="008536A5">
        <w:rPr>
          <w:rFonts w:ascii="Times New Roman" w:eastAsia="Times New Roman" w:hAnsi="Times New Roman"/>
          <w:i/>
          <w:lang w:val="en-IN" w:eastAsia="en-GB"/>
        </w:rPr>
        <w:t>Hollins v Verney [7],</w:t>
      </w:r>
      <w:r w:rsidRPr="008536A5">
        <w:rPr>
          <w:rFonts w:ascii="Times New Roman" w:eastAsia="Times New Roman" w:hAnsi="Times New Roman"/>
          <w:lang w:val="en-IN" w:eastAsia="en-GB"/>
        </w:rPr>
        <w:t xml:space="preserve"> </w:t>
      </w:r>
      <w:bookmarkEnd w:id="3"/>
      <w:r w:rsidRPr="008536A5">
        <w:rPr>
          <w:rFonts w:ascii="Times New Roman" w:eastAsia="Times New Roman" w:hAnsi="Times New Roman"/>
          <w:lang w:val="en-IN" w:eastAsia="en-GB"/>
        </w:rPr>
        <w:t>the court in the UK had rejected the claim that had been charged for a prescriptive easement only in consideration of the fact that the right had only been exercised on three occasions and each of them is separated by a period of 12 years. It also implies that a continuous user for the past 20 years or even longer could raise a presumption of the user since time immemorial which is the year 1189</w:t>
      </w:r>
      <w:r w:rsidRPr="008536A5">
        <w:rPr>
          <w:rFonts w:ascii="Times New Roman" w:eastAsia="Times New Roman" w:hAnsi="Times New Roman"/>
          <w:i/>
          <w:iCs/>
          <w:lang w:val="en-IN" w:eastAsia="en-GB"/>
        </w:rPr>
        <w:t xml:space="preserve"> (Davis, 2000).</w:t>
      </w:r>
    </w:p>
    <w:p w14:paraId="454EF838" w14:textId="77777777" w:rsidR="00245A3B" w:rsidRPr="008536A5" w:rsidRDefault="00245A3B" w:rsidP="00245A3B">
      <w:pPr>
        <w:spacing w:after="0" w:line="480" w:lineRule="auto"/>
        <w:ind w:firstLine="720"/>
        <w:contextualSpacing/>
        <w:jc w:val="both"/>
        <w:rPr>
          <w:rFonts w:ascii="Times New Roman" w:hAnsi="Times New Roman"/>
          <w:lang w:val="en-GB"/>
        </w:rPr>
      </w:pPr>
      <w:r w:rsidRPr="008536A5">
        <w:rPr>
          <w:rFonts w:ascii="Times New Roman" w:hAnsi="Times New Roman"/>
          <w:lang w:val="en-IN"/>
        </w:rPr>
        <w:t xml:space="preserve">The doctrine of the Lost Modern Grant mainly depicts the continuous and prolonged use or possession of land with a legal presumption that the right associated with the use of land or property is already conveyed to the individuals using it. In contrast, the physical instrument associated with conveyance was lost. Judges developed it to overcome the ease associated with the common claim. It mainly focuses on preventing a claim that can be overpowered through easement proof. Further, the court also does not agree towards the preservation of lost grants in case of the survivor donor is a disabled individual. The doctrine presents that an individual continuously using for more than 20 years with their free will, permission or stealth is considered a formal grant of easement and is not </w:t>
      </w:r>
      <w:r w:rsidRPr="008536A5">
        <w:rPr>
          <w:rFonts w:ascii="Times New Roman" w:hAnsi="Times New Roman"/>
          <w:lang w:val="en-IN"/>
        </w:rPr>
        <w:lastRenderedPageBreak/>
        <w:t xml:space="preserve">rebuttable. The court mainly introduced it with the aim of combatting the issue of making claims regarding common law prescriptions </w:t>
      </w:r>
      <w:r w:rsidRPr="008536A5">
        <w:rPr>
          <w:rFonts w:ascii="Times New Roman" w:hAnsi="Times New Roman"/>
          <w:i/>
          <w:iCs/>
          <w:lang w:val="en-IN"/>
        </w:rPr>
        <w:t>(French, 2016).</w:t>
      </w:r>
      <w:r w:rsidRPr="008536A5">
        <w:rPr>
          <w:rFonts w:ascii="Times New Roman" w:hAnsi="Times New Roman"/>
          <w:lang w:val="en-IN"/>
        </w:rPr>
        <w:t xml:space="preserve"> In this regard, the case of </w:t>
      </w:r>
      <w:r w:rsidRPr="008536A5">
        <w:rPr>
          <w:rFonts w:ascii="Times New Roman" w:hAnsi="Times New Roman"/>
          <w:i/>
          <w:iCs/>
          <w:lang w:val="en-GB"/>
        </w:rPr>
        <w:t>Dalton v Angus (1881),</w:t>
      </w:r>
      <w:r w:rsidRPr="008536A5">
        <w:rPr>
          <w:rFonts w:ascii="Times New Roman" w:hAnsi="Times New Roman"/>
          <w:lang w:val="en-GB"/>
        </w:rPr>
        <w:t xml:space="preserve"> where both the parties to the case adjoined their houses independently; however, lateral support was rested, and the use of arrangement was above 20 years. The court held that the lateral support right could be taken due to using land for more than 20 years uninterruptedly, and the right does not dissolve on making changes to the building. Thus, the plaintiff had the right to support and get paid for the damages by virtue of using the ease of enjoyment for more than 20 years </w:t>
      </w:r>
      <w:r w:rsidRPr="008536A5">
        <w:rPr>
          <w:rFonts w:ascii="Times New Roman" w:hAnsi="Times New Roman"/>
          <w:i/>
          <w:iCs/>
          <w:lang w:val="en-GB"/>
        </w:rPr>
        <w:t>(</w:t>
      </w:r>
      <w:proofErr w:type="spellStart"/>
      <w:r w:rsidRPr="008536A5">
        <w:rPr>
          <w:rFonts w:ascii="Times New Roman" w:hAnsi="Times New Roman"/>
          <w:i/>
          <w:iCs/>
          <w:lang w:val="en-GB"/>
        </w:rPr>
        <w:t>Mee</w:t>
      </w:r>
      <w:proofErr w:type="spellEnd"/>
      <w:r w:rsidRPr="008536A5">
        <w:rPr>
          <w:rFonts w:ascii="Times New Roman" w:hAnsi="Times New Roman"/>
          <w:i/>
          <w:iCs/>
          <w:lang w:val="en-GB"/>
        </w:rPr>
        <w:t>, 2015).</w:t>
      </w:r>
      <w:r w:rsidRPr="008536A5">
        <w:rPr>
          <w:rFonts w:ascii="Times New Roman" w:hAnsi="Times New Roman"/>
          <w:lang w:val="en-GB"/>
        </w:rPr>
        <w:t xml:space="preserve"> </w:t>
      </w:r>
    </w:p>
    <w:p w14:paraId="019546FA" w14:textId="77777777" w:rsidR="00245A3B" w:rsidRPr="008536A5" w:rsidRDefault="00245A3B" w:rsidP="00245A3B">
      <w:pPr>
        <w:spacing w:after="0" w:line="480" w:lineRule="auto"/>
        <w:ind w:firstLine="720"/>
        <w:contextualSpacing/>
        <w:jc w:val="both"/>
        <w:rPr>
          <w:rFonts w:ascii="Times New Roman" w:hAnsi="Times New Roman"/>
          <w:lang w:val="en-GB"/>
        </w:rPr>
      </w:pPr>
      <w:r w:rsidRPr="008536A5">
        <w:rPr>
          <w:rFonts w:ascii="Times New Roman" w:hAnsi="Times New Roman"/>
          <w:lang w:val="en-GB"/>
        </w:rPr>
        <w:t xml:space="preserve">The easement by prescription mainly comprises vital features, namely, openly enjoyed without restrictions, interruption, and continuous use for 20 years or more. Further, Section 17 of the Prescription Act 1832 also presented that easement by prescription cannot be acquired if the right results in the destruction of property, free passage associated with air or light on the ground, open space, and surface water. Further, section 71 of the Prescription Act 1832 also presented that rights regarding easement by prescription cannot be provided in case of damaging property </w:t>
      </w:r>
      <w:r w:rsidRPr="008536A5">
        <w:rPr>
          <w:rFonts w:ascii="Times New Roman" w:hAnsi="Times New Roman"/>
          <w:i/>
          <w:iCs/>
          <w:lang w:val="en-GB"/>
        </w:rPr>
        <w:t>(Bright, 2011).</w:t>
      </w:r>
      <w:r w:rsidRPr="008536A5">
        <w:rPr>
          <w:rFonts w:ascii="Times New Roman" w:hAnsi="Times New Roman"/>
          <w:lang w:val="en-GB"/>
        </w:rPr>
        <w:t xml:space="preserve"> In this regard, the case of </w:t>
      </w:r>
      <w:r w:rsidRPr="008536A5">
        <w:rPr>
          <w:rFonts w:ascii="Times New Roman" w:hAnsi="Times New Roman"/>
          <w:i/>
          <w:iCs/>
          <w:lang w:val="en-GB"/>
        </w:rPr>
        <w:t xml:space="preserve">Duke of Norfolk v Arbuthnot, </w:t>
      </w:r>
      <w:r w:rsidRPr="008536A5">
        <w:rPr>
          <w:rFonts w:ascii="Times New Roman" w:hAnsi="Times New Roman"/>
          <w:lang w:val="en-GB"/>
        </w:rPr>
        <w:t xml:space="preserve">where the wall was pulled down by the defendant and presented that he was the chancel of the church. However, the court held that he had no right to make changes on the property as proper justification was not provided regarding the pulling down of walls for the purpose of accessing light. Thus, section 71 is applicable, and no right is provided under common law for the destruction of property </w:t>
      </w:r>
      <w:r w:rsidRPr="008536A5">
        <w:rPr>
          <w:rFonts w:ascii="Times New Roman" w:hAnsi="Times New Roman"/>
          <w:i/>
          <w:iCs/>
          <w:lang w:val="en-GB"/>
        </w:rPr>
        <w:t>(</w:t>
      </w:r>
      <w:proofErr w:type="spellStart"/>
      <w:r w:rsidRPr="008536A5">
        <w:rPr>
          <w:rFonts w:ascii="Times New Roman" w:hAnsi="Times New Roman"/>
          <w:i/>
          <w:iCs/>
          <w:lang w:val="en-GB"/>
        </w:rPr>
        <w:t>Akkerman</w:t>
      </w:r>
      <w:proofErr w:type="spellEnd"/>
      <w:r w:rsidRPr="008536A5">
        <w:rPr>
          <w:rFonts w:ascii="Times New Roman" w:hAnsi="Times New Roman"/>
          <w:i/>
          <w:iCs/>
          <w:lang w:val="en-GB"/>
        </w:rPr>
        <w:t xml:space="preserve"> and </w:t>
      </w:r>
      <w:proofErr w:type="spellStart"/>
      <w:r w:rsidRPr="008536A5">
        <w:rPr>
          <w:rFonts w:ascii="Times New Roman" w:hAnsi="Times New Roman"/>
          <w:i/>
          <w:iCs/>
          <w:lang w:val="en-GB"/>
        </w:rPr>
        <w:t>Erp</w:t>
      </w:r>
      <w:proofErr w:type="spellEnd"/>
      <w:r w:rsidRPr="008536A5">
        <w:rPr>
          <w:rFonts w:ascii="Times New Roman" w:hAnsi="Times New Roman"/>
          <w:i/>
          <w:iCs/>
          <w:lang w:val="en-GB"/>
        </w:rPr>
        <w:t>, 2012).</w:t>
      </w:r>
    </w:p>
    <w:p w14:paraId="56D09500" w14:textId="77777777" w:rsidR="00245A3B" w:rsidRPr="008536A5" w:rsidRDefault="00245A3B" w:rsidP="00245A3B">
      <w:pPr>
        <w:spacing w:after="0" w:line="480" w:lineRule="auto"/>
        <w:ind w:firstLine="720"/>
        <w:contextualSpacing/>
        <w:jc w:val="both"/>
        <w:rPr>
          <w:rFonts w:ascii="Times New Roman" w:hAnsi="Times New Roman"/>
          <w:lang w:val="en-GB"/>
        </w:rPr>
      </w:pPr>
      <w:r w:rsidRPr="008536A5">
        <w:rPr>
          <w:rFonts w:ascii="Times New Roman" w:hAnsi="Times New Roman"/>
          <w:lang w:val="en-GB"/>
        </w:rPr>
        <w:t xml:space="preserve">Easement by prescription also faces issues regarding the continuity of use in the case of easement on the land. For example, the case of </w:t>
      </w:r>
      <w:bookmarkStart w:id="4" w:name="_Hlk117590664"/>
      <w:r w:rsidRPr="008536A5">
        <w:rPr>
          <w:rFonts w:ascii="Times New Roman" w:hAnsi="Times New Roman"/>
          <w:i/>
          <w:iCs/>
          <w:lang w:val="en-GB"/>
        </w:rPr>
        <w:t>Orme v Lyons (2012)</w:t>
      </w:r>
      <w:r w:rsidRPr="008536A5">
        <w:rPr>
          <w:rFonts w:ascii="Times New Roman" w:hAnsi="Times New Roman"/>
          <w:lang w:val="en-GB"/>
        </w:rPr>
        <w:t xml:space="preserve"> </w:t>
      </w:r>
      <w:bookmarkEnd w:id="4"/>
      <w:r w:rsidRPr="008536A5">
        <w:rPr>
          <w:rFonts w:ascii="Times New Roman" w:hAnsi="Times New Roman"/>
          <w:lang w:val="en-GB"/>
        </w:rPr>
        <w:t xml:space="preserve">presented that Lyons had claimed the benefit of having vehicular rights concerning the track on the Orme property. Orme disputed the claim as its frequency of use was not regular. However, the district adjudicator presented that the Lyons' had the right regarding the continuous drive irrespective of the use of the track on occasions and is used as an alternative in case of a block to the main entrance. Thus, it was analysed that the </w:t>
      </w:r>
      <w:r w:rsidRPr="008536A5">
        <w:rPr>
          <w:rFonts w:ascii="Times New Roman" w:hAnsi="Times New Roman"/>
          <w:lang w:val="en-GB"/>
        </w:rPr>
        <w:lastRenderedPageBreak/>
        <w:t xml:space="preserve">easement was based on prescription, and the doctrine of the lost modern grant is applicable to the case </w:t>
      </w:r>
      <w:r w:rsidRPr="008536A5">
        <w:rPr>
          <w:rFonts w:ascii="Times New Roman" w:hAnsi="Times New Roman"/>
          <w:i/>
          <w:iCs/>
          <w:lang w:val="en-GB"/>
        </w:rPr>
        <w:t>(George and Layard, 2019).</w:t>
      </w:r>
    </w:p>
    <w:p w14:paraId="1AF0F2FA" w14:textId="405EE994" w:rsidR="00245A3B" w:rsidRPr="008536A5" w:rsidRDefault="00245A3B" w:rsidP="00245A3B">
      <w:pPr>
        <w:spacing w:after="0" w:line="480" w:lineRule="auto"/>
        <w:contextualSpacing/>
        <w:jc w:val="both"/>
        <w:rPr>
          <w:rFonts w:ascii="Times New Roman" w:hAnsi="Times New Roman"/>
          <w:lang w:val="en-GB"/>
        </w:rPr>
      </w:pPr>
      <w:r w:rsidRPr="008536A5">
        <w:rPr>
          <w:rFonts w:ascii="Times New Roman" w:hAnsi="Times New Roman"/>
          <w:lang w:val="en-GB"/>
        </w:rPr>
        <w:t xml:space="preserve">On the other hand, the case of </w:t>
      </w:r>
      <w:bookmarkStart w:id="5" w:name="_Hlk117590121"/>
      <w:r w:rsidRPr="008536A5">
        <w:rPr>
          <w:rFonts w:ascii="Times New Roman" w:hAnsi="Times New Roman"/>
          <w:i/>
          <w:iCs/>
          <w:lang w:val="en-GB"/>
        </w:rPr>
        <w:t>Gardner v Hodgson’s Kingston Brewery (1903</w:t>
      </w:r>
      <w:r w:rsidRPr="008536A5">
        <w:rPr>
          <w:rFonts w:ascii="Times New Roman" w:hAnsi="Times New Roman"/>
          <w:lang w:val="en-GB"/>
        </w:rPr>
        <w:t xml:space="preserve">) </w:t>
      </w:r>
      <w:bookmarkEnd w:id="5"/>
      <w:r w:rsidRPr="008536A5">
        <w:rPr>
          <w:rFonts w:ascii="Times New Roman" w:hAnsi="Times New Roman"/>
          <w:lang w:val="en-GB"/>
        </w:rPr>
        <w:t xml:space="preserve">is applied in case of dispute among the </w:t>
      </w:r>
      <w:r w:rsidR="00BA5EB1" w:rsidRPr="008536A5">
        <w:rPr>
          <w:rFonts w:ascii="Times New Roman" w:hAnsi="Times New Roman"/>
          <w:lang w:val="en-GB"/>
        </w:rPr>
        <w:t>party’s</w:t>
      </w:r>
      <w:r w:rsidRPr="008536A5">
        <w:rPr>
          <w:rFonts w:ascii="Times New Roman" w:hAnsi="Times New Roman"/>
          <w:lang w:val="en-GB"/>
        </w:rPr>
        <w:t xml:space="preserve"> concerning easement by prescription where the burden of proof regarding the easement right is upon the claiming party. The case highlighted that the burden of proof regarding using land or property without permission is with the claiming party. Further, the payment was received, which was held as a licence fee or rent; therefore, it cannot be considered under easement based on prescription. Thus, the claimant has the burden of proof regarding the right of easement and has rebuttable assumptions where the doctrine of a lost modern grant is applicable </w:t>
      </w:r>
      <w:r w:rsidRPr="008536A5">
        <w:rPr>
          <w:rFonts w:ascii="Times New Roman" w:hAnsi="Times New Roman"/>
          <w:i/>
          <w:iCs/>
          <w:lang w:val="en-GB"/>
        </w:rPr>
        <w:t>(Burn and Cartwright, 2011).</w:t>
      </w:r>
    </w:p>
    <w:p w14:paraId="28A614D3" w14:textId="77777777" w:rsidR="00245A3B" w:rsidRPr="008536A5" w:rsidRDefault="00245A3B" w:rsidP="00245A3B">
      <w:pPr>
        <w:spacing w:after="0" w:line="480" w:lineRule="auto"/>
        <w:ind w:firstLine="720"/>
        <w:contextualSpacing/>
        <w:jc w:val="both"/>
        <w:rPr>
          <w:rFonts w:ascii="Times New Roman" w:hAnsi="Times New Roman"/>
          <w:lang w:val="en-GB"/>
        </w:rPr>
      </w:pPr>
      <w:r w:rsidRPr="008536A5">
        <w:rPr>
          <w:rFonts w:ascii="Times New Roman" w:hAnsi="Times New Roman"/>
          <w:lang w:val="en-GB"/>
        </w:rPr>
        <w:t xml:space="preserve">Overall, it was reviewed that the Easement concept depicts the </w:t>
      </w:r>
      <w:r w:rsidRPr="008536A5">
        <w:rPr>
          <w:rFonts w:ascii="Times New Roman" w:hAnsi="Times New Roman"/>
          <w:shd w:val="clear" w:color="auto" w:fill="FFFFFF"/>
          <w:lang w:val="en-IN"/>
        </w:rPr>
        <w:t xml:space="preserve">non-possessory rights to enter and utilise the real property of others without actually owning it. </w:t>
      </w:r>
      <w:r w:rsidRPr="008536A5">
        <w:rPr>
          <w:rFonts w:ascii="Times New Roman" w:hAnsi="Times New Roman"/>
          <w:lang w:val="en-GB"/>
        </w:rPr>
        <w:t xml:space="preserve">It is considered a private right where two land parcels are involved. </w:t>
      </w:r>
      <w:r w:rsidRPr="008536A5">
        <w:rPr>
          <w:rFonts w:ascii="Times New Roman" w:hAnsi="Times New Roman"/>
          <w:shd w:val="clear" w:color="auto" w:fill="FFFFFF"/>
          <w:lang w:val="en-IN"/>
        </w:rPr>
        <w:t xml:space="preserve">The easement is legally enforceable when it fulfils the demands of 1(2)(a) of the </w:t>
      </w:r>
      <w:r w:rsidRPr="008536A5">
        <w:rPr>
          <w:rFonts w:ascii="Times New Roman" w:hAnsi="Times New Roman"/>
          <w:i/>
          <w:iCs/>
          <w:shd w:val="clear" w:color="auto" w:fill="FFFFFF"/>
          <w:lang w:val="en-IN"/>
        </w:rPr>
        <w:t>Law of Property Act 1925,</w:t>
      </w:r>
      <w:r w:rsidRPr="008536A5">
        <w:rPr>
          <w:rFonts w:ascii="Times New Roman" w:hAnsi="Times New Roman"/>
          <w:shd w:val="clear" w:color="auto" w:fill="FFFFFF"/>
          <w:lang w:val="en-IN"/>
        </w:rPr>
        <w:t xml:space="preserve"> which states that the privilege offered should be equivalent to either forever or for a fixed and unchangeable ascertainable duration</w:t>
      </w:r>
      <w:r w:rsidRPr="008536A5">
        <w:rPr>
          <w:rFonts w:ascii="Times New Roman" w:hAnsi="Times New Roman"/>
          <w:lang w:val="en-GB"/>
        </w:rPr>
        <w:t xml:space="preserve">. The doctrine of a lost modern grant highlighted that </w:t>
      </w:r>
      <w:r w:rsidRPr="008536A5">
        <w:rPr>
          <w:rFonts w:ascii="Times New Roman" w:hAnsi="Times New Roman"/>
          <w:lang w:val="en-IN"/>
        </w:rPr>
        <w:t xml:space="preserve">an individual continuously using for more than 20 years with their free will, permission or stealth is considered a formal grant of easement and is not rebuttable. In this regard, the court, in the case of </w:t>
      </w:r>
      <w:bookmarkStart w:id="6" w:name="_Hlk117590221"/>
      <w:r w:rsidRPr="008536A5">
        <w:rPr>
          <w:rFonts w:ascii="Times New Roman" w:hAnsi="Times New Roman"/>
          <w:i/>
          <w:iCs/>
          <w:lang w:val="en-GB"/>
        </w:rPr>
        <w:t>Dalton v Angus (1881),</w:t>
      </w:r>
      <w:r w:rsidRPr="008536A5">
        <w:rPr>
          <w:rFonts w:ascii="Times New Roman" w:hAnsi="Times New Roman"/>
          <w:lang w:val="en-GB"/>
        </w:rPr>
        <w:t xml:space="preserve"> </w:t>
      </w:r>
      <w:bookmarkEnd w:id="6"/>
      <w:r w:rsidRPr="008536A5">
        <w:rPr>
          <w:rFonts w:ascii="Times New Roman" w:hAnsi="Times New Roman"/>
          <w:lang w:val="en-GB"/>
        </w:rPr>
        <w:t xml:space="preserve">held that lateral support rights could be taken due to the use of land for more than 20 years. The right does not get dissolved on making changes to the building; therefore, it is liable to make payment for damages. Further, the </w:t>
      </w:r>
      <w:bookmarkStart w:id="7" w:name="_Hlk117590265"/>
      <w:r w:rsidRPr="008536A5">
        <w:rPr>
          <w:rFonts w:ascii="Times New Roman" w:hAnsi="Times New Roman"/>
          <w:i/>
          <w:iCs/>
          <w:lang w:val="en-GB"/>
        </w:rPr>
        <w:t>Duke of Norfolk v Arbuthnot</w:t>
      </w:r>
      <w:bookmarkEnd w:id="7"/>
      <w:r w:rsidRPr="008536A5">
        <w:rPr>
          <w:rFonts w:ascii="Times New Roman" w:hAnsi="Times New Roman"/>
          <w:i/>
          <w:iCs/>
          <w:lang w:val="en-GB"/>
        </w:rPr>
        <w:t xml:space="preserve"> (1880) </w:t>
      </w:r>
      <w:r w:rsidRPr="008536A5">
        <w:rPr>
          <w:rFonts w:ascii="Times New Roman" w:hAnsi="Times New Roman"/>
          <w:lang w:val="en-GB"/>
        </w:rPr>
        <w:t>case presented that no right in relation to easement on the basis of the prescription can be considered in case of damage to property or land.</w:t>
      </w:r>
      <w:bookmarkStart w:id="8" w:name="_Toc117176252"/>
    </w:p>
    <w:p w14:paraId="06799861" w14:textId="77777777" w:rsidR="00245A3B" w:rsidRPr="00614460" w:rsidRDefault="00245A3B" w:rsidP="00245A3B">
      <w:pPr>
        <w:spacing w:after="160" w:line="259" w:lineRule="auto"/>
        <w:rPr>
          <w:rFonts w:ascii="Times New Roman" w:hAnsi="Times New Roman"/>
          <w:lang w:val="en-GB"/>
        </w:rPr>
      </w:pPr>
      <w:r>
        <w:rPr>
          <w:rFonts w:ascii="Times New Roman" w:hAnsi="Times New Roman"/>
          <w:lang w:val="en-GB"/>
        </w:rPr>
        <w:br w:type="page"/>
      </w:r>
    </w:p>
    <w:p w14:paraId="01D77DC9" w14:textId="77777777" w:rsidR="00245A3B" w:rsidRPr="00644A19" w:rsidRDefault="00245A3B" w:rsidP="00245A3B">
      <w:pPr>
        <w:keepNext/>
        <w:keepLines/>
        <w:spacing w:after="0" w:line="480" w:lineRule="auto"/>
        <w:contextualSpacing/>
        <w:outlineLvl w:val="0"/>
        <w:rPr>
          <w:rFonts w:ascii="Times New Roman" w:eastAsiaTheme="majorEastAsia" w:hAnsi="Times New Roman"/>
          <w:b/>
          <w:lang w:val="en-IN"/>
        </w:rPr>
      </w:pPr>
      <w:r w:rsidRPr="00644A19">
        <w:rPr>
          <w:rFonts w:ascii="Times New Roman" w:eastAsiaTheme="majorEastAsia" w:hAnsi="Times New Roman"/>
          <w:b/>
          <w:lang w:val="en-IN"/>
        </w:rPr>
        <w:lastRenderedPageBreak/>
        <w:t>References</w:t>
      </w:r>
      <w:bookmarkEnd w:id="8"/>
    </w:p>
    <w:p w14:paraId="43013281" w14:textId="77777777" w:rsidR="00245A3B" w:rsidRPr="00644A19" w:rsidRDefault="00245A3B" w:rsidP="00245A3B">
      <w:pPr>
        <w:spacing w:after="0" w:line="480" w:lineRule="auto"/>
        <w:ind w:left="709" w:hanging="709"/>
        <w:contextualSpacing/>
        <w:jc w:val="both"/>
        <w:rPr>
          <w:rFonts w:ascii="Times New Roman" w:hAnsi="Times New Roman"/>
          <w:lang w:val="en-IN"/>
        </w:rPr>
      </w:pPr>
      <w:proofErr w:type="spellStart"/>
      <w:r w:rsidRPr="00644A19">
        <w:rPr>
          <w:rFonts w:ascii="Times New Roman" w:hAnsi="Times New Roman"/>
          <w:lang w:val="en-IN"/>
        </w:rPr>
        <w:t>Akkermans</w:t>
      </w:r>
      <w:proofErr w:type="spellEnd"/>
      <w:r w:rsidRPr="00644A19">
        <w:rPr>
          <w:rFonts w:ascii="Times New Roman" w:hAnsi="Times New Roman"/>
          <w:lang w:val="en-IN"/>
        </w:rPr>
        <w:t xml:space="preserve">, B. and </w:t>
      </w:r>
      <w:proofErr w:type="spellStart"/>
      <w:r w:rsidRPr="00644A19">
        <w:rPr>
          <w:rFonts w:ascii="Times New Roman" w:hAnsi="Times New Roman"/>
          <w:lang w:val="en-IN"/>
        </w:rPr>
        <w:t>Erp</w:t>
      </w:r>
      <w:proofErr w:type="spellEnd"/>
      <w:r w:rsidRPr="00644A19">
        <w:rPr>
          <w:rFonts w:ascii="Times New Roman" w:hAnsi="Times New Roman"/>
          <w:lang w:val="en-IN"/>
        </w:rPr>
        <w:t xml:space="preserve">, S.V. (2012) </w:t>
      </w:r>
      <w:r w:rsidRPr="00644A19">
        <w:rPr>
          <w:rFonts w:ascii="Times New Roman" w:hAnsi="Times New Roman"/>
          <w:i/>
          <w:iCs/>
          <w:lang w:val="en-IN"/>
        </w:rPr>
        <w:t>Cases, Materials and Text on Property Law.</w:t>
      </w:r>
      <w:r w:rsidRPr="00644A19">
        <w:rPr>
          <w:rFonts w:ascii="Times New Roman" w:hAnsi="Times New Roman"/>
          <w:lang w:val="en-IN"/>
        </w:rPr>
        <w:t> London: Bloomsbury Publishing.</w:t>
      </w:r>
    </w:p>
    <w:p w14:paraId="1FFB5855" w14:textId="77777777" w:rsidR="00245A3B" w:rsidRPr="00644A19" w:rsidRDefault="00245A3B" w:rsidP="00245A3B">
      <w:pPr>
        <w:spacing w:after="0" w:line="480" w:lineRule="auto"/>
        <w:ind w:left="709" w:hanging="709"/>
        <w:contextualSpacing/>
        <w:jc w:val="both"/>
        <w:rPr>
          <w:rFonts w:ascii="Times New Roman" w:hAnsi="Times New Roman"/>
          <w:lang w:val="en-IN"/>
        </w:rPr>
      </w:pPr>
      <w:r w:rsidRPr="00644A19">
        <w:rPr>
          <w:rFonts w:ascii="Times New Roman" w:hAnsi="Times New Roman"/>
          <w:lang w:val="en-IN"/>
        </w:rPr>
        <w:t xml:space="preserve">Bright, S. (2011) </w:t>
      </w:r>
      <w:r w:rsidRPr="00644A19">
        <w:rPr>
          <w:rFonts w:ascii="Times New Roman" w:hAnsi="Times New Roman"/>
          <w:i/>
          <w:iCs/>
          <w:lang w:val="en-IN"/>
        </w:rPr>
        <w:t>Modern Studies in Property Law - Volume 6</w:t>
      </w:r>
      <w:r w:rsidRPr="00644A19">
        <w:rPr>
          <w:rFonts w:ascii="Times New Roman" w:hAnsi="Times New Roman"/>
          <w:lang w:val="en-IN"/>
        </w:rPr>
        <w:t>. London: Bloomsbury Publishing.</w:t>
      </w:r>
    </w:p>
    <w:p w14:paraId="08787AB7" w14:textId="77777777" w:rsidR="00245A3B" w:rsidRPr="00644A19" w:rsidRDefault="00245A3B" w:rsidP="00245A3B">
      <w:pPr>
        <w:spacing w:after="0" w:line="480" w:lineRule="auto"/>
        <w:ind w:left="709" w:hanging="709"/>
        <w:contextualSpacing/>
        <w:jc w:val="both"/>
        <w:rPr>
          <w:rFonts w:ascii="Times New Roman" w:hAnsi="Times New Roman"/>
          <w:lang w:val="en-IN"/>
        </w:rPr>
      </w:pPr>
      <w:r w:rsidRPr="00644A19">
        <w:rPr>
          <w:rFonts w:ascii="Times New Roman" w:hAnsi="Times New Roman"/>
          <w:lang w:val="en-IN"/>
        </w:rPr>
        <w:t>Burn, E.H. and Cartwright, J. (2011) </w:t>
      </w:r>
      <w:r w:rsidRPr="00644A19">
        <w:rPr>
          <w:rFonts w:ascii="Times New Roman" w:hAnsi="Times New Roman"/>
          <w:i/>
          <w:iCs/>
          <w:lang w:val="en-IN"/>
        </w:rPr>
        <w:t>Cheshire and Burn's Modern Law of Real Property</w:t>
      </w:r>
      <w:r w:rsidRPr="00644A19">
        <w:rPr>
          <w:rFonts w:ascii="Times New Roman" w:hAnsi="Times New Roman"/>
          <w:lang w:val="en-IN"/>
        </w:rPr>
        <w:t>. London: Oxford University Press.</w:t>
      </w:r>
    </w:p>
    <w:p w14:paraId="11087D0C" w14:textId="77777777" w:rsidR="00245A3B" w:rsidRPr="00644A19" w:rsidRDefault="00245A3B" w:rsidP="00245A3B">
      <w:pPr>
        <w:shd w:val="clear" w:color="auto" w:fill="FFFFFF"/>
        <w:spacing w:after="0" w:line="480" w:lineRule="auto"/>
        <w:ind w:left="720" w:hanging="720"/>
        <w:contextualSpacing/>
        <w:jc w:val="both"/>
        <w:rPr>
          <w:rFonts w:ascii="Times New Roman" w:hAnsi="Times New Roman"/>
          <w:lang w:val="en-IN"/>
        </w:rPr>
      </w:pPr>
      <w:r w:rsidRPr="00644A19">
        <w:rPr>
          <w:rFonts w:ascii="Times New Roman" w:hAnsi="Times New Roman"/>
          <w:color w:val="222222"/>
          <w:shd w:val="clear" w:color="auto" w:fill="FFFFFF"/>
          <w:lang w:val="en-IN"/>
        </w:rPr>
        <w:t xml:space="preserve">Davis, C.J. (2000) </w:t>
      </w:r>
      <w:r>
        <w:rPr>
          <w:rFonts w:ascii="Times New Roman" w:hAnsi="Times New Roman"/>
          <w:color w:val="222222"/>
          <w:shd w:val="clear" w:color="auto" w:fill="FFFFFF"/>
          <w:lang w:val="en-IN"/>
        </w:rPr>
        <w:t>‘</w:t>
      </w:r>
      <w:r w:rsidRPr="00644A19">
        <w:rPr>
          <w:rFonts w:ascii="Times New Roman" w:hAnsi="Times New Roman"/>
          <w:color w:val="222222"/>
          <w:shd w:val="clear" w:color="auto" w:fill="FFFFFF"/>
          <w:lang w:val="en-IN"/>
        </w:rPr>
        <w:t>Informal acquisition and loss of rights in land: what justifies the doctrines?</w:t>
      </w:r>
      <w:r>
        <w:rPr>
          <w:rFonts w:ascii="Times New Roman" w:hAnsi="Times New Roman"/>
          <w:color w:val="222222"/>
          <w:shd w:val="clear" w:color="auto" w:fill="FFFFFF"/>
          <w:lang w:val="en-IN"/>
        </w:rPr>
        <w:t>’,</w:t>
      </w:r>
      <w:r w:rsidRPr="00644A19">
        <w:rPr>
          <w:rFonts w:ascii="Times New Roman" w:hAnsi="Times New Roman"/>
          <w:color w:val="222222"/>
          <w:shd w:val="clear" w:color="auto" w:fill="FFFFFF"/>
          <w:lang w:val="en-IN"/>
        </w:rPr>
        <w:t xml:space="preserve"> </w:t>
      </w:r>
      <w:r w:rsidRPr="00644A19">
        <w:rPr>
          <w:rFonts w:ascii="Times New Roman" w:hAnsi="Times New Roman"/>
          <w:i/>
          <w:iCs/>
          <w:color w:val="222222"/>
          <w:shd w:val="clear" w:color="auto" w:fill="FFFFFF"/>
          <w:lang w:val="en-IN"/>
        </w:rPr>
        <w:t>Legal Studies</w:t>
      </w:r>
      <w:r w:rsidRPr="00644A19">
        <w:rPr>
          <w:rFonts w:ascii="Times New Roman" w:hAnsi="Times New Roman"/>
          <w:color w:val="222222"/>
          <w:shd w:val="clear" w:color="auto" w:fill="FFFFFF"/>
          <w:lang w:val="en-IN"/>
        </w:rPr>
        <w:t xml:space="preserve">, 20(2), pp. 198-221. DOI: </w:t>
      </w:r>
      <w:hyperlink r:id="rId10" w:history="1">
        <w:r w:rsidRPr="00644A19">
          <w:rPr>
            <w:rFonts w:ascii="Times New Roman" w:hAnsi="Times New Roman"/>
            <w:color w:val="0563C1" w:themeColor="hyperlink"/>
            <w:u w:val="single"/>
            <w:shd w:val="clear" w:color="auto" w:fill="FFFFFF"/>
            <w:lang w:val="en-IN"/>
          </w:rPr>
          <w:t>https://doi.org/10.1111/j.1748-121X.2000.tb00140.x</w:t>
        </w:r>
      </w:hyperlink>
      <w:r w:rsidRPr="00644A19">
        <w:rPr>
          <w:rFonts w:ascii="Times New Roman" w:hAnsi="Times New Roman"/>
          <w:color w:val="222222"/>
          <w:shd w:val="clear" w:color="auto" w:fill="FFFFFF"/>
          <w:lang w:val="en-IN"/>
        </w:rPr>
        <w:t xml:space="preserve"> </w:t>
      </w:r>
    </w:p>
    <w:p w14:paraId="0DB2028A" w14:textId="14214ABC" w:rsidR="00245A3B" w:rsidRPr="00644A19" w:rsidRDefault="00245A3B" w:rsidP="00245A3B">
      <w:pPr>
        <w:shd w:val="clear" w:color="auto" w:fill="FFFFFF"/>
        <w:spacing w:after="0" w:line="480" w:lineRule="auto"/>
        <w:ind w:left="720" w:hanging="720"/>
        <w:contextualSpacing/>
        <w:jc w:val="both"/>
        <w:rPr>
          <w:rFonts w:ascii="Times New Roman" w:eastAsia="Times New Roman" w:hAnsi="Times New Roman"/>
          <w:color w:val="222222"/>
          <w:lang w:val="en-IN" w:eastAsia="en-GB"/>
        </w:rPr>
      </w:pPr>
      <w:r w:rsidRPr="00644A19">
        <w:rPr>
          <w:rFonts w:ascii="Times New Roman" w:eastAsia="Times New Roman" w:hAnsi="Times New Roman"/>
          <w:color w:val="222222"/>
          <w:lang w:val="en-IN" w:eastAsia="en-GB"/>
        </w:rPr>
        <w:t>Dickinson, J. (2020). Land law.</w:t>
      </w:r>
      <w:r w:rsidRPr="00644A19">
        <w:rPr>
          <w:rFonts w:ascii="Times New Roman" w:eastAsia="Times New Roman" w:hAnsi="Times New Roman"/>
          <w:b/>
          <w:bCs/>
          <w:color w:val="222222"/>
          <w:lang w:val="en-IN" w:eastAsia="en-GB"/>
        </w:rPr>
        <w:t xml:space="preserve"> </w:t>
      </w:r>
      <w:r w:rsidRPr="00644A19">
        <w:rPr>
          <w:rFonts w:ascii="Times New Roman" w:eastAsia="Times New Roman" w:hAnsi="Times New Roman"/>
          <w:color w:val="222222"/>
          <w:lang w:val="en-IN" w:eastAsia="en-GB"/>
        </w:rPr>
        <w:t xml:space="preserve">[Online]. Available at: </w:t>
      </w:r>
      <w:hyperlink r:id="rId11" w:history="1">
        <w:r w:rsidRPr="00644A19">
          <w:rPr>
            <w:rFonts w:ascii="Times New Roman" w:eastAsia="Times New Roman" w:hAnsi="Times New Roman"/>
            <w:color w:val="0563C1" w:themeColor="hyperlink"/>
            <w:u w:val="single"/>
            <w:lang w:val="en-IN" w:eastAsia="en-GB"/>
          </w:rPr>
          <w:t>http://shura.shu.ac.uk/26722/</w:t>
        </w:r>
      </w:hyperlink>
      <w:r w:rsidRPr="00644A19">
        <w:rPr>
          <w:rFonts w:ascii="Times New Roman" w:eastAsia="Times New Roman" w:hAnsi="Times New Roman"/>
          <w:color w:val="222222"/>
          <w:lang w:val="en-IN" w:eastAsia="en-GB"/>
        </w:rPr>
        <w:t xml:space="preserve"> [Accessed on: </w:t>
      </w:r>
      <w:bookmarkStart w:id="9" w:name="_Hlk119068978"/>
      <w:r w:rsidR="002129DE">
        <w:rPr>
          <w:rFonts w:ascii="Times New Roman" w:eastAsia="Times New Roman" w:hAnsi="Times New Roman"/>
          <w:color w:val="222222"/>
          <w:lang w:val="en-IN" w:eastAsia="en-GB"/>
        </w:rPr>
        <w:t>08 November 2022</w:t>
      </w:r>
      <w:bookmarkEnd w:id="9"/>
      <w:r w:rsidRPr="00644A19">
        <w:rPr>
          <w:rFonts w:ascii="Times New Roman" w:eastAsia="Times New Roman" w:hAnsi="Times New Roman"/>
          <w:color w:val="222222"/>
          <w:lang w:val="en-IN" w:eastAsia="en-GB"/>
        </w:rPr>
        <w:t>].</w:t>
      </w:r>
    </w:p>
    <w:p w14:paraId="01181F0F"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t xml:space="preserve">Egan-Ronayne, N. (2017). RE ELLENBOROUGH PARK. [Online]. Available at: </w:t>
      </w:r>
      <w:hyperlink r:id="rId12" w:history="1">
        <w:r w:rsidRPr="00644A19">
          <w:rPr>
            <w:rFonts w:ascii="Times New Roman" w:hAnsi="Times New Roman"/>
            <w:color w:val="0563C1" w:themeColor="hyperlink"/>
            <w:u w:val="single"/>
          </w:rPr>
          <w:t>https://theblackletter.co.uk/2017/03/08/re-ellenborough-park-1956-ch-131/</w:t>
        </w:r>
      </w:hyperlink>
      <w:r w:rsidRPr="00644A19">
        <w:rPr>
          <w:rFonts w:ascii="Times New Roman" w:hAnsi="Times New Roman"/>
        </w:rPr>
        <w:t xml:space="preserve"> [Accessed on: 2</w:t>
      </w:r>
      <w:r>
        <w:rPr>
          <w:rFonts w:ascii="Times New Roman" w:hAnsi="Times New Roman"/>
        </w:rPr>
        <w:t>5</w:t>
      </w:r>
      <w:r w:rsidRPr="00644A19">
        <w:rPr>
          <w:rFonts w:ascii="Times New Roman" w:hAnsi="Times New Roman"/>
        </w:rPr>
        <w:t xml:space="preserve"> October 2022].</w:t>
      </w:r>
    </w:p>
    <w:p w14:paraId="156C3B66" w14:textId="77777777" w:rsidR="00245A3B" w:rsidRPr="00644A19" w:rsidRDefault="00245A3B" w:rsidP="00245A3B">
      <w:pPr>
        <w:spacing w:after="0" w:line="480" w:lineRule="auto"/>
        <w:ind w:left="709" w:hanging="709"/>
        <w:contextualSpacing/>
        <w:jc w:val="both"/>
        <w:rPr>
          <w:rFonts w:ascii="Times New Roman" w:hAnsi="Times New Roman"/>
          <w:b/>
          <w:bCs/>
          <w:lang w:val="en-IN"/>
        </w:rPr>
      </w:pPr>
      <w:r w:rsidRPr="00644A19">
        <w:rPr>
          <w:rFonts w:ascii="Times New Roman" w:hAnsi="Times New Roman"/>
          <w:lang w:val="en-IN"/>
        </w:rPr>
        <w:t>French, G. (2016)</w:t>
      </w:r>
      <w:r w:rsidRPr="00644A19">
        <w:rPr>
          <w:rFonts w:ascii="Times New Roman" w:hAnsi="Times New Roman"/>
          <w:b/>
          <w:bCs/>
          <w:lang w:val="en-IN"/>
        </w:rPr>
        <w:t xml:space="preserve"> </w:t>
      </w:r>
      <w:r>
        <w:rPr>
          <w:rFonts w:ascii="Times New Roman" w:hAnsi="Times New Roman"/>
          <w:b/>
          <w:bCs/>
          <w:lang w:val="en-IN"/>
        </w:rPr>
        <w:t>‘</w:t>
      </w:r>
      <w:r w:rsidRPr="00644A19">
        <w:rPr>
          <w:rFonts w:ascii="Times New Roman" w:hAnsi="Times New Roman"/>
          <w:lang w:val="en-IN"/>
        </w:rPr>
        <w:t>The Doctrine of Lost Modern Grant and Prescriptive Easements in Newfoundland</w:t>
      </w:r>
      <w:r>
        <w:rPr>
          <w:rFonts w:ascii="Times New Roman" w:hAnsi="Times New Roman"/>
          <w:lang w:val="en-IN"/>
        </w:rPr>
        <w:t>’,</w:t>
      </w:r>
      <w:r w:rsidRPr="00644A19">
        <w:rPr>
          <w:rFonts w:ascii="Times New Roman" w:hAnsi="Times New Roman"/>
          <w:lang w:val="en-IN"/>
        </w:rPr>
        <w:t xml:space="preserve"> </w:t>
      </w:r>
      <w:r w:rsidRPr="003B6B5D">
        <w:rPr>
          <w:rFonts w:ascii="Times New Roman" w:hAnsi="Times New Roman"/>
          <w:i/>
          <w:iCs/>
          <w:lang w:val="en-IN"/>
        </w:rPr>
        <w:t>Dalhousie Law Journal</w:t>
      </w:r>
      <w:r w:rsidRPr="00644A19">
        <w:rPr>
          <w:rFonts w:ascii="Times New Roman" w:hAnsi="Times New Roman"/>
          <w:lang w:val="en-IN"/>
        </w:rPr>
        <w:t>, 39(2), pp. 1-14.</w:t>
      </w:r>
      <w:r w:rsidRPr="00644A19">
        <w:rPr>
          <w:rFonts w:ascii="Times New Roman" w:hAnsi="Times New Roman"/>
          <w:b/>
          <w:bCs/>
          <w:lang w:val="en-IN"/>
        </w:rPr>
        <w:t xml:space="preserve"> </w:t>
      </w:r>
    </w:p>
    <w:p w14:paraId="742F6D54" w14:textId="77777777" w:rsidR="00245A3B" w:rsidRPr="00644A19" w:rsidRDefault="00245A3B" w:rsidP="00245A3B">
      <w:pPr>
        <w:spacing w:after="0" w:line="480" w:lineRule="auto"/>
        <w:ind w:left="709" w:hanging="709"/>
        <w:contextualSpacing/>
        <w:jc w:val="both"/>
        <w:rPr>
          <w:rFonts w:ascii="Times New Roman" w:hAnsi="Times New Roman"/>
          <w:lang w:val="en-IN"/>
        </w:rPr>
      </w:pPr>
      <w:r w:rsidRPr="00644A19">
        <w:rPr>
          <w:rFonts w:ascii="Times New Roman" w:hAnsi="Times New Roman"/>
          <w:lang w:val="en-IN"/>
        </w:rPr>
        <w:t>George, M. and Layard, A. (2019) </w:t>
      </w:r>
      <w:r w:rsidRPr="00644A19">
        <w:rPr>
          <w:rFonts w:ascii="Times New Roman" w:hAnsi="Times New Roman"/>
          <w:i/>
          <w:iCs/>
          <w:lang w:val="en-IN"/>
        </w:rPr>
        <w:t>Thompson's Modern Land Law</w:t>
      </w:r>
      <w:r w:rsidRPr="00644A19">
        <w:rPr>
          <w:rFonts w:ascii="Times New Roman" w:hAnsi="Times New Roman"/>
          <w:lang w:val="en-IN"/>
        </w:rPr>
        <w:t>. London: Oxford University Press.</w:t>
      </w:r>
    </w:p>
    <w:p w14:paraId="5A821A79"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t xml:space="preserve">Gray, K.J. and Gray, S.F. (2009) </w:t>
      </w:r>
      <w:r w:rsidRPr="00644A19">
        <w:rPr>
          <w:rFonts w:ascii="Times New Roman" w:hAnsi="Times New Roman"/>
          <w:i/>
        </w:rPr>
        <w:t>Elements of land law.</w:t>
      </w:r>
      <w:r w:rsidRPr="00644A19">
        <w:rPr>
          <w:rFonts w:ascii="Times New Roman" w:hAnsi="Times New Roman"/>
        </w:rPr>
        <w:t xml:space="preserve"> London: Oxford: Oxford University Press.</w:t>
      </w:r>
    </w:p>
    <w:p w14:paraId="4C3E8C37"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t xml:space="preserve">Kowallis, K. (2018) </w:t>
      </w:r>
      <w:r>
        <w:rPr>
          <w:rFonts w:ascii="Times New Roman" w:hAnsi="Times New Roman"/>
        </w:rPr>
        <w:t>‘</w:t>
      </w:r>
      <w:r w:rsidRPr="00644A19">
        <w:rPr>
          <w:rFonts w:ascii="Times New Roman" w:hAnsi="Times New Roman"/>
        </w:rPr>
        <w:t>Treating Fair Use as an Easement on Intellectual Property</w:t>
      </w:r>
      <w:r>
        <w:rPr>
          <w:rFonts w:ascii="Times New Roman" w:hAnsi="Times New Roman"/>
        </w:rPr>
        <w:t>’,</w:t>
      </w:r>
      <w:r w:rsidRPr="00644A19">
        <w:rPr>
          <w:rFonts w:ascii="Times New Roman" w:hAnsi="Times New Roman"/>
        </w:rPr>
        <w:t xml:space="preserve"> </w:t>
      </w:r>
      <w:r w:rsidRPr="00644A19">
        <w:rPr>
          <w:rFonts w:ascii="Times New Roman" w:hAnsi="Times New Roman"/>
          <w:i/>
        </w:rPr>
        <w:t>BYU L. Rev.,</w:t>
      </w:r>
      <w:r w:rsidRPr="00644A19">
        <w:rPr>
          <w:rFonts w:ascii="Times New Roman" w:hAnsi="Times New Roman"/>
        </w:rPr>
        <w:t xml:space="preserve"> p.1073.</w:t>
      </w:r>
    </w:p>
    <w:p w14:paraId="16960847" w14:textId="652AEC40" w:rsidR="00245A3B" w:rsidRPr="00644A19" w:rsidRDefault="00245A3B" w:rsidP="00245A3B">
      <w:pPr>
        <w:shd w:val="clear" w:color="auto" w:fill="FFFFFF"/>
        <w:spacing w:after="0" w:line="480" w:lineRule="auto"/>
        <w:ind w:left="720" w:hanging="720"/>
        <w:contextualSpacing/>
        <w:jc w:val="both"/>
        <w:rPr>
          <w:rFonts w:ascii="Times New Roman" w:eastAsia="Times New Roman" w:hAnsi="Times New Roman"/>
          <w:color w:val="222222"/>
          <w:lang w:val="en-IN" w:eastAsia="en-GB"/>
        </w:rPr>
      </w:pPr>
      <w:r w:rsidRPr="00644A19">
        <w:rPr>
          <w:rFonts w:ascii="Times New Roman" w:hAnsi="Times New Roman"/>
          <w:lang w:val="en-IN"/>
        </w:rPr>
        <w:t xml:space="preserve">Law Commission. (2011). Making Land Work: Easements, Covenants and Profits à Prendre. </w:t>
      </w:r>
      <w:r w:rsidRPr="00644A19">
        <w:rPr>
          <w:rFonts w:ascii="Times New Roman" w:eastAsia="Times New Roman" w:hAnsi="Times New Roman"/>
          <w:color w:val="222222"/>
          <w:lang w:val="en-IN" w:eastAsia="en-GB"/>
        </w:rPr>
        <w:t xml:space="preserve">[Online]. Available at: </w:t>
      </w:r>
      <w:hyperlink r:id="rId13" w:history="1">
        <w:r w:rsidRPr="00644A19">
          <w:rPr>
            <w:rFonts w:ascii="Times New Roman" w:eastAsia="Times New Roman" w:hAnsi="Times New Roman"/>
            <w:color w:val="0563C1" w:themeColor="hyperlink"/>
            <w:u w:val="single"/>
            <w:lang w:val="en-IN" w:eastAsia="en-GB"/>
          </w:rPr>
          <w:t>https://assets.publishing.service.gov.uk/government/uploads/system/uploads/attachment_data/file/229064/1067.pdf</w:t>
        </w:r>
      </w:hyperlink>
      <w:r w:rsidRPr="00644A19">
        <w:rPr>
          <w:rFonts w:ascii="Times New Roman" w:eastAsia="Times New Roman" w:hAnsi="Times New Roman"/>
          <w:color w:val="222222"/>
          <w:lang w:val="en-IN" w:eastAsia="en-GB"/>
        </w:rPr>
        <w:t xml:space="preserve"> [Accessed on: </w:t>
      </w:r>
      <w:r w:rsidR="002129DE">
        <w:rPr>
          <w:rFonts w:ascii="Times New Roman" w:eastAsia="Times New Roman" w:hAnsi="Times New Roman"/>
          <w:color w:val="222222"/>
          <w:lang w:val="en-IN" w:eastAsia="en-GB"/>
        </w:rPr>
        <w:t>10</w:t>
      </w:r>
      <w:r w:rsidR="002129DE">
        <w:rPr>
          <w:rFonts w:ascii="Times New Roman" w:eastAsia="Times New Roman" w:hAnsi="Times New Roman"/>
          <w:color w:val="222222"/>
          <w:lang w:val="en-IN" w:eastAsia="en-GB"/>
        </w:rPr>
        <w:t xml:space="preserve"> November 2022</w:t>
      </w:r>
      <w:r w:rsidRPr="00644A19">
        <w:rPr>
          <w:rFonts w:ascii="Times New Roman" w:eastAsia="Times New Roman" w:hAnsi="Times New Roman"/>
          <w:color w:val="222222"/>
          <w:lang w:val="en-IN" w:eastAsia="en-GB"/>
        </w:rPr>
        <w:t>].</w:t>
      </w:r>
    </w:p>
    <w:p w14:paraId="14C84DA8" w14:textId="63FD0806" w:rsidR="00245A3B" w:rsidRPr="00644A19" w:rsidRDefault="00245A3B" w:rsidP="00245A3B">
      <w:pPr>
        <w:shd w:val="clear" w:color="auto" w:fill="FFFFFF"/>
        <w:spacing w:after="0" w:line="480" w:lineRule="auto"/>
        <w:ind w:left="720" w:hanging="720"/>
        <w:contextualSpacing/>
        <w:jc w:val="both"/>
        <w:rPr>
          <w:rFonts w:ascii="Times New Roman" w:eastAsia="Times New Roman" w:hAnsi="Times New Roman"/>
          <w:color w:val="222222"/>
          <w:lang w:val="en-IN" w:eastAsia="en-GB"/>
        </w:rPr>
      </w:pPr>
      <w:r w:rsidRPr="00644A19">
        <w:rPr>
          <w:rFonts w:ascii="Times New Roman" w:eastAsia="Times New Roman" w:hAnsi="Times New Roman"/>
          <w:color w:val="222222"/>
          <w:lang w:val="en-IN" w:eastAsia="en-GB"/>
        </w:rPr>
        <w:t>Legislation UK. (2022</w:t>
      </w:r>
      <w:r w:rsidRPr="00644A19">
        <w:rPr>
          <w:rFonts w:ascii="Times New Roman" w:eastAsia="Times New Roman" w:hAnsi="Times New Roman"/>
          <w:color w:val="222222"/>
          <w:vertAlign w:val="subscript"/>
          <w:lang w:val="en-IN" w:eastAsia="en-GB"/>
        </w:rPr>
        <w:t>1</w:t>
      </w:r>
      <w:r w:rsidRPr="00644A19">
        <w:rPr>
          <w:rFonts w:ascii="Times New Roman" w:eastAsia="Times New Roman" w:hAnsi="Times New Roman"/>
          <w:color w:val="222222"/>
          <w:lang w:val="en-IN" w:eastAsia="en-GB"/>
        </w:rPr>
        <w:t xml:space="preserve">). Law of Property (Miscellaneous Provisions) Act 1989. [Online]. Available at: </w:t>
      </w:r>
      <w:hyperlink r:id="rId14" w:anchor=":~:text=1989%20CHAPTER%2034,Fothergill" w:history="1">
        <w:r w:rsidRPr="00644A19">
          <w:rPr>
            <w:rFonts w:ascii="Times New Roman" w:eastAsia="Times New Roman" w:hAnsi="Times New Roman"/>
            <w:color w:val="0563C1" w:themeColor="hyperlink"/>
            <w:u w:val="single"/>
            <w:lang w:val="en-IN" w:eastAsia="en-GB"/>
          </w:rPr>
          <w:t>https://www.legislation.gov.uk/ukpga/1989/34/enacted#:~:text=1989%20CHAPTER%2034,Fothergill</w:t>
        </w:r>
      </w:hyperlink>
      <w:r w:rsidRPr="00644A19">
        <w:rPr>
          <w:rFonts w:ascii="Times New Roman" w:eastAsia="Times New Roman" w:hAnsi="Times New Roman"/>
          <w:color w:val="222222"/>
          <w:lang w:val="en-IN" w:eastAsia="en-GB"/>
        </w:rPr>
        <w:t>[Accessed on:</w:t>
      </w:r>
      <w:r w:rsidR="00E90685" w:rsidRPr="00E90685">
        <w:rPr>
          <w:rFonts w:ascii="Times New Roman" w:eastAsia="Times New Roman" w:hAnsi="Times New Roman"/>
          <w:color w:val="222222"/>
          <w:lang w:val="en-IN" w:eastAsia="en-GB"/>
        </w:rPr>
        <w:t xml:space="preserve"> </w:t>
      </w:r>
      <w:r w:rsidR="00E90685">
        <w:rPr>
          <w:rFonts w:ascii="Times New Roman" w:eastAsia="Times New Roman" w:hAnsi="Times New Roman"/>
          <w:color w:val="222222"/>
          <w:lang w:val="en-IN" w:eastAsia="en-GB"/>
        </w:rPr>
        <w:t>08 November 2022</w:t>
      </w:r>
      <w:r w:rsidRPr="00644A19">
        <w:rPr>
          <w:rFonts w:ascii="Times New Roman" w:eastAsia="Times New Roman" w:hAnsi="Times New Roman"/>
          <w:color w:val="222222"/>
          <w:lang w:val="en-IN" w:eastAsia="en-GB"/>
        </w:rPr>
        <w:t xml:space="preserve"> ].</w:t>
      </w:r>
    </w:p>
    <w:p w14:paraId="6357F2E8" w14:textId="3D6704D9" w:rsidR="00245A3B" w:rsidRPr="00644A19" w:rsidRDefault="00245A3B" w:rsidP="00245A3B">
      <w:pPr>
        <w:shd w:val="clear" w:color="auto" w:fill="FFFFFF"/>
        <w:spacing w:after="0" w:line="480" w:lineRule="auto"/>
        <w:ind w:left="720" w:hanging="720"/>
        <w:contextualSpacing/>
        <w:jc w:val="both"/>
        <w:rPr>
          <w:rFonts w:ascii="Times New Roman" w:eastAsia="Times New Roman" w:hAnsi="Times New Roman"/>
          <w:color w:val="222222"/>
          <w:lang w:val="en-IN" w:eastAsia="en-GB"/>
        </w:rPr>
      </w:pPr>
      <w:r w:rsidRPr="00644A19">
        <w:rPr>
          <w:rFonts w:ascii="Times New Roman" w:eastAsia="Times New Roman" w:hAnsi="Times New Roman"/>
          <w:color w:val="222222"/>
          <w:lang w:val="en-IN" w:eastAsia="en-GB"/>
        </w:rPr>
        <w:t>Legislation UK. (2022</w:t>
      </w:r>
      <w:r w:rsidRPr="00644A19">
        <w:rPr>
          <w:rFonts w:ascii="Times New Roman" w:eastAsia="Times New Roman" w:hAnsi="Times New Roman"/>
          <w:color w:val="222222"/>
          <w:vertAlign w:val="subscript"/>
          <w:lang w:val="en-IN" w:eastAsia="en-GB"/>
        </w:rPr>
        <w:t>2</w:t>
      </w:r>
      <w:r w:rsidRPr="00644A19">
        <w:rPr>
          <w:rFonts w:ascii="Times New Roman" w:eastAsia="Times New Roman" w:hAnsi="Times New Roman"/>
          <w:color w:val="222222"/>
          <w:lang w:val="en-IN" w:eastAsia="en-GB"/>
        </w:rPr>
        <w:t xml:space="preserve">). Land Charges Act 1925. [Online]. Available at: </w:t>
      </w:r>
      <w:hyperlink r:id="rId15" w:anchor=":~:text=An%20Act%20to%20consolidate%20the,land%20charges%2C%20and%20to%20searches" w:history="1">
        <w:r w:rsidRPr="00644A19">
          <w:rPr>
            <w:rFonts w:ascii="Times New Roman" w:eastAsia="Times New Roman" w:hAnsi="Times New Roman"/>
            <w:color w:val="0563C1" w:themeColor="hyperlink"/>
            <w:u w:val="single"/>
            <w:lang w:val="en-IN" w:eastAsia="en-GB"/>
          </w:rPr>
          <w:t>https://www.legislation.gov.uk/ukpga/1925/22/enacted#:~:text=An%20Act%20to%20consolidate%20the,land%20charges%2C%20and%20to%20searches</w:t>
        </w:r>
      </w:hyperlink>
      <w:r w:rsidRPr="00644A19">
        <w:rPr>
          <w:rFonts w:ascii="Times New Roman" w:eastAsia="Times New Roman" w:hAnsi="Times New Roman"/>
          <w:color w:val="222222"/>
          <w:lang w:val="en-IN" w:eastAsia="en-GB"/>
        </w:rPr>
        <w:t xml:space="preserve"> [Accessed on: </w:t>
      </w:r>
      <w:r w:rsidR="00E90685">
        <w:rPr>
          <w:rFonts w:ascii="Times New Roman" w:eastAsia="Times New Roman" w:hAnsi="Times New Roman"/>
          <w:color w:val="222222"/>
          <w:lang w:val="en-IN" w:eastAsia="en-GB"/>
        </w:rPr>
        <w:t>08 November 2022</w:t>
      </w:r>
      <w:r w:rsidRPr="00644A19">
        <w:rPr>
          <w:rFonts w:ascii="Times New Roman" w:eastAsia="Times New Roman" w:hAnsi="Times New Roman"/>
          <w:color w:val="222222"/>
          <w:lang w:val="en-IN" w:eastAsia="en-GB"/>
        </w:rPr>
        <w:t>].</w:t>
      </w:r>
    </w:p>
    <w:p w14:paraId="400E960F" w14:textId="6F2C114E" w:rsidR="00245A3B" w:rsidRPr="00644A19" w:rsidRDefault="00245A3B" w:rsidP="00245A3B">
      <w:pPr>
        <w:shd w:val="clear" w:color="auto" w:fill="FFFFFF"/>
        <w:spacing w:after="0" w:line="480" w:lineRule="auto"/>
        <w:ind w:left="720" w:hanging="720"/>
        <w:contextualSpacing/>
        <w:jc w:val="both"/>
        <w:rPr>
          <w:rFonts w:ascii="Times New Roman" w:eastAsia="Times New Roman" w:hAnsi="Times New Roman"/>
          <w:color w:val="222222"/>
          <w:lang w:val="en-IN" w:eastAsia="en-GB"/>
        </w:rPr>
      </w:pPr>
      <w:r w:rsidRPr="00644A19">
        <w:rPr>
          <w:rFonts w:ascii="Times New Roman" w:eastAsia="Times New Roman" w:hAnsi="Times New Roman"/>
          <w:color w:val="222222"/>
          <w:lang w:val="en-IN" w:eastAsia="en-GB"/>
        </w:rPr>
        <w:t xml:space="preserve">LexisNexis. (2022). Real Property and Registration (Volume 87 (2022)). [Online]. Available at: </w:t>
      </w:r>
      <w:hyperlink r:id="rId16" w:history="1">
        <w:r w:rsidRPr="00644A19">
          <w:rPr>
            <w:rFonts w:ascii="Times New Roman" w:eastAsia="Times New Roman" w:hAnsi="Times New Roman"/>
            <w:color w:val="0563C1" w:themeColor="hyperlink"/>
            <w:u w:val="single"/>
            <w:lang w:val="en-IN" w:eastAsia="en-GB"/>
          </w:rPr>
          <w:t>https://www.lexisnexis.co.uk/legal/commentary/halsburys-laws-of-england/real-property-registration</w:t>
        </w:r>
      </w:hyperlink>
      <w:r w:rsidRPr="00644A19">
        <w:rPr>
          <w:rFonts w:ascii="Times New Roman" w:eastAsia="Times New Roman" w:hAnsi="Times New Roman"/>
          <w:color w:val="222222"/>
          <w:lang w:val="en-IN" w:eastAsia="en-GB"/>
        </w:rPr>
        <w:t xml:space="preserve"> [Accessed on: </w:t>
      </w:r>
      <w:r w:rsidR="00FF3657">
        <w:rPr>
          <w:rFonts w:ascii="Times New Roman" w:eastAsia="Times New Roman" w:hAnsi="Times New Roman"/>
          <w:color w:val="222222"/>
          <w:lang w:val="en-IN" w:eastAsia="en-GB"/>
        </w:rPr>
        <w:t>11</w:t>
      </w:r>
      <w:r w:rsidR="00FF3657">
        <w:rPr>
          <w:rFonts w:ascii="Times New Roman" w:eastAsia="Times New Roman" w:hAnsi="Times New Roman"/>
          <w:color w:val="222222"/>
          <w:lang w:val="en-IN" w:eastAsia="en-GB"/>
        </w:rPr>
        <w:t xml:space="preserve"> November 2022</w:t>
      </w:r>
      <w:r w:rsidRPr="00644A19">
        <w:rPr>
          <w:rFonts w:ascii="Times New Roman" w:eastAsia="Times New Roman" w:hAnsi="Times New Roman"/>
          <w:color w:val="222222"/>
          <w:lang w:val="en-IN" w:eastAsia="en-GB"/>
        </w:rPr>
        <w:t>].</w:t>
      </w:r>
    </w:p>
    <w:p w14:paraId="0A9F86E2"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t xml:space="preserve">McFarlane, B., Hopkins, N. and Nield, S. (2018) </w:t>
      </w:r>
      <w:r w:rsidRPr="00644A19">
        <w:rPr>
          <w:rFonts w:ascii="Times New Roman" w:hAnsi="Times New Roman"/>
          <w:i/>
        </w:rPr>
        <w:t xml:space="preserve">Land Law: Text, cases and Materials 4th Edition. </w:t>
      </w:r>
      <w:r w:rsidRPr="00644A19">
        <w:rPr>
          <w:rFonts w:ascii="Times New Roman" w:hAnsi="Times New Roman"/>
        </w:rPr>
        <w:t>London: Oxford University Press.</w:t>
      </w:r>
    </w:p>
    <w:p w14:paraId="25063FE1" w14:textId="77777777" w:rsidR="00245A3B" w:rsidRPr="00644A19" w:rsidRDefault="00245A3B" w:rsidP="00245A3B">
      <w:pPr>
        <w:spacing w:after="0" w:line="480" w:lineRule="auto"/>
        <w:ind w:left="709" w:hanging="709"/>
        <w:contextualSpacing/>
        <w:jc w:val="both"/>
        <w:rPr>
          <w:rFonts w:ascii="Times New Roman" w:hAnsi="Times New Roman"/>
          <w:lang w:val="en-IN"/>
        </w:rPr>
      </w:pPr>
      <w:proofErr w:type="spellStart"/>
      <w:r w:rsidRPr="00644A19">
        <w:rPr>
          <w:rFonts w:ascii="Times New Roman" w:hAnsi="Times New Roman"/>
          <w:lang w:val="en-IN"/>
        </w:rPr>
        <w:t>Mee</w:t>
      </w:r>
      <w:proofErr w:type="spellEnd"/>
      <w:r w:rsidRPr="00644A19">
        <w:rPr>
          <w:rFonts w:ascii="Times New Roman" w:hAnsi="Times New Roman"/>
          <w:lang w:val="en-IN"/>
        </w:rPr>
        <w:t xml:space="preserve">, J. (2015) </w:t>
      </w:r>
      <w:r>
        <w:rPr>
          <w:rFonts w:ascii="Times New Roman" w:hAnsi="Times New Roman"/>
          <w:lang w:val="en-IN"/>
        </w:rPr>
        <w:t>‘</w:t>
      </w:r>
      <w:r w:rsidRPr="00644A19">
        <w:rPr>
          <w:rFonts w:ascii="Times New Roman" w:hAnsi="Times New Roman"/>
          <w:lang w:val="en-IN"/>
        </w:rPr>
        <w:t>Reforming the Law of Prescription: A Cautionary Tale from Ireland</w:t>
      </w:r>
      <w:r>
        <w:rPr>
          <w:rFonts w:ascii="Times New Roman" w:hAnsi="Times New Roman"/>
          <w:lang w:val="en-IN"/>
        </w:rPr>
        <w:t>’,</w:t>
      </w:r>
      <w:r w:rsidRPr="00644A19">
        <w:rPr>
          <w:rFonts w:ascii="Times New Roman" w:hAnsi="Times New Roman"/>
          <w:lang w:val="en-IN"/>
        </w:rPr>
        <w:t xml:space="preserve"> </w:t>
      </w:r>
      <w:r w:rsidRPr="00644A19">
        <w:rPr>
          <w:rFonts w:ascii="Times New Roman" w:hAnsi="Times New Roman"/>
          <w:i/>
          <w:iCs/>
          <w:lang w:val="en-IN"/>
        </w:rPr>
        <w:t>Modern Studies in Property Law</w:t>
      </w:r>
      <w:r w:rsidRPr="00644A19">
        <w:rPr>
          <w:rFonts w:ascii="Times New Roman" w:hAnsi="Times New Roman"/>
          <w:lang w:val="en-IN"/>
        </w:rPr>
        <w:t>, 8, pp. 31-48.</w:t>
      </w:r>
    </w:p>
    <w:p w14:paraId="7BCD61EB" w14:textId="77777777" w:rsidR="00245A3B" w:rsidRPr="00644A19" w:rsidRDefault="00245A3B" w:rsidP="00245A3B">
      <w:pPr>
        <w:shd w:val="clear" w:color="auto" w:fill="FFFFFF"/>
        <w:spacing w:after="0" w:line="480" w:lineRule="auto"/>
        <w:ind w:left="720" w:hanging="720"/>
        <w:contextualSpacing/>
        <w:jc w:val="both"/>
        <w:rPr>
          <w:rFonts w:ascii="Times New Roman" w:eastAsia="Times New Roman" w:hAnsi="Times New Roman"/>
          <w:color w:val="222222"/>
          <w:lang w:val="en-IN" w:eastAsia="en-GB"/>
        </w:rPr>
      </w:pPr>
      <w:r w:rsidRPr="00644A19">
        <w:rPr>
          <w:rFonts w:ascii="Times New Roman" w:eastAsia="Times New Roman" w:hAnsi="Times New Roman"/>
          <w:color w:val="222222"/>
          <w:lang w:val="en-IN" w:eastAsia="en-GB"/>
        </w:rPr>
        <w:t xml:space="preserve">OGL. (2021). Law Commission review of the Land Registration Act 2002: government full response. [Online]. Available at: </w:t>
      </w:r>
      <w:hyperlink r:id="rId17" w:history="1">
        <w:r w:rsidRPr="00644A19">
          <w:rPr>
            <w:rFonts w:ascii="Times New Roman" w:eastAsia="Times New Roman" w:hAnsi="Times New Roman"/>
            <w:color w:val="0563C1" w:themeColor="hyperlink"/>
            <w:u w:val="single"/>
            <w:lang w:val="en-IN" w:eastAsia="en-GB"/>
          </w:rPr>
          <w:t>https://www.gov.uk/government/publications/land-registration-act-2002-government-response-to-the-law-commission-review/law-commission-review-of-the-land-registration-act-2002-government-full-response</w:t>
        </w:r>
      </w:hyperlink>
      <w:r w:rsidRPr="00644A19">
        <w:rPr>
          <w:rFonts w:ascii="Times New Roman" w:eastAsia="Times New Roman" w:hAnsi="Times New Roman"/>
          <w:color w:val="222222"/>
          <w:lang w:val="en-IN" w:eastAsia="en-GB"/>
        </w:rPr>
        <w:t xml:space="preserve"> [Accessed on: 2</w:t>
      </w:r>
      <w:r>
        <w:rPr>
          <w:rFonts w:ascii="Times New Roman" w:eastAsia="Times New Roman" w:hAnsi="Times New Roman"/>
          <w:color w:val="222222"/>
          <w:lang w:val="en-IN" w:eastAsia="en-GB"/>
        </w:rPr>
        <w:t>5</w:t>
      </w:r>
      <w:r w:rsidRPr="00644A19">
        <w:rPr>
          <w:rFonts w:ascii="Times New Roman" w:eastAsia="Times New Roman" w:hAnsi="Times New Roman"/>
          <w:color w:val="222222"/>
          <w:lang w:val="en-IN" w:eastAsia="en-GB"/>
        </w:rPr>
        <w:t xml:space="preserve"> October 2022].</w:t>
      </w:r>
    </w:p>
    <w:p w14:paraId="113263A5" w14:textId="77777777" w:rsidR="00245A3B" w:rsidRPr="00644A19" w:rsidRDefault="00245A3B" w:rsidP="00245A3B">
      <w:pPr>
        <w:shd w:val="clear" w:color="auto" w:fill="FFFFFF"/>
        <w:spacing w:after="0" w:line="480" w:lineRule="auto"/>
        <w:ind w:left="720" w:hanging="720"/>
        <w:contextualSpacing/>
        <w:jc w:val="both"/>
        <w:rPr>
          <w:rFonts w:ascii="Times New Roman" w:hAnsi="Times New Roman"/>
          <w:color w:val="222222"/>
          <w:shd w:val="clear" w:color="auto" w:fill="FFFFFF"/>
          <w:lang w:val="en-IN"/>
        </w:rPr>
      </w:pPr>
      <w:r w:rsidRPr="00644A19">
        <w:rPr>
          <w:rFonts w:ascii="Times New Roman" w:hAnsi="Times New Roman"/>
          <w:color w:val="222222"/>
          <w:shd w:val="clear" w:color="auto" w:fill="FFFFFF"/>
          <w:lang w:val="en-IN"/>
        </w:rPr>
        <w:t xml:space="preserve">Parker, G. and Ravenscroft, N. (2001) </w:t>
      </w:r>
      <w:r>
        <w:rPr>
          <w:rFonts w:ascii="Times New Roman" w:hAnsi="Times New Roman"/>
          <w:color w:val="222222"/>
          <w:shd w:val="clear" w:color="auto" w:fill="FFFFFF"/>
          <w:lang w:val="en-IN"/>
        </w:rPr>
        <w:t>‘</w:t>
      </w:r>
      <w:r w:rsidRPr="00644A19">
        <w:rPr>
          <w:rFonts w:ascii="Times New Roman" w:hAnsi="Times New Roman"/>
          <w:color w:val="222222"/>
          <w:shd w:val="clear" w:color="auto" w:fill="FFFFFF"/>
          <w:lang w:val="en-IN"/>
        </w:rPr>
        <w:t>Land, rights and the gift: the Countryside and Rights of Way Act 2000 and the negotiation of citizenship</w:t>
      </w:r>
      <w:r>
        <w:rPr>
          <w:rFonts w:ascii="Times New Roman" w:hAnsi="Times New Roman"/>
          <w:color w:val="222222"/>
          <w:shd w:val="clear" w:color="auto" w:fill="FFFFFF"/>
          <w:lang w:val="en-IN"/>
        </w:rPr>
        <w:t>’,</w:t>
      </w:r>
      <w:r w:rsidRPr="00644A19">
        <w:rPr>
          <w:rFonts w:ascii="Times New Roman" w:hAnsi="Times New Roman"/>
          <w:color w:val="222222"/>
          <w:shd w:val="clear" w:color="auto" w:fill="FFFFFF"/>
          <w:lang w:val="en-IN"/>
        </w:rPr>
        <w:t> </w:t>
      </w:r>
      <w:proofErr w:type="spellStart"/>
      <w:r w:rsidRPr="00644A19">
        <w:rPr>
          <w:rFonts w:ascii="Times New Roman" w:hAnsi="Times New Roman"/>
          <w:i/>
          <w:iCs/>
          <w:color w:val="222222"/>
          <w:shd w:val="clear" w:color="auto" w:fill="FFFFFF"/>
          <w:lang w:val="en-IN"/>
        </w:rPr>
        <w:t>Sociologia</w:t>
      </w:r>
      <w:proofErr w:type="spellEnd"/>
      <w:r w:rsidRPr="00644A19">
        <w:rPr>
          <w:rFonts w:ascii="Times New Roman" w:hAnsi="Times New Roman"/>
          <w:i/>
          <w:iCs/>
          <w:color w:val="222222"/>
          <w:shd w:val="clear" w:color="auto" w:fill="FFFFFF"/>
          <w:lang w:val="en-IN"/>
        </w:rPr>
        <w:t xml:space="preserve"> </w:t>
      </w:r>
      <w:proofErr w:type="spellStart"/>
      <w:r w:rsidRPr="00644A19">
        <w:rPr>
          <w:rFonts w:ascii="Times New Roman" w:hAnsi="Times New Roman"/>
          <w:i/>
          <w:iCs/>
          <w:color w:val="222222"/>
          <w:shd w:val="clear" w:color="auto" w:fill="FFFFFF"/>
          <w:lang w:val="en-IN"/>
        </w:rPr>
        <w:t>Ruralis</w:t>
      </w:r>
      <w:proofErr w:type="spellEnd"/>
      <w:r w:rsidRPr="00644A19">
        <w:rPr>
          <w:rFonts w:ascii="Times New Roman" w:hAnsi="Times New Roman"/>
          <w:i/>
          <w:iCs/>
          <w:color w:val="222222"/>
          <w:shd w:val="clear" w:color="auto" w:fill="FFFFFF"/>
          <w:lang w:val="en-IN"/>
        </w:rPr>
        <w:t>,</w:t>
      </w:r>
      <w:r w:rsidRPr="00644A19">
        <w:rPr>
          <w:rFonts w:ascii="Times New Roman" w:hAnsi="Times New Roman"/>
          <w:color w:val="222222"/>
          <w:shd w:val="clear" w:color="auto" w:fill="FFFFFF"/>
          <w:lang w:val="en-IN"/>
        </w:rPr>
        <w:t xml:space="preserve"> 41(4), pp. 381-398.</w:t>
      </w:r>
    </w:p>
    <w:p w14:paraId="55255A60" w14:textId="77777777" w:rsidR="00245A3B" w:rsidRPr="00644A19" w:rsidRDefault="00245A3B" w:rsidP="00245A3B">
      <w:pPr>
        <w:shd w:val="clear" w:color="auto" w:fill="FFFFFF"/>
        <w:spacing w:after="0" w:line="480" w:lineRule="auto"/>
        <w:ind w:left="720" w:hanging="720"/>
        <w:contextualSpacing/>
        <w:jc w:val="both"/>
        <w:rPr>
          <w:rFonts w:ascii="Times New Roman" w:hAnsi="Times New Roman"/>
          <w:color w:val="222222"/>
          <w:shd w:val="clear" w:color="auto" w:fill="FFFFFF"/>
          <w:lang w:val="en-IN"/>
        </w:rPr>
      </w:pPr>
      <w:r w:rsidRPr="00644A19">
        <w:rPr>
          <w:rFonts w:ascii="Times New Roman" w:hAnsi="Times New Roman"/>
          <w:color w:val="222222"/>
          <w:shd w:val="clear" w:color="auto" w:fill="FFFFFF"/>
          <w:lang w:val="en-IN"/>
        </w:rPr>
        <w:t xml:space="preserve">Roche, J. (2018) </w:t>
      </w:r>
      <w:r>
        <w:rPr>
          <w:rFonts w:ascii="Times New Roman" w:hAnsi="Times New Roman"/>
          <w:color w:val="222222"/>
          <w:shd w:val="clear" w:color="auto" w:fill="FFFFFF"/>
          <w:lang w:val="en-IN"/>
        </w:rPr>
        <w:t>‘</w:t>
      </w:r>
      <w:r w:rsidRPr="00644A19">
        <w:rPr>
          <w:rFonts w:ascii="Times New Roman" w:hAnsi="Times New Roman"/>
          <w:color w:val="222222"/>
          <w:shd w:val="clear" w:color="auto" w:fill="FFFFFF"/>
          <w:lang w:val="en-IN"/>
        </w:rPr>
        <w:t>Historiography and the Law of Property Act 1925: the return of Frankenstein</w:t>
      </w:r>
      <w:r>
        <w:rPr>
          <w:rFonts w:ascii="Times New Roman" w:hAnsi="Times New Roman"/>
          <w:color w:val="222222"/>
          <w:shd w:val="clear" w:color="auto" w:fill="FFFFFF"/>
          <w:lang w:val="en-IN"/>
        </w:rPr>
        <w:t>’,</w:t>
      </w:r>
      <w:r w:rsidRPr="00644A19">
        <w:rPr>
          <w:rFonts w:ascii="Times New Roman" w:hAnsi="Times New Roman"/>
          <w:color w:val="222222"/>
          <w:shd w:val="clear" w:color="auto" w:fill="FFFFFF"/>
          <w:lang w:val="en-IN"/>
        </w:rPr>
        <w:t> </w:t>
      </w:r>
      <w:r w:rsidRPr="00644A19">
        <w:rPr>
          <w:rFonts w:ascii="Times New Roman" w:hAnsi="Times New Roman"/>
          <w:i/>
          <w:iCs/>
          <w:color w:val="222222"/>
          <w:shd w:val="clear" w:color="auto" w:fill="FFFFFF"/>
          <w:lang w:val="en-IN"/>
        </w:rPr>
        <w:t>The Cambridge Law Journal</w:t>
      </w:r>
      <w:r>
        <w:rPr>
          <w:rFonts w:ascii="Times New Roman" w:hAnsi="Times New Roman"/>
          <w:i/>
          <w:iCs/>
          <w:color w:val="222222"/>
          <w:shd w:val="clear" w:color="auto" w:fill="FFFFFF"/>
          <w:lang w:val="en-IN"/>
        </w:rPr>
        <w:t>,</w:t>
      </w:r>
      <w:r w:rsidRPr="00644A19">
        <w:rPr>
          <w:rFonts w:ascii="Times New Roman" w:hAnsi="Times New Roman"/>
          <w:color w:val="222222"/>
          <w:shd w:val="clear" w:color="auto" w:fill="FFFFFF"/>
          <w:lang w:val="en-IN"/>
        </w:rPr>
        <w:t xml:space="preserve"> 77(3), pp. 600-629. DOI: </w:t>
      </w:r>
      <w:hyperlink r:id="rId18" w:history="1">
        <w:r w:rsidRPr="00644A19">
          <w:rPr>
            <w:rFonts w:ascii="Times New Roman" w:hAnsi="Times New Roman"/>
            <w:color w:val="0563C1" w:themeColor="hyperlink"/>
            <w:u w:val="single"/>
            <w:shd w:val="clear" w:color="auto" w:fill="FFFFFF"/>
            <w:lang w:val="en-IN"/>
          </w:rPr>
          <w:t>https://doi.org/10.1017/S0008197318000697</w:t>
        </w:r>
      </w:hyperlink>
      <w:r w:rsidRPr="00644A19">
        <w:rPr>
          <w:rFonts w:ascii="Times New Roman" w:hAnsi="Times New Roman"/>
          <w:color w:val="222222"/>
          <w:shd w:val="clear" w:color="auto" w:fill="FFFFFF"/>
          <w:lang w:val="en-IN"/>
        </w:rPr>
        <w:t xml:space="preserve"> </w:t>
      </w:r>
    </w:p>
    <w:p w14:paraId="1508FFE0"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t xml:space="preserve">Romero, R.A. (2013) </w:t>
      </w:r>
      <w:r w:rsidRPr="00632857">
        <w:rPr>
          <w:rFonts w:ascii="Times New Roman" w:hAnsi="Times New Roman"/>
          <w:i/>
          <w:iCs/>
        </w:rPr>
        <w:t>Property Law For Dummies</w:t>
      </w:r>
      <w:r w:rsidRPr="00644A19">
        <w:rPr>
          <w:rFonts w:ascii="Times New Roman" w:hAnsi="Times New Roman"/>
        </w:rPr>
        <w:t>. London: Wiley Publication.</w:t>
      </w:r>
    </w:p>
    <w:p w14:paraId="154CF68A"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t xml:space="preserve">Thompson, P.M. and George, M. (2017) </w:t>
      </w:r>
      <w:r w:rsidRPr="00644A19">
        <w:rPr>
          <w:rFonts w:ascii="Times New Roman" w:hAnsi="Times New Roman"/>
          <w:i/>
        </w:rPr>
        <w:t xml:space="preserve">Thompson's Modern Land Law. </w:t>
      </w:r>
      <w:r w:rsidRPr="00644A19">
        <w:rPr>
          <w:rFonts w:ascii="Times New Roman" w:hAnsi="Times New Roman"/>
        </w:rPr>
        <w:t>London: Oxford University Press.</w:t>
      </w:r>
    </w:p>
    <w:p w14:paraId="449ACE85" w14:textId="77777777" w:rsidR="00245A3B" w:rsidRPr="00644A19" w:rsidRDefault="00245A3B" w:rsidP="00245A3B">
      <w:pPr>
        <w:spacing w:after="0" w:line="480" w:lineRule="auto"/>
        <w:ind w:left="720" w:hanging="720"/>
        <w:contextualSpacing/>
        <w:rPr>
          <w:rFonts w:ascii="Times New Roman" w:hAnsi="Times New Roman"/>
        </w:rPr>
      </w:pPr>
      <w:r w:rsidRPr="00644A19">
        <w:rPr>
          <w:rFonts w:ascii="Times New Roman" w:hAnsi="Times New Roman"/>
        </w:rPr>
        <w:lastRenderedPageBreak/>
        <w:t xml:space="preserve">Waite, A.J. (1985) </w:t>
      </w:r>
      <w:r>
        <w:rPr>
          <w:rFonts w:ascii="Times New Roman" w:hAnsi="Times New Roman"/>
        </w:rPr>
        <w:t>‘</w:t>
      </w:r>
      <w:r w:rsidRPr="00644A19">
        <w:rPr>
          <w:rFonts w:ascii="Times New Roman" w:hAnsi="Times New Roman"/>
        </w:rPr>
        <w:t>Easements: Positive Duties on the Servient Owner?</w:t>
      </w:r>
      <w:r>
        <w:rPr>
          <w:rFonts w:ascii="Times New Roman" w:hAnsi="Times New Roman"/>
        </w:rPr>
        <w:t>’,</w:t>
      </w:r>
      <w:r w:rsidRPr="00644A19">
        <w:rPr>
          <w:rFonts w:ascii="Times New Roman" w:hAnsi="Times New Roman"/>
        </w:rPr>
        <w:t xml:space="preserve"> </w:t>
      </w:r>
      <w:r w:rsidRPr="00644A19">
        <w:rPr>
          <w:rFonts w:ascii="Times New Roman" w:hAnsi="Times New Roman"/>
          <w:i/>
        </w:rPr>
        <w:t xml:space="preserve">The Cambridge Law Journal, </w:t>
      </w:r>
      <w:r w:rsidRPr="00644A19">
        <w:rPr>
          <w:rFonts w:ascii="Times New Roman" w:hAnsi="Times New Roman"/>
        </w:rPr>
        <w:t>44(3), pp. 458-476. DOI: https://doi.org/10.1017/S0008197300114941.</w:t>
      </w:r>
    </w:p>
    <w:p w14:paraId="01F19B9D" w14:textId="77777777" w:rsidR="00245A3B" w:rsidRPr="00644A19" w:rsidRDefault="00245A3B" w:rsidP="00245A3B">
      <w:pPr>
        <w:shd w:val="clear" w:color="auto" w:fill="FFFFFF"/>
        <w:spacing w:after="0" w:line="480" w:lineRule="auto"/>
        <w:ind w:left="720" w:hanging="720"/>
        <w:contextualSpacing/>
        <w:jc w:val="both"/>
        <w:rPr>
          <w:rFonts w:ascii="Times New Roman" w:hAnsi="Times New Roman"/>
          <w:color w:val="222222"/>
          <w:shd w:val="clear" w:color="auto" w:fill="FFFFFF"/>
          <w:lang w:val="en-IN"/>
        </w:rPr>
      </w:pPr>
    </w:p>
    <w:p w14:paraId="2CEB7A9A" w14:textId="77777777" w:rsidR="00245A3B" w:rsidRDefault="00245A3B" w:rsidP="00245A3B">
      <w:pPr>
        <w:spacing w:after="0" w:line="480" w:lineRule="auto"/>
        <w:contextualSpacing/>
        <w:jc w:val="both"/>
        <w:rPr>
          <w:rFonts w:ascii="Times New Roman" w:hAnsi="Times New Roman"/>
          <w:b/>
          <w:bCs/>
          <w:lang w:val="en-IN"/>
        </w:rPr>
      </w:pPr>
      <w:r>
        <w:rPr>
          <w:rFonts w:ascii="Times New Roman" w:hAnsi="Times New Roman"/>
          <w:b/>
          <w:bCs/>
          <w:lang w:val="en-IN"/>
        </w:rPr>
        <w:t>Relevant Cases:</w:t>
      </w:r>
    </w:p>
    <w:p w14:paraId="60CB3200" w14:textId="77777777" w:rsidR="00245A3B" w:rsidRDefault="00245A3B" w:rsidP="00245A3B">
      <w:pPr>
        <w:spacing w:after="0" w:line="480" w:lineRule="auto"/>
        <w:contextualSpacing/>
        <w:jc w:val="both"/>
        <w:rPr>
          <w:rFonts w:ascii="Times New Roman" w:hAnsi="Times New Roman"/>
          <w:i/>
        </w:rPr>
      </w:pPr>
      <w:r w:rsidRPr="00644A19">
        <w:rPr>
          <w:rFonts w:ascii="Times New Roman" w:hAnsi="Times New Roman"/>
          <w:i/>
        </w:rPr>
        <w:t>Anchor Brewhouse Developments v Berkley House (Docklands) Developments [1987],</w:t>
      </w:r>
    </w:p>
    <w:p w14:paraId="6E4A027D" w14:textId="77777777" w:rsidR="00245A3B" w:rsidRDefault="00245A3B" w:rsidP="00245A3B">
      <w:pPr>
        <w:spacing w:after="0" w:line="480" w:lineRule="auto"/>
        <w:contextualSpacing/>
        <w:jc w:val="both"/>
        <w:rPr>
          <w:rFonts w:ascii="Times New Roman" w:hAnsi="Times New Roman"/>
          <w:i/>
          <w:iCs/>
          <w:lang w:val="en-GB"/>
        </w:rPr>
      </w:pPr>
      <w:r>
        <w:rPr>
          <w:rFonts w:ascii="Times New Roman" w:hAnsi="Times New Roman"/>
          <w:i/>
          <w:iCs/>
          <w:lang w:val="en-GB"/>
        </w:rPr>
        <w:t>Bakewell Management Brandwood (2004)</w:t>
      </w:r>
    </w:p>
    <w:p w14:paraId="284E631B" w14:textId="77777777" w:rsidR="00245A3B" w:rsidRDefault="00245A3B" w:rsidP="00245A3B">
      <w:pPr>
        <w:spacing w:after="0" w:line="480" w:lineRule="auto"/>
        <w:contextualSpacing/>
        <w:jc w:val="both"/>
        <w:rPr>
          <w:rFonts w:ascii="Times New Roman" w:hAnsi="Times New Roman"/>
          <w:i/>
          <w:iCs/>
          <w:lang w:val="en-GB"/>
        </w:rPr>
      </w:pPr>
      <w:r w:rsidRPr="00644A19">
        <w:rPr>
          <w:rFonts w:ascii="Times New Roman" w:hAnsi="Times New Roman"/>
          <w:i/>
          <w:iCs/>
          <w:lang w:val="en-GB"/>
        </w:rPr>
        <w:t>Dalton v Angus (1881),</w:t>
      </w:r>
    </w:p>
    <w:p w14:paraId="623CD9A6" w14:textId="77777777" w:rsidR="00245A3B" w:rsidRDefault="00245A3B" w:rsidP="00245A3B">
      <w:pPr>
        <w:spacing w:after="0" w:line="480" w:lineRule="auto"/>
        <w:contextualSpacing/>
        <w:jc w:val="both"/>
        <w:rPr>
          <w:rFonts w:ascii="Times New Roman" w:hAnsi="Times New Roman"/>
          <w:i/>
          <w:iCs/>
          <w:lang w:val="en-GB"/>
        </w:rPr>
      </w:pPr>
      <w:r w:rsidRPr="00644A19">
        <w:rPr>
          <w:rFonts w:ascii="Times New Roman" w:hAnsi="Times New Roman"/>
          <w:i/>
          <w:iCs/>
          <w:lang w:val="en-GB"/>
        </w:rPr>
        <w:t>Duke of Norfolk v Arbuthnot</w:t>
      </w:r>
      <w:r>
        <w:rPr>
          <w:rFonts w:ascii="Times New Roman" w:hAnsi="Times New Roman"/>
          <w:i/>
          <w:iCs/>
          <w:lang w:val="en-GB"/>
        </w:rPr>
        <w:t xml:space="preserve"> (1880)</w:t>
      </w:r>
    </w:p>
    <w:p w14:paraId="5376A326" w14:textId="77777777" w:rsidR="00245A3B" w:rsidRDefault="00245A3B" w:rsidP="00245A3B">
      <w:pPr>
        <w:spacing w:after="0" w:line="480" w:lineRule="auto"/>
        <w:contextualSpacing/>
        <w:jc w:val="both"/>
        <w:rPr>
          <w:rFonts w:ascii="Times New Roman" w:hAnsi="Times New Roman"/>
          <w:lang w:val="en-GB"/>
        </w:rPr>
      </w:pPr>
      <w:r w:rsidRPr="00644A19">
        <w:rPr>
          <w:rFonts w:ascii="Times New Roman" w:hAnsi="Times New Roman"/>
          <w:i/>
          <w:iCs/>
          <w:lang w:val="en-GB"/>
        </w:rPr>
        <w:t>Gardner v Hodgson’s Kingston Brewery (1903</w:t>
      </w:r>
      <w:r w:rsidRPr="00644A19">
        <w:rPr>
          <w:rFonts w:ascii="Times New Roman" w:hAnsi="Times New Roman"/>
          <w:lang w:val="en-GB"/>
        </w:rPr>
        <w:t>)</w:t>
      </w:r>
    </w:p>
    <w:p w14:paraId="095DCD96" w14:textId="77777777" w:rsidR="00245A3B" w:rsidRDefault="00245A3B" w:rsidP="00245A3B">
      <w:pPr>
        <w:spacing w:after="0" w:line="480" w:lineRule="auto"/>
        <w:contextualSpacing/>
        <w:jc w:val="both"/>
        <w:rPr>
          <w:rFonts w:ascii="Times New Roman" w:eastAsia="Times New Roman" w:hAnsi="Times New Roman"/>
          <w:i/>
          <w:color w:val="222222"/>
          <w:lang w:val="en-IN" w:eastAsia="en-GB"/>
        </w:rPr>
      </w:pPr>
      <w:r w:rsidRPr="00644A19">
        <w:rPr>
          <w:rFonts w:ascii="Times New Roman" w:eastAsia="Times New Roman" w:hAnsi="Times New Roman"/>
          <w:i/>
          <w:color w:val="222222"/>
          <w:lang w:val="en-IN" w:eastAsia="en-GB"/>
        </w:rPr>
        <w:t>Hollins v Verney [7],</w:t>
      </w:r>
      <w:r>
        <w:rPr>
          <w:rFonts w:ascii="Times New Roman" w:eastAsia="Times New Roman" w:hAnsi="Times New Roman"/>
          <w:i/>
          <w:color w:val="222222"/>
          <w:lang w:val="en-IN" w:eastAsia="en-GB"/>
        </w:rPr>
        <w:t xml:space="preserve"> CA 1884</w:t>
      </w:r>
    </w:p>
    <w:p w14:paraId="6EA4B2BB" w14:textId="77777777" w:rsidR="00245A3B" w:rsidRDefault="00245A3B" w:rsidP="00245A3B">
      <w:pPr>
        <w:spacing w:after="0" w:line="480" w:lineRule="auto"/>
        <w:contextualSpacing/>
        <w:jc w:val="both"/>
        <w:rPr>
          <w:rFonts w:ascii="Times New Roman" w:hAnsi="Times New Roman"/>
          <w:i/>
          <w:iCs/>
          <w:lang w:val="en-GB"/>
        </w:rPr>
      </w:pPr>
      <w:r>
        <w:rPr>
          <w:rFonts w:ascii="Times New Roman" w:hAnsi="Times New Roman"/>
          <w:i/>
          <w:iCs/>
          <w:lang w:val="en-GB"/>
        </w:rPr>
        <w:t>Liverpool Corp v Coghill (1918)</w:t>
      </w:r>
    </w:p>
    <w:p w14:paraId="3F699576" w14:textId="77777777" w:rsidR="00245A3B" w:rsidRDefault="00245A3B" w:rsidP="00245A3B">
      <w:pPr>
        <w:spacing w:after="0" w:line="480" w:lineRule="auto"/>
        <w:contextualSpacing/>
        <w:jc w:val="both"/>
        <w:rPr>
          <w:rFonts w:ascii="Times New Roman" w:hAnsi="Times New Roman"/>
          <w:i/>
          <w:lang w:val="en-IN"/>
        </w:rPr>
      </w:pPr>
      <w:r w:rsidRPr="00644A19">
        <w:rPr>
          <w:rFonts w:ascii="Times New Roman" w:hAnsi="Times New Roman"/>
          <w:i/>
          <w:lang w:val="en-IN"/>
        </w:rPr>
        <w:t>Metropolitan Railway Co v Fowler (1893),</w:t>
      </w:r>
    </w:p>
    <w:p w14:paraId="5097AE80" w14:textId="77777777" w:rsidR="00245A3B" w:rsidRDefault="00245A3B" w:rsidP="00245A3B">
      <w:pPr>
        <w:spacing w:after="0" w:line="480" w:lineRule="auto"/>
        <w:contextualSpacing/>
        <w:jc w:val="both"/>
        <w:rPr>
          <w:rFonts w:ascii="Times New Roman" w:hAnsi="Times New Roman"/>
          <w:i/>
          <w:iCs/>
          <w:lang w:val="en-GB"/>
        </w:rPr>
      </w:pPr>
      <w:r w:rsidRPr="00644A19">
        <w:rPr>
          <w:rFonts w:ascii="Times New Roman" w:hAnsi="Times New Roman"/>
          <w:i/>
          <w:iCs/>
          <w:lang w:val="en-GB"/>
        </w:rPr>
        <w:t>Orme v Lyons (2012)</w:t>
      </w:r>
    </w:p>
    <w:p w14:paraId="660E4E26" w14:textId="77777777" w:rsidR="00245A3B" w:rsidRDefault="00245A3B" w:rsidP="00245A3B">
      <w:pPr>
        <w:spacing w:after="0" w:line="480" w:lineRule="auto"/>
        <w:contextualSpacing/>
        <w:jc w:val="both"/>
        <w:rPr>
          <w:rFonts w:ascii="Times New Roman" w:hAnsi="Times New Roman"/>
          <w:i/>
          <w:iCs/>
        </w:rPr>
      </w:pPr>
      <w:r w:rsidRPr="003A0E70">
        <w:rPr>
          <w:rFonts w:ascii="Times New Roman" w:hAnsi="Times New Roman"/>
          <w:i/>
          <w:iCs/>
        </w:rPr>
        <w:t>Re-</w:t>
      </w:r>
      <w:r w:rsidRPr="00644A19">
        <w:rPr>
          <w:rFonts w:ascii="Times New Roman" w:hAnsi="Times New Roman"/>
          <w:i/>
          <w:iCs/>
        </w:rPr>
        <w:t>Ellenborough Park [1956] CH 131,</w:t>
      </w:r>
    </w:p>
    <w:p w14:paraId="4DD8E5FD" w14:textId="77777777" w:rsidR="00245A3B" w:rsidRPr="002639BD" w:rsidRDefault="00245A3B" w:rsidP="00245A3B">
      <w:pPr>
        <w:spacing w:after="0" w:line="480" w:lineRule="auto"/>
        <w:contextualSpacing/>
        <w:jc w:val="both"/>
        <w:rPr>
          <w:rFonts w:ascii="Times New Roman" w:hAnsi="Times New Roman"/>
          <w:i/>
          <w:iCs/>
        </w:rPr>
      </w:pPr>
      <w:r w:rsidRPr="002639BD">
        <w:rPr>
          <w:rFonts w:ascii="Times New Roman" w:hAnsi="Times New Roman"/>
          <w:i/>
        </w:rPr>
        <w:t xml:space="preserve">Rance V Elvin </w:t>
      </w:r>
      <w:r w:rsidRPr="002639BD">
        <w:rPr>
          <w:rFonts w:ascii="Times New Roman" w:hAnsi="Times New Roman"/>
        </w:rPr>
        <w:t>(1985)</w:t>
      </w:r>
    </w:p>
    <w:p w14:paraId="14FC011E" w14:textId="77777777" w:rsidR="00245A3B" w:rsidRPr="00C95A12" w:rsidRDefault="00245A3B" w:rsidP="00245A3B">
      <w:pPr>
        <w:spacing w:after="0" w:line="480" w:lineRule="auto"/>
        <w:contextualSpacing/>
        <w:jc w:val="both"/>
        <w:rPr>
          <w:rFonts w:ascii="Times New Roman" w:hAnsi="Times New Roman"/>
          <w:b/>
          <w:bCs/>
          <w:lang w:val="en-IN"/>
        </w:rPr>
      </w:pPr>
    </w:p>
    <w:p w14:paraId="22C38616" w14:textId="77777777" w:rsidR="00245A3B" w:rsidRPr="00644A19" w:rsidRDefault="00245A3B" w:rsidP="00245A3B">
      <w:pPr>
        <w:spacing w:after="0" w:line="480" w:lineRule="auto"/>
        <w:contextualSpacing/>
        <w:jc w:val="both"/>
        <w:rPr>
          <w:rFonts w:ascii="Times New Roman" w:hAnsi="Times New Roman"/>
          <w:b/>
          <w:bCs/>
          <w:lang w:val="en-IN"/>
        </w:rPr>
      </w:pPr>
    </w:p>
    <w:p w14:paraId="41FBB795" w14:textId="77777777" w:rsidR="00245A3B" w:rsidRPr="00644A19" w:rsidRDefault="00245A3B" w:rsidP="00245A3B">
      <w:pPr>
        <w:spacing w:after="0" w:line="480" w:lineRule="auto"/>
        <w:ind w:left="360"/>
        <w:contextualSpacing/>
        <w:rPr>
          <w:rFonts w:ascii="Times New Roman" w:hAnsi="Times New Roman"/>
          <w:lang w:val="en-IN"/>
        </w:rPr>
      </w:pPr>
    </w:p>
    <w:p w14:paraId="70BEB4CE" w14:textId="77777777" w:rsidR="00245A3B" w:rsidRPr="00644A19" w:rsidRDefault="00245A3B" w:rsidP="00245A3B">
      <w:pPr>
        <w:spacing w:after="0" w:line="480" w:lineRule="auto"/>
        <w:ind w:left="360"/>
        <w:contextualSpacing/>
        <w:rPr>
          <w:rFonts w:ascii="Times New Roman" w:hAnsi="Times New Roman"/>
          <w:lang w:val="en-IN"/>
        </w:rPr>
      </w:pPr>
    </w:p>
    <w:p w14:paraId="5F2B2F55" w14:textId="77777777" w:rsidR="00245A3B" w:rsidRPr="00D858C2" w:rsidRDefault="00245A3B" w:rsidP="00245A3B">
      <w:pPr>
        <w:spacing w:line="360" w:lineRule="auto"/>
        <w:jc w:val="both"/>
        <w:rPr>
          <w:rFonts w:ascii="Times New Roman" w:hAnsi="Times New Roman"/>
          <w:color w:val="000000" w:themeColor="text1"/>
        </w:rPr>
      </w:pPr>
    </w:p>
    <w:p w14:paraId="16C3AA52" w14:textId="77777777" w:rsidR="00245A3B" w:rsidRPr="00AF795D" w:rsidRDefault="00245A3B" w:rsidP="00245A3B">
      <w:pPr>
        <w:spacing w:line="480" w:lineRule="auto"/>
        <w:jc w:val="both"/>
        <w:rPr>
          <w:rFonts w:ascii="Times New Roman" w:hAnsi="Times New Roman"/>
        </w:rPr>
      </w:pPr>
    </w:p>
    <w:p w14:paraId="2FE44480" w14:textId="6B69C87B" w:rsidR="00DD3F16" w:rsidRPr="00AF795D" w:rsidRDefault="00DD3F16" w:rsidP="00245A3B">
      <w:pPr>
        <w:pStyle w:val="Heading1"/>
        <w:rPr>
          <w:rFonts w:ascii="Times New Roman" w:hAnsi="Times New Roman"/>
        </w:rPr>
      </w:pPr>
    </w:p>
    <w:sectPr w:rsidR="00DD3F16" w:rsidRPr="00AF795D" w:rsidSect="00C42F45">
      <w:headerReference w:type="default" r:id="rId19"/>
      <w:footerReference w:type="default" r:id="rId20"/>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50F2B" w14:textId="77777777" w:rsidR="00C0140D" w:rsidRDefault="00C0140D" w:rsidP="00DB01DD">
      <w:pPr>
        <w:spacing w:after="0" w:line="240" w:lineRule="auto"/>
      </w:pPr>
      <w:r>
        <w:separator/>
      </w:r>
    </w:p>
  </w:endnote>
  <w:endnote w:type="continuationSeparator" w:id="0">
    <w:p w14:paraId="43D8A797" w14:textId="77777777" w:rsidR="00C0140D" w:rsidRDefault="00C0140D"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2E0C1DA" w14:textId="4032A4BE" w:rsidR="009B6E64" w:rsidRDefault="009B6E64">
              <w:pPr>
                <w:pStyle w:val="Footer"/>
                <w:rPr>
                  <w:caps/>
                  <w:color w:val="808080" w:themeColor="background1" w:themeShade="80"/>
                  <w:sz w:val="18"/>
                  <w:szCs w:val="18"/>
                </w:rPr>
              </w:pPr>
              <w:r>
                <w:rPr>
                  <w:caps/>
                  <w:color w:val="808080" w:themeColor="background1" w:themeShade="80"/>
                  <w:sz w:val="18"/>
                  <w:szCs w:val="18"/>
                </w:rPr>
                <w:t>MD R Ahmed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7CE9B" w14:textId="77777777" w:rsidR="00C0140D" w:rsidRDefault="00C0140D" w:rsidP="00DB01DD">
      <w:pPr>
        <w:spacing w:after="0" w:line="240" w:lineRule="auto"/>
      </w:pPr>
      <w:r>
        <w:separator/>
      </w:r>
    </w:p>
  </w:footnote>
  <w:footnote w:type="continuationSeparator" w:id="0">
    <w:p w14:paraId="2D846CB9" w14:textId="77777777" w:rsidR="00C0140D" w:rsidRDefault="00C0140D" w:rsidP="00DB0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E1A" w14:textId="11C432B1" w:rsidR="00273072" w:rsidRDefault="00273072">
    <w:pPr>
      <w:pStyle w:val="Header"/>
    </w:pPr>
  </w:p>
  <w:p w14:paraId="2ED9662D" w14:textId="653196D3" w:rsidR="00273072" w:rsidRDefault="00273072">
    <w:pPr>
      <w:pStyle w:val="Header"/>
    </w:pPr>
  </w:p>
  <w:p w14:paraId="3A740B9F" w14:textId="77777777" w:rsidR="00273072" w:rsidRDefault="002730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027860">
    <w:abstractNumId w:val="0"/>
  </w:num>
  <w:num w:numId="2" w16cid:durableId="1759212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12006"/>
    <w:rsid w:val="00022486"/>
    <w:rsid w:val="00031A0F"/>
    <w:rsid w:val="000419A0"/>
    <w:rsid w:val="0004769A"/>
    <w:rsid w:val="000528DD"/>
    <w:rsid w:val="00064CE4"/>
    <w:rsid w:val="000778BB"/>
    <w:rsid w:val="00083161"/>
    <w:rsid w:val="00084688"/>
    <w:rsid w:val="000916A7"/>
    <w:rsid w:val="00093034"/>
    <w:rsid w:val="000A2FF0"/>
    <w:rsid w:val="000C3DB2"/>
    <w:rsid w:val="000C45BA"/>
    <w:rsid w:val="000D16B0"/>
    <w:rsid w:val="000D3EB0"/>
    <w:rsid w:val="000D535E"/>
    <w:rsid w:val="000E6BD1"/>
    <w:rsid w:val="000F0379"/>
    <w:rsid w:val="00111452"/>
    <w:rsid w:val="00134479"/>
    <w:rsid w:val="001370F8"/>
    <w:rsid w:val="00140E1D"/>
    <w:rsid w:val="00144C76"/>
    <w:rsid w:val="00152884"/>
    <w:rsid w:val="001650C4"/>
    <w:rsid w:val="001700EC"/>
    <w:rsid w:val="00172EC1"/>
    <w:rsid w:val="001769CD"/>
    <w:rsid w:val="00181629"/>
    <w:rsid w:val="0018522C"/>
    <w:rsid w:val="001B04D4"/>
    <w:rsid w:val="001B32AD"/>
    <w:rsid w:val="001D69F0"/>
    <w:rsid w:val="001E5747"/>
    <w:rsid w:val="001F6F81"/>
    <w:rsid w:val="002129DE"/>
    <w:rsid w:val="002164C8"/>
    <w:rsid w:val="00222017"/>
    <w:rsid w:val="00227F68"/>
    <w:rsid w:val="002333FA"/>
    <w:rsid w:val="00233F97"/>
    <w:rsid w:val="00245A3B"/>
    <w:rsid w:val="00252D55"/>
    <w:rsid w:val="00262544"/>
    <w:rsid w:val="002639BD"/>
    <w:rsid w:val="00273072"/>
    <w:rsid w:val="00283F9E"/>
    <w:rsid w:val="00290474"/>
    <w:rsid w:val="0029713F"/>
    <w:rsid w:val="002A0FA0"/>
    <w:rsid w:val="002A3B15"/>
    <w:rsid w:val="002B1F8F"/>
    <w:rsid w:val="002D0F24"/>
    <w:rsid w:val="002E5751"/>
    <w:rsid w:val="002F1DEB"/>
    <w:rsid w:val="002F23A5"/>
    <w:rsid w:val="002F30D7"/>
    <w:rsid w:val="00317001"/>
    <w:rsid w:val="00323843"/>
    <w:rsid w:val="00337937"/>
    <w:rsid w:val="00340E35"/>
    <w:rsid w:val="00344D81"/>
    <w:rsid w:val="00354C42"/>
    <w:rsid w:val="00357783"/>
    <w:rsid w:val="0038159D"/>
    <w:rsid w:val="00386449"/>
    <w:rsid w:val="003874B8"/>
    <w:rsid w:val="003959FD"/>
    <w:rsid w:val="003A05EC"/>
    <w:rsid w:val="003A0E70"/>
    <w:rsid w:val="003A22A4"/>
    <w:rsid w:val="003A5F51"/>
    <w:rsid w:val="003B1303"/>
    <w:rsid w:val="003D20D9"/>
    <w:rsid w:val="003D4A7A"/>
    <w:rsid w:val="003F3263"/>
    <w:rsid w:val="003F45E2"/>
    <w:rsid w:val="003F54FE"/>
    <w:rsid w:val="0041498C"/>
    <w:rsid w:val="00422FEB"/>
    <w:rsid w:val="00425FCC"/>
    <w:rsid w:val="004310D7"/>
    <w:rsid w:val="00433B4C"/>
    <w:rsid w:val="0044098F"/>
    <w:rsid w:val="00441A63"/>
    <w:rsid w:val="00474757"/>
    <w:rsid w:val="004764D2"/>
    <w:rsid w:val="00482CCC"/>
    <w:rsid w:val="00494D1B"/>
    <w:rsid w:val="004A72F6"/>
    <w:rsid w:val="004B1DDE"/>
    <w:rsid w:val="004B21FD"/>
    <w:rsid w:val="004C79BA"/>
    <w:rsid w:val="004D35E1"/>
    <w:rsid w:val="004F0757"/>
    <w:rsid w:val="00507B96"/>
    <w:rsid w:val="00514B9F"/>
    <w:rsid w:val="00540D2F"/>
    <w:rsid w:val="0059198C"/>
    <w:rsid w:val="00592996"/>
    <w:rsid w:val="005A03DE"/>
    <w:rsid w:val="005A218F"/>
    <w:rsid w:val="005A3A55"/>
    <w:rsid w:val="005B2D0E"/>
    <w:rsid w:val="005D3DCB"/>
    <w:rsid w:val="005D52D2"/>
    <w:rsid w:val="006028E6"/>
    <w:rsid w:val="00630C99"/>
    <w:rsid w:val="00636E0A"/>
    <w:rsid w:val="0064333B"/>
    <w:rsid w:val="006442D2"/>
    <w:rsid w:val="00644A19"/>
    <w:rsid w:val="00660D1B"/>
    <w:rsid w:val="006712BC"/>
    <w:rsid w:val="00677BB4"/>
    <w:rsid w:val="00677F43"/>
    <w:rsid w:val="00687A8E"/>
    <w:rsid w:val="006A384E"/>
    <w:rsid w:val="006A44D8"/>
    <w:rsid w:val="006C6F7D"/>
    <w:rsid w:val="006E2178"/>
    <w:rsid w:val="006E67DD"/>
    <w:rsid w:val="006E77A7"/>
    <w:rsid w:val="00712757"/>
    <w:rsid w:val="007417C5"/>
    <w:rsid w:val="007612DA"/>
    <w:rsid w:val="0076285F"/>
    <w:rsid w:val="00774DB2"/>
    <w:rsid w:val="00774F34"/>
    <w:rsid w:val="00785E6A"/>
    <w:rsid w:val="00795AC8"/>
    <w:rsid w:val="007B2C54"/>
    <w:rsid w:val="007B7AE7"/>
    <w:rsid w:val="007D7E7F"/>
    <w:rsid w:val="007E44F6"/>
    <w:rsid w:val="007E5D62"/>
    <w:rsid w:val="007F0677"/>
    <w:rsid w:val="007F286D"/>
    <w:rsid w:val="007F7AA3"/>
    <w:rsid w:val="00805885"/>
    <w:rsid w:val="00821867"/>
    <w:rsid w:val="00830F7F"/>
    <w:rsid w:val="008329E0"/>
    <w:rsid w:val="00835A6A"/>
    <w:rsid w:val="008457F8"/>
    <w:rsid w:val="008527E0"/>
    <w:rsid w:val="008536A5"/>
    <w:rsid w:val="00853F19"/>
    <w:rsid w:val="0086637C"/>
    <w:rsid w:val="00867B96"/>
    <w:rsid w:val="008716CE"/>
    <w:rsid w:val="00875450"/>
    <w:rsid w:val="00875D11"/>
    <w:rsid w:val="008774A0"/>
    <w:rsid w:val="008A352F"/>
    <w:rsid w:val="008D78E4"/>
    <w:rsid w:val="008D7EE4"/>
    <w:rsid w:val="008E0664"/>
    <w:rsid w:val="008F571C"/>
    <w:rsid w:val="00903B6B"/>
    <w:rsid w:val="00905E0D"/>
    <w:rsid w:val="00906362"/>
    <w:rsid w:val="00936BDD"/>
    <w:rsid w:val="009711D3"/>
    <w:rsid w:val="009837BF"/>
    <w:rsid w:val="009A32E0"/>
    <w:rsid w:val="009A7ABE"/>
    <w:rsid w:val="009B6BB9"/>
    <w:rsid w:val="009B6E64"/>
    <w:rsid w:val="009B6F56"/>
    <w:rsid w:val="00A02A47"/>
    <w:rsid w:val="00A12942"/>
    <w:rsid w:val="00A14BAC"/>
    <w:rsid w:val="00A263DC"/>
    <w:rsid w:val="00A26BAE"/>
    <w:rsid w:val="00A364ED"/>
    <w:rsid w:val="00A4166C"/>
    <w:rsid w:val="00A426D8"/>
    <w:rsid w:val="00A46C17"/>
    <w:rsid w:val="00A46F9E"/>
    <w:rsid w:val="00A5080F"/>
    <w:rsid w:val="00A61245"/>
    <w:rsid w:val="00A64075"/>
    <w:rsid w:val="00A67040"/>
    <w:rsid w:val="00A67DB2"/>
    <w:rsid w:val="00A75668"/>
    <w:rsid w:val="00A769A0"/>
    <w:rsid w:val="00A935F0"/>
    <w:rsid w:val="00AA2558"/>
    <w:rsid w:val="00AA3DB7"/>
    <w:rsid w:val="00AB6D0E"/>
    <w:rsid w:val="00AC0CA2"/>
    <w:rsid w:val="00AC1BAA"/>
    <w:rsid w:val="00AC79F4"/>
    <w:rsid w:val="00AD78D7"/>
    <w:rsid w:val="00AD7F83"/>
    <w:rsid w:val="00AE464C"/>
    <w:rsid w:val="00AF795D"/>
    <w:rsid w:val="00B2346E"/>
    <w:rsid w:val="00B24969"/>
    <w:rsid w:val="00B31938"/>
    <w:rsid w:val="00B613FA"/>
    <w:rsid w:val="00B74123"/>
    <w:rsid w:val="00B90362"/>
    <w:rsid w:val="00BA4064"/>
    <w:rsid w:val="00BA5A40"/>
    <w:rsid w:val="00BA5EB1"/>
    <w:rsid w:val="00BA7600"/>
    <w:rsid w:val="00BB2583"/>
    <w:rsid w:val="00BD25D2"/>
    <w:rsid w:val="00BF791D"/>
    <w:rsid w:val="00C0077A"/>
    <w:rsid w:val="00C0140D"/>
    <w:rsid w:val="00C06915"/>
    <w:rsid w:val="00C26745"/>
    <w:rsid w:val="00C372C9"/>
    <w:rsid w:val="00C41EB7"/>
    <w:rsid w:val="00C42F45"/>
    <w:rsid w:val="00C54742"/>
    <w:rsid w:val="00C5474A"/>
    <w:rsid w:val="00C62EB0"/>
    <w:rsid w:val="00C71A70"/>
    <w:rsid w:val="00C769FC"/>
    <w:rsid w:val="00C86EB4"/>
    <w:rsid w:val="00C86F04"/>
    <w:rsid w:val="00C8789D"/>
    <w:rsid w:val="00C903A3"/>
    <w:rsid w:val="00C9074D"/>
    <w:rsid w:val="00C95A12"/>
    <w:rsid w:val="00CA3923"/>
    <w:rsid w:val="00CC41FE"/>
    <w:rsid w:val="00CD420E"/>
    <w:rsid w:val="00CE798C"/>
    <w:rsid w:val="00D216E3"/>
    <w:rsid w:val="00D454AB"/>
    <w:rsid w:val="00D47C9A"/>
    <w:rsid w:val="00D50247"/>
    <w:rsid w:val="00D55CCF"/>
    <w:rsid w:val="00D6456B"/>
    <w:rsid w:val="00D8370C"/>
    <w:rsid w:val="00D94903"/>
    <w:rsid w:val="00DA4D7C"/>
    <w:rsid w:val="00DB01DD"/>
    <w:rsid w:val="00DC19C3"/>
    <w:rsid w:val="00DC1F76"/>
    <w:rsid w:val="00DD270E"/>
    <w:rsid w:val="00DD3F16"/>
    <w:rsid w:val="00DE27EB"/>
    <w:rsid w:val="00DE3C41"/>
    <w:rsid w:val="00DE4A19"/>
    <w:rsid w:val="00DF4F5B"/>
    <w:rsid w:val="00E02D0C"/>
    <w:rsid w:val="00E2659D"/>
    <w:rsid w:val="00E33EF1"/>
    <w:rsid w:val="00E3441B"/>
    <w:rsid w:val="00E42CF1"/>
    <w:rsid w:val="00E47AC6"/>
    <w:rsid w:val="00E505EF"/>
    <w:rsid w:val="00E65C17"/>
    <w:rsid w:val="00E65F3D"/>
    <w:rsid w:val="00E67864"/>
    <w:rsid w:val="00E7340D"/>
    <w:rsid w:val="00E87F7D"/>
    <w:rsid w:val="00E90685"/>
    <w:rsid w:val="00E916CE"/>
    <w:rsid w:val="00E95074"/>
    <w:rsid w:val="00EB140E"/>
    <w:rsid w:val="00EB4696"/>
    <w:rsid w:val="00EB5204"/>
    <w:rsid w:val="00EB68A1"/>
    <w:rsid w:val="00EC2EA9"/>
    <w:rsid w:val="00EC395F"/>
    <w:rsid w:val="00EE3A13"/>
    <w:rsid w:val="00F15A55"/>
    <w:rsid w:val="00F5500E"/>
    <w:rsid w:val="00F56C96"/>
    <w:rsid w:val="00F6053E"/>
    <w:rsid w:val="00F710F0"/>
    <w:rsid w:val="00F724F0"/>
    <w:rsid w:val="00F776E3"/>
    <w:rsid w:val="00F875E4"/>
    <w:rsid w:val="00F912B9"/>
    <w:rsid w:val="00F94E50"/>
    <w:rsid w:val="00FA6B34"/>
    <w:rsid w:val="00FB340A"/>
    <w:rsid w:val="00FC20D3"/>
    <w:rsid w:val="00FE0491"/>
    <w:rsid w:val="00FF0460"/>
    <w:rsid w:val="00FF3657"/>
    <w:rsid w:val="00FF4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paragraph" w:styleId="TOCHeading">
    <w:name w:val="TOC Heading"/>
    <w:basedOn w:val="Heading1"/>
    <w:next w:val="Normal"/>
    <w:uiPriority w:val="39"/>
    <w:semiHidden/>
    <w:unhideWhenUsed/>
    <w:qFormat/>
    <w:rsid w:val="00DD3F16"/>
    <w:pPr>
      <w:spacing w:before="240"/>
      <w:outlineLvl w:val="9"/>
    </w:pPr>
    <w:rPr>
      <w:b w:val="0"/>
      <w:bCs w:val="0"/>
      <w:sz w:val="32"/>
      <w:szCs w:val="32"/>
      <w:lang w:val="en-US"/>
    </w:rPr>
  </w:style>
  <w:style w:type="paragraph" w:styleId="TOC2">
    <w:name w:val="toc 2"/>
    <w:basedOn w:val="Normal"/>
    <w:next w:val="Normal"/>
    <w:autoRedefine/>
    <w:uiPriority w:val="39"/>
    <w:unhideWhenUsed/>
    <w:rsid w:val="00DD3F16"/>
    <w:pPr>
      <w:spacing w:after="100"/>
      <w:ind w:left="220"/>
    </w:pPr>
    <w:rPr>
      <w:rFonts w:asciiTheme="minorHAnsi" w:hAnsiTheme="minorHAnsi" w:cstheme="minorBidi"/>
      <w:sz w:val="22"/>
      <w:szCs w:val="22"/>
      <w:lang w:val="en-IN"/>
    </w:rPr>
  </w:style>
  <w:style w:type="paragraph" w:styleId="FootnoteText">
    <w:name w:val="footnote text"/>
    <w:basedOn w:val="Normal"/>
    <w:link w:val="FootnoteTextChar"/>
    <w:uiPriority w:val="99"/>
    <w:semiHidden/>
    <w:unhideWhenUsed/>
    <w:rsid w:val="00172EC1"/>
    <w:pPr>
      <w:spacing w:after="0" w:line="240" w:lineRule="auto"/>
    </w:pPr>
    <w:rPr>
      <w:rFonts w:asciiTheme="minorHAnsi" w:hAnsiTheme="minorHAnsi" w:cstheme="minorBidi"/>
      <w:sz w:val="20"/>
      <w:szCs w:val="20"/>
      <w:lang w:val="en-GB"/>
    </w:rPr>
  </w:style>
  <w:style w:type="character" w:customStyle="1" w:styleId="FootnoteTextChar">
    <w:name w:val="Footnote Text Char"/>
    <w:basedOn w:val="DefaultParagraphFont"/>
    <w:link w:val="FootnoteText"/>
    <w:uiPriority w:val="99"/>
    <w:semiHidden/>
    <w:rsid w:val="00172EC1"/>
    <w:rPr>
      <w:sz w:val="20"/>
      <w:szCs w:val="20"/>
    </w:rPr>
  </w:style>
  <w:style w:type="character" w:styleId="FootnoteReference">
    <w:name w:val="footnote reference"/>
    <w:basedOn w:val="DefaultParagraphFont"/>
    <w:uiPriority w:val="99"/>
    <w:semiHidden/>
    <w:unhideWhenUsed/>
    <w:rsid w:val="00172EC1"/>
    <w:rPr>
      <w:vertAlign w:val="superscript"/>
    </w:rPr>
  </w:style>
  <w:style w:type="paragraph" w:customStyle="1" w:styleId="cpe2">
    <w:name w:val="cpe2"/>
    <w:basedOn w:val="Normal"/>
    <w:rsid w:val="00E916CE"/>
    <w:pPr>
      <w:spacing w:after="0" w:line="240" w:lineRule="auto"/>
    </w:pPr>
    <w:rPr>
      <w:rFonts w:ascii="Times New Roman" w:eastAsia="Times New Roman" w:hAnsi="Times New Roman"/>
      <w:b/>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282537449">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theme" Target="theme/theme1.xml"/><Relationship Id="rId10" Type="http://schemas.openxmlformats.org/officeDocument/2006/relationships/hyperlink" Target="about:blan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about:blank"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86949"/>
    <w:rsid w:val="00090B41"/>
    <w:rsid w:val="00151D2D"/>
    <w:rsid w:val="00171000"/>
    <w:rsid w:val="00197361"/>
    <w:rsid w:val="001A2DCD"/>
    <w:rsid w:val="001C6CA2"/>
    <w:rsid w:val="00206975"/>
    <w:rsid w:val="002225FD"/>
    <w:rsid w:val="004C7180"/>
    <w:rsid w:val="004E34B6"/>
    <w:rsid w:val="004F268A"/>
    <w:rsid w:val="00533DD8"/>
    <w:rsid w:val="005D4BEB"/>
    <w:rsid w:val="005E1EC4"/>
    <w:rsid w:val="006F7A22"/>
    <w:rsid w:val="00740B00"/>
    <w:rsid w:val="00926E88"/>
    <w:rsid w:val="0094168A"/>
    <w:rsid w:val="009C2783"/>
    <w:rsid w:val="009D232A"/>
    <w:rsid w:val="00A276AD"/>
    <w:rsid w:val="00AC52CC"/>
    <w:rsid w:val="00AF059C"/>
    <w:rsid w:val="00B04CD0"/>
    <w:rsid w:val="00B57BBE"/>
    <w:rsid w:val="00D67AFE"/>
    <w:rsid w:val="00D833FB"/>
    <w:rsid w:val="00DA2D93"/>
    <w:rsid w:val="00DA3081"/>
    <w:rsid w:val="00E210DE"/>
    <w:rsid w:val="00E710AE"/>
    <w:rsid w:val="00E9464B"/>
    <w:rsid w:val="00FC2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TotalTime>
  <Pages>11</Pages>
  <Words>3056</Words>
  <Characters>17421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Assignment: 1 Property law</vt:lpstr>
    </vt:vector>
  </TitlesOfParts>
  <Company/>
  <LinksUpToDate>false</LinksUpToDate>
  <CharactersWithSpaces>20437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Property law</dc:title>
  <dc:subject>Assignment 1: Property Law</dc:subject>
  <dc:creator>MD R Ahmed</dc:creator>
  <cp:keywords/>
  <dc:description/>
  <cp:lastModifiedBy>Md Roshid Ahmed (1922561)</cp:lastModifiedBy>
  <cp:revision>263</cp:revision>
  <cp:lastPrinted>2021-12-06T23:55:00Z</cp:lastPrinted>
  <dcterms:created xsi:type="dcterms:W3CDTF">2021-01-04T14:46:00Z</dcterms:created>
  <dcterms:modified xsi:type="dcterms:W3CDTF">2022-11-11T14:26:00Z</dcterms:modified>
</cp:coreProperties>
</file>