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9749C" w:rsidRDefault="00BF1587">
      <w:pPr>
        <w:pStyle w:val="Body"/>
        <w:spacing w:before="120" w:after="120" w:line="300" w:lineRule="auto"/>
        <w:ind w:firstLine="0"/>
        <w:jc w:val="center"/>
        <w:rPr>
          <w:rFonts w:ascii="Helvetica Neue" w:eastAsia="Helvetica Neue" w:hAnsi="Helvetica Neue" w:cs="Helvetica Neue"/>
        </w:rPr>
      </w:pPr>
      <w:r>
        <w:rPr>
          <w:rFonts w:ascii="Helvetica Neue" w:hAnsi="Helvetica Neue"/>
        </w:rPr>
        <w:t>Social complexity In The Bronze Age Near East, Should This Be Considered A Chiefdom Or A State - Using The Criteria Covered In The Module</w:t>
      </w:r>
    </w:p>
    <w:p w:rsidR="0069749C" w:rsidRDefault="0069749C">
      <w:pPr>
        <w:pStyle w:val="Body"/>
        <w:spacing w:before="120" w:after="120" w:line="300" w:lineRule="auto"/>
        <w:ind w:firstLine="0"/>
        <w:jc w:val="center"/>
        <w:rPr>
          <w:rFonts w:ascii="Helvetica Neue" w:eastAsia="Helvetica Neue" w:hAnsi="Helvetica Neue" w:cs="Helvetica Neue"/>
        </w:rPr>
      </w:pPr>
    </w:p>
    <w:p w:rsidR="0069749C" w:rsidRDefault="00BF1587">
      <w:pPr>
        <w:pStyle w:val="Body"/>
        <w:spacing w:before="120" w:after="120" w:line="300" w:lineRule="auto"/>
        <w:ind w:firstLine="0"/>
        <w:jc w:val="center"/>
        <w:rPr>
          <w:rFonts w:ascii="Helvetica Neue" w:eastAsia="Helvetica Neue" w:hAnsi="Helvetica Neue" w:cs="Helvetica Neue"/>
        </w:rPr>
      </w:pPr>
      <w:r>
        <w:rPr>
          <w:rFonts w:ascii="Helvetica Neue" w:hAnsi="Helvetica Neue"/>
        </w:rPr>
        <w:t>1804572 - Rea, CRJ</w:t>
      </w:r>
    </w:p>
    <w:p w:rsidR="0069749C" w:rsidRDefault="00BF1587">
      <w:pPr>
        <w:pStyle w:val="Body"/>
        <w:spacing w:before="120" w:after="120" w:line="300" w:lineRule="auto"/>
        <w:ind w:firstLine="0"/>
        <w:jc w:val="center"/>
        <w:rPr>
          <w:rFonts w:ascii="Helvetica Neue" w:eastAsia="Helvetica Neue" w:hAnsi="Helvetica Neue" w:cs="Helvetica Neue"/>
        </w:rPr>
      </w:pPr>
      <w:r>
        <w:rPr>
          <w:rFonts w:ascii="Helvetica Neue" w:hAnsi="Helvetica Neue"/>
        </w:rPr>
        <w:t>Dr. Louise Steel</w:t>
      </w:r>
    </w:p>
    <w:p w:rsidR="0069749C" w:rsidRDefault="00BF1587">
      <w:pPr>
        <w:pStyle w:val="Body"/>
        <w:spacing w:before="120" w:after="120" w:line="300" w:lineRule="auto"/>
        <w:ind w:firstLine="0"/>
        <w:jc w:val="center"/>
        <w:rPr>
          <w:rFonts w:ascii="Helvetica Neue" w:eastAsia="Helvetica Neue" w:hAnsi="Helvetica Neue" w:cs="Helvetica Neue"/>
        </w:rPr>
      </w:pPr>
      <w:r>
        <w:rPr>
          <w:rFonts w:ascii="Helvetica Neue" w:hAnsi="Helvetica Neue"/>
        </w:rPr>
        <w:t>23.04.2020</w:t>
      </w: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Contents</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1 Title Page</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2 Contents</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 xml:space="preserve">3 </w:t>
      </w:r>
      <w:r>
        <w:rPr>
          <w:rFonts w:ascii="Helvetica Neue" w:hAnsi="Helvetica Neue"/>
        </w:rPr>
        <w:t>Genetic continuation - Urban Revolution</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4 Principles of ownership</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5 Theocracy</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6 Petrology &amp; placement, concluding remarks</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7 Concluding remarks</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8-10  Bibliography</w:t>
      </w: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lastRenderedPageBreak/>
        <w:t>The Bronze Age Near East (4,400 - 1400 BCE) provides informative, sequential copper alloys, significant petrology typologies, and architectural component parts that are further comprehended by new phylogenetic evidence to be contemporaries of the Uruk whit</w:t>
      </w:r>
      <w:r>
        <w:rPr>
          <w:rFonts w:ascii="Helvetica Neue" w:hAnsi="Helvetica Neue"/>
        </w:rPr>
        <w:t xml:space="preserve">e </w:t>
      </w:r>
      <w:r>
        <w:rPr>
          <w:rFonts w:ascii="Helvetica Neue" w:hAnsi="Helvetica Neue"/>
        </w:rPr>
        <w:t>‘</w:t>
      </w:r>
      <w:r>
        <w:rPr>
          <w:rFonts w:ascii="Helvetica Neue" w:hAnsi="Helvetica Neue"/>
        </w:rPr>
        <w:t>Hochtempel</w:t>
      </w:r>
      <w:r>
        <w:rPr>
          <w:rFonts w:ascii="Helvetica Neue" w:hAnsi="Helvetica Neue"/>
        </w:rPr>
        <w:t xml:space="preserve">’ </w:t>
      </w:r>
      <w:r>
        <w:rPr>
          <w:rFonts w:ascii="Helvetica Neue" w:hAnsi="Helvetica Neue"/>
        </w:rPr>
        <w:t>type.</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 significant genetic continuation evidence is analogous of the competitive display of the resources and labour necessary to build monumental structures of this scale, and can be further observed through principal comparative analysi</w:t>
      </w:r>
      <w:r>
        <w:rPr>
          <w:rFonts w:ascii="Helvetica Neue" w:hAnsi="Helvetica Neue"/>
        </w:rPr>
        <w:t>s (see: Haber et al (2010) &amp; Steel (2011) by Vaskarides, Mazieres and Hadjipanagi et al 7(1): 2016, 9-11).  Therefore, the expansion of the Cypriot Pafos - Ammochostas Chiefdoms into the Troia maritime hegemony presents key finds for consideration.</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 com</w:t>
      </w:r>
      <w:r>
        <w:rPr>
          <w:rFonts w:ascii="Helvetica Neue" w:hAnsi="Helvetica Neue"/>
        </w:rPr>
        <w:t>parative utility of distribution patterns that can be observed throughout the ancient Near East, for example the Kaftari culture of Luristan, is indicative of trade in Cypriot and Armenian Copper chisel types. This significant factor requires further inter</w:t>
      </w:r>
      <w:r>
        <w:rPr>
          <w:rFonts w:ascii="Helvetica Neue" w:hAnsi="Helvetica Neue"/>
        </w:rPr>
        <w:t>pretation and is considered by Frame (37:2010) to be caused into effect by the contrasting evidence for copper alloy tool types. This critical factor (adaptive radiation) means that the permanence and prominence of trans-Caucasian craftsmen and their multi</w:t>
      </w:r>
      <w:r>
        <w:rPr>
          <w:rFonts w:ascii="Helvetica Neue" w:hAnsi="Helvetica Neue"/>
        </w:rPr>
        <w:t xml:space="preserve">ple Bronze Age work-shop sites in Anatolia and Mesopotamia can be as further interpreted through inspirational contextual analyses. </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These useful finds are widely considered to be in accord with the historic Investiture of Shamash, as is known from the Sta</w:t>
      </w:r>
      <w:r>
        <w:rPr>
          <w:rFonts w:ascii="Helvetica Neue" w:hAnsi="Helvetica Neue"/>
        </w:rPr>
        <w:t xml:space="preserve">ndard of Ur (BM 1928 10.10.3) rediscovered by Leonard Woolley at Ur, and can be contrasted against the Victory Stele of Naram Sin (Louvre Sb 4) and basalt Stele of Hummarabi (Louvre Sb 8) as propositioned by </w:t>
      </w:r>
      <w:r>
        <w:rPr>
          <w:rFonts w:ascii="Helvetica Neue" w:hAnsi="Helvetica Neue"/>
          <w:lang w:val="fr-FR"/>
        </w:rPr>
        <w:t>Jacques de Morgan in</w:t>
      </w:r>
      <w:r>
        <w:rPr>
          <w:rFonts w:ascii="Helvetica Neue" w:hAnsi="Helvetica Neue"/>
        </w:rPr>
        <w:t xml:space="preserve"> </w:t>
      </w:r>
      <w:r>
        <w:rPr>
          <w:rFonts w:ascii="Helvetica Neue" w:hAnsi="Helvetica Neue"/>
        </w:rPr>
        <w:t xml:space="preserve">1898 </w:t>
      </w:r>
      <w:r>
        <w:rPr>
          <w:rFonts w:ascii="Helvetica Neue" w:hAnsi="Helvetica Neue"/>
        </w:rPr>
        <w:t>at Susa and is now kno</w:t>
      </w:r>
      <w:r>
        <w:rPr>
          <w:rFonts w:ascii="Helvetica Neue" w:hAnsi="Helvetica Neue"/>
        </w:rPr>
        <w:t xml:space="preserve">wn to be from Sippar (Tell Abu Habbah, Iraq), Drivers &amp; Miles (2:1955)    </w:t>
      </w: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 xml:space="preserve">By looking closer in at the contrasting interacting polities that have been discovered from later Phokia - Smyrna -  Tepe Godin </w:t>
      </w:r>
      <w:r>
        <w:rPr>
          <w:rFonts w:ascii="Helvetica Neue" w:hAnsi="Helvetica Neue"/>
          <w:lang w:val="de-DE"/>
        </w:rPr>
        <w:t>(EBAII-III)</w:t>
      </w:r>
      <w:r>
        <w:rPr>
          <w:rFonts w:ascii="Helvetica Neue" w:hAnsi="Helvetica Neue"/>
        </w:rPr>
        <w:t xml:space="preserve">, regional populations can be subdivided </w:t>
      </w:r>
      <w:r>
        <w:rPr>
          <w:rFonts w:ascii="Helvetica Neue" w:hAnsi="Helvetica Neue"/>
        </w:rPr>
        <w:t>into the distinctive generic selection or characterised by shifts to new levels of competition management, control and subsequent social coherence. As can be observed by the contrasting symmetry applied to the decorated spindle whorls and distaff technolog</w:t>
      </w:r>
      <w:r>
        <w:rPr>
          <w:rFonts w:ascii="Helvetica Neue" w:hAnsi="Helvetica Neue"/>
        </w:rPr>
        <w:t>y of the Indus Valley and elsewhere, this significant matriarchal factor (p.7) is well orientated towards the prehistoric Great Khorasan Road, elsewhere considered to be subjective evidence for the occurrence of domestic use exotic items, for example capri</w:t>
      </w:r>
      <w:r>
        <w:rPr>
          <w:rFonts w:ascii="Helvetica Neue" w:hAnsi="Helvetica Neue"/>
        </w:rPr>
        <w:t xml:space="preserve">ds, cattle and salt. </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 xml:space="preserve">As can observed in the Troia (UNESCO 849:1998) phases II-VI, Aegean society and beyond, the inclusion of the first urban use hearth site makes sense of the use and manipulation thereof specific fuels, such as olive oil and olive wood </w:t>
      </w:r>
      <w:r>
        <w:rPr>
          <w:rFonts w:ascii="Helvetica Neue" w:hAnsi="Helvetica Neue"/>
        </w:rPr>
        <w:t>derived charcoal. This evidence for regional commerce can be contrasted against the conspicuous high handled amphora-rhyton vessel type, retaining informative ceramic data, such as preserved lactose, other lipids and patinas as transported throughout the L</w:t>
      </w:r>
      <w:r>
        <w:rPr>
          <w:rFonts w:ascii="Helvetica Neue" w:hAnsi="Helvetica Neue"/>
        </w:rPr>
        <w:t>evant by the distinctive repertoire of this particular amphora type. The continuity that can be observed identifies that observable longitudinal factors can be further interpreted as evidence for collective social cohesion.  There are of course dynamics of</w:t>
      </w:r>
      <w:r>
        <w:rPr>
          <w:rFonts w:ascii="Helvetica Neue" w:hAnsi="Helvetica Neue"/>
        </w:rPr>
        <w:t xml:space="preserve"> commerce to consider, retaining most likely distinctive although variable traits, alluding to the affects of the political context for planning (Earle 16:1987, 208). </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 xml:space="preserve">Emblematic reciprocity is therefore conspicuous of empirical evidence for the evolution </w:t>
      </w:r>
      <w:r>
        <w:rPr>
          <w:rFonts w:ascii="Helvetica Neue" w:hAnsi="Helvetica Neue"/>
        </w:rPr>
        <w:t xml:space="preserve">of cohesive civilised living; enclosure, defences, access to resources and commodities, monumental buildings and craft specialisations (Maisels 1992).  As there are considerable finds to further consider, by unlocking observable differential data, such as </w:t>
      </w:r>
      <w:r>
        <w:rPr>
          <w:rFonts w:ascii="Helvetica Neue" w:hAnsi="Helvetica Neue"/>
        </w:rPr>
        <w:t>the occurrence of caprid or bovid bone apatite in petrology samples (p. 3-4, 6), transmission between contrasting monumentalism and typology variation, for example the three polished stone axes from the Hoard of Priam (1872) can be applied to practical inv</w:t>
      </w:r>
      <w:r>
        <w:rPr>
          <w:rFonts w:ascii="Helvetica Neue" w:hAnsi="Helvetica Neue"/>
        </w:rPr>
        <w:t xml:space="preserve">estigation.  </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 xml:space="preserve">This critical observation connects the distinctive polygonal plan of other monumental enclosure sites to the significant urban centres of northern Syria and Iraq, primarily established on the control of commodities - such as </w:t>
      </w:r>
      <w:r>
        <w:rPr>
          <w:rFonts w:ascii="Helvetica Neue" w:hAnsi="Helvetica Neue"/>
          <w:lang w:val="it-IT"/>
        </w:rPr>
        <w:t>tin ores</w:t>
      </w:r>
      <w:r>
        <w:rPr>
          <w:rFonts w:ascii="Helvetica Neue" w:hAnsi="Helvetica Neue"/>
        </w:rPr>
        <w:t>, selecti</w:t>
      </w:r>
      <w:r>
        <w:rPr>
          <w:rFonts w:ascii="Helvetica Neue" w:hAnsi="Helvetica Neue"/>
        </w:rPr>
        <w:t>ve breeding for livestock, high yield grains and the technology or secular reforms required for seasonal agrarian planting. This means that the visible economic factors are therefore in accord with the functionalism that is propositioned by the Childe</w:t>
      </w:r>
      <w:r>
        <w:rPr>
          <w:rFonts w:ascii="Helvetica Neue" w:hAnsi="Helvetica Neue"/>
        </w:rPr>
        <w:t>’</w:t>
      </w:r>
      <w:r>
        <w:rPr>
          <w:rFonts w:ascii="Helvetica Neue" w:hAnsi="Helvetica Neue"/>
        </w:rPr>
        <w:t>s te</w:t>
      </w:r>
      <w:r>
        <w:rPr>
          <w:rFonts w:ascii="Helvetica Neue" w:hAnsi="Helvetica Neue"/>
        </w:rPr>
        <w:t>n point model (TPR 21:1950)</w:t>
      </w:r>
    </w:p>
    <w:p w:rsidR="0069749C" w:rsidRDefault="00BF1587">
      <w:pPr>
        <w:pStyle w:val="Body"/>
        <w:spacing w:before="120" w:after="120" w:line="300" w:lineRule="auto"/>
        <w:ind w:firstLine="0"/>
        <w:rPr>
          <w:rFonts w:ascii="Helvetica" w:eastAsia="Helvetica" w:hAnsi="Helvetica" w:cs="Helvetica"/>
        </w:rPr>
      </w:pPr>
      <w:r>
        <w:rPr>
          <w:rFonts w:ascii="Helvetica" w:hAnsi="Helvetica"/>
        </w:rPr>
        <w:t>As propositioned by Bucchuber (59:2009) the linear portico and hearth in the courtyard, located adjacent to the white plastered hall within the north east Megaron at Hisarlik Tell (phase IIc), is a compelling new case for copper</w:t>
      </w:r>
      <w:r>
        <w:rPr>
          <w:rFonts w:ascii="Helvetica" w:hAnsi="Helvetica"/>
        </w:rPr>
        <w:t xml:space="preserve"> alloy bracelet and pin typology analysis. These important finds are considered to be in accord with the formidable Ebla (Idlib Province, Northern Syria) stratigraphy, and can be further contrasted against the Troy IIb gold, gilt-silver and pottery Depas a</w:t>
      </w:r>
      <w:r>
        <w:rPr>
          <w:rFonts w:ascii="Helvetica" w:hAnsi="Helvetica"/>
        </w:rPr>
        <w:t>mphikypelon and other wheel thrown pottery types.</w:t>
      </w:r>
    </w:p>
    <w:p w:rsidR="0069749C" w:rsidRDefault="00BF1587">
      <w:pPr>
        <w:pStyle w:val="Body"/>
        <w:spacing w:before="120" w:after="120" w:line="300" w:lineRule="auto"/>
        <w:ind w:firstLine="0"/>
        <w:rPr>
          <w:rFonts w:ascii="Helvetica" w:eastAsia="Helvetica" w:hAnsi="Helvetica" w:cs="Helvetica"/>
        </w:rPr>
      </w:pPr>
      <w:r>
        <w:rPr>
          <w:rFonts w:ascii="Helvetica" w:hAnsi="Helvetica"/>
        </w:rPr>
        <w:t>Thus, the northern Levant regional pottery vessel typologies, such as the Rhyton and subsequent diagnostic slip and interstices as admixture data can be contrasted against the conspicuous occurrence of othe</w:t>
      </w:r>
      <w:r>
        <w:rPr>
          <w:rFonts w:ascii="Helvetica" w:hAnsi="Helvetica"/>
        </w:rPr>
        <w:t>r stylistic finds, for example the wide ranging animistic - anthropometric clay model projections and cuneiform script transmission as is known from Ebla (Tell Mardikh - Idlib, n.Syria). This archaeology is first observed by Hogarth in 1908 and is formally</w:t>
      </w:r>
      <w:r>
        <w:rPr>
          <w:rFonts w:ascii="Helvetica" w:hAnsi="Helvetica"/>
        </w:rPr>
        <w:t xml:space="preserve"> characterised by Blegen (1932-9).</w:t>
      </w:r>
    </w:p>
    <w:p w:rsidR="0069749C" w:rsidRDefault="00BF1587">
      <w:pPr>
        <w:pStyle w:val="Body"/>
        <w:spacing w:before="120" w:after="120" w:line="300" w:lineRule="auto"/>
        <w:ind w:firstLine="0"/>
        <w:rPr>
          <w:rFonts w:ascii="Helvetica" w:eastAsia="Helvetica" w:hAnsi="Helvetica" w:cs="Helvetica"/>
        </w:rPr>
      </w:pPr>
      <w:r>
        <w:rPr>
          <w:rFonts w:ascii="Helvetica" w:hAnsi="Helvetica"/>
        </w:rPr>
        <w:t>How do the chronologies as evidence for social cohesion identify a sense of empirical continuity ?</w:t>
      </w:r>
    </w:p>
    <w:p w:rsidR="0069749C" w:rsidRDefault="0069749C">
      <w:pPr>
        <w:pStyle w:val="Body"/>
        <w:spacing w:before="120" w:after="120" w:line="300" w:lineRule="auto"/>
        <w:ind w:firstLine="0"/>
        <w:rPr>
          <w:rFonts w:ascii="Helvetica" w:eastAsia="Helvetica" w:hAnsi="Helvetica" w:cs="Helvetica"/>
        </w:rPr>
      </w:pPr>
    </w:p>
    <w:p w:rsidR="0069749C" w:rsidRDefault="00BF1587">
      <w:pPr>
        <w:pStyle w:val="Body"/>
        <w:spacing w:before="120" w:after="120" w:line="300" w:lineRule="auto"/>
        <w:ind w:firstLine="0"/>
        <w:rPr>
          <w:rFonts w:ascii="Helvetica" w:eastAsia="Helvetica" w:hAnsi="Helvetica" w:cs="Helvetica"/>
        </w:rPr>
      </w:pPr>
      <w:r>
        <w:rPr>
          <w:rFonts w:ascii="Helvetica" w:hAnsi="Helvetica"/>
        </w:rPr>
        <w:t>Most likely the occurrence of specific high status material culture finds, such as the Pyxis container is further compara</w:t>
      </w:r>
      <w:r>
        <w:rPr>
          <w:rFonts w:ascii="Helvetica" w:hAnsi="Helvetica"/>
        </w:rPr>
        <w:t>tive evidence for social identity and social stratification. The kinships, social networks and social differentiation that is administered through the cumulative evidence for contrasting social complexity therefore makes a strong case for the in-situ affor</w:t>
      </w:r>
      <w:r>
        <w:rPr>
          <w:rFonts w:ascii="Helvetica" w:hAnsi="Helvetica"/>
        </w:rPr>
        <w:t>dances, such as the ethnography and exchange networks preserved at Thermi, Troy,  Beycesultan and Karatas.</w:t>
      </w:r>
    </w:p>
    <w:p w:rsidR="0069749C" w:rsidRDefault="00BF1587">
      <w:pPr>
        <w:pStyle w:val="Body"/>
        <w:spacing w:before="120" w:after="120" w:line="300" w:lineRule="auto"/>
        <w:ind w:firstLine="0"/>
        <w:rPr>
          <w:rFonts w:ascii="Helvetica" w:eastAsia="Helvetica" w:hAnsi="Helvetica" w:cs="Helvetica"/>
        </w:rPr>
      </w:pPr>
      <w:r>
        <w:rPr>
          <w:rFonts w:ascii="Helvetica" w:hAnsi="Helvetica"/>
        </w:rPr>
        <w:t>Thus, principles of ownership as verifiable trends in the socio-political development of the Levant is made clear. The presence of inter-regional con</w:t>
      </w:r>
      <w:r>
        <w:rPr>
          <w:rFonts w:ascii="Helvetica" w:hAnsi="Helvetica"/>
        </w:rPr>
        <w:t>tacts between chiefdoms - as first identified at Hisarilik Tell by Calvert, Schliemann D</w:t>
      </w:r>
      <w:r>
        <w:rPr>
          <w:rFonts w:ascii="Helvetica" w:hAnsi="Helvetica"/>
        </w:rPr>
        <w:t>ö</w:t>
      </w:r>
      <w:r>
        <w:rPr>
          <w:rFonts w:ascii="Helvetica" w:hAnsi="Helvetica"/>
        </w:rPr>
        <w:t xml:space="preserve">rpfeld (1872) and Wilburg (1888-90) positions stratigraphy within a historic panorama illustration (identifying sequence phases II - VI). This review projects </w:t>
      </w:r>
      <w:r>
        <w:rPr>
          <w:rFonts w:ascii="Helvetica" w:hAnsi="Helvetica"/>
        </w:rPr>
        <w:t>significant find locations and architectural components that are comparable to Bronze Age Uruk (Heidelberg 2002)</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 contrasting Argolid phase 1 shaft graves from Mycenae that are retained by a conspicuous corbelled or vaulted chamber or Tholos (Blegen 193</w:t>
      </w:r>
      <w:r>
        <w:rPr>
          <w:rFonts w:ascii="Helvetica Neue" w:hAnsi="Helvetica Neue"/>
        </w:rPr>
        <w:t>9) further identifies the Chiefdoms of the northern Aegean in accord with the disambiguous compositions observed in-situ. This factor, as evidence for centralised decision making, is appropriately displayed by the significant three gold rings from the Grif</w:t>
      </w:r>
      <w:r>
        <w:rPr>
          <w:rFonts w:ascii="Helvetica Neue" w:hAnsi="Helvetica Neue"/>
        </w:rPr>
        <w:t>fin Warrior tomb at Pylos (see: The Palace of Nestor Excavation by Stocker &amp; Davis 2015).</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As identified by the social theorist Thorstein Veblen (1857 - 1929) in 1899, monumentalism constructs regional trends through evidence for incremental proliferation (</w:t>
      </w:r>
      <w:r>
        <w:rPr>
          <w:rFonts w:ascii="Helvetica Neue" w:hAnsi="Helvetica Neue"/>
        </w:rPr>
        <w:t>After: Childe 21:1950,11-15). This significant factor is arguably evidence for social inequality or social cohesion, the dichotomy is further defined by parallel phenomena, such as access to and control of specific resources, as can be correlated against t</w:t>
      </w:r>
      <w:r>
        <w:rPr>
          <w:rFonts w:ascii="Helvetica Neue" w:hAnsi="Helvetica Neue"/>
        </w:rPr>
        <w:t>he substantial Aigina (Cyclades) and Cypriot metallurgy.</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Therefore, commodities composition, as differential evidence is clear data for making sense of Chiefdoms and their moities structure, for example as the economics of internecine warfare. This signify</w:t>
      </w:r>
      <w:r>
        <w:rPr>
          <w:rFonts w:ascii="Helvetica Neue" w:hAnsi="Helvetica Neue"/>
        </w:rPr>
        <w:t>ing factor is well attested by the primary mtDNA generic references from modern day Cyprus (Kyrenia - Nicosia - Pafos - Limassol - Larnaka - Famagusta), making sense of prehistoric contextual composition (Akrotiri - Aetokremnos; Anatolia -  Balkans - Danub</w:t>
      </w:r>
      <w:r>
        <w:rPr>
          <w:rFonts w:ascii="Helvetica Neue" w:hAnsi="Helvetica Neue"/>
        </w:rPr>
        <w:t xml:space="preserve">e - Greece - Caucasus - Crete - Italy - Levant). </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 contemporary finds and distribution patterns (Lebanon - Iraq - Baghdad - Egypt - Susa - Indus Valley) can be further observed through the evidence for stratified radiation of typologies, caused into eff</w:t>
      </w:r>
      <w:r>
        <w:rPr>
          <w:rFonts w:ascii="Helvetica Neue" w:hAnsi="Helvetica Neue"/>
        </w:rPr>
        <w:t>ect and manipulated by the centralised hierarchies of the ancient Near East.</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Therefore, evidence for monumental continuity is administered through distinctive construction phases, for example the later occurrence of ashlar and conglomerate masonry at Mycen</w:t>
      </w:r>
      <w:r>
        <w:rPr>
          <w:rFonts w:ascii="Helvetica Neue" w:hAnsi="Helvetica Neue"/>
        </w:rPr>
        <w:t>ae (Tomb of Aigisthos, Lion Tomb of Mycenae, Katos Phornos), widely considered to be evidence for sociopolitical differentiation.</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 Babylonian type iconography engraved onto the three gold rings further administers competitive display as directly influen</w:t>
      </w:r>
      <w:r>
        <w:rPr>
          <w:rFonts w:ascii="Helvetica Neue" w:hAnsi="Helvetica Neue"/>
        </w:rPr>
        <w:t>ced by technologically distinctive Levant antecedents, contrasted against the later Treasury of Atreus and Tomb of Klytemenestra. By connecting the comparative exploitation of the Argive Plain to the significant economic and agrarian narrative of the criti</w:t>
      </w:r>
      <w:r>
        <w:rPr>
          <w:rFonts w:ascii="Helvetica Neue" w:hAnsi="Helvetica Neue"/>
        </w:rPr>
        <w:t>cal south west Peloponnese, the evolution of the elite monuments of power and enclosure causes into effect the eventual urban evolution of Sahlin</w:t>
      </w:r>
      <w:r>
        <w:rPr>
          <w:rFonts w:ascii="Helvetica Neue" w:hAnsi="Helvetica Neue"/>
        </w:rPr>
        <w:t>’</w:t>
      </w:r>
      <w:r>
        <w:rPr>
          <w:rFonts w:ascii="Helvetica Neue" w:hAnsi="Helvetica Neue"/>
        </w:rPr>
        <w:t xml:space="preserve">s four levels of stratification: the visible state subdivisions (1977);  </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1.theocratic</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2.militaristic</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3.group orientated</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4.individualising</w:t>
      </w:r>
    </w:p>
    <w:p w:rsidR="0069749C" w:rsidRDefault="0069749C">
      <w:pPr>
        <w:pStyle w:val="Body"/>
        <w:spacing w:before="120" w:after="120" w:line="300" w:lineRule="auto"/>
        <w:ind w:firstLine="0"/>
        <w:rPr>
          <w:rFonts w:ascii="Helvetica Neue" w:eastAsia="Helvetica Neue" w:hAnsi="Helvetica Neue" w:cs="Helvetica Neue"/>
        </w:rPr>
      </w:pP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To conclude, the longevity of the Aegean Thalassocracy or maritime culture looks closer in at the Argolid socio-political construct (Fitzsimmons 2011), making sense of the evidence for collective memory at Phanaglia, P</w:t>
      </w:r>
      <w:r>
        <w:rPr>
          <w:rFonts w:ascii="Helvetica Neue" w:hAnsi="Helvetica Neue"/>
        </w:rPr>
        <w:t>rosymna and Berbati.</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 xml:space="preserve">Thus, the construction and decline of the first palatial megaron (Troy VI) is contrasted against modern maritime commerce, as can be identified by the Chinese </w:t>
      </w:r>
      <w:r>
        <w:rPr>
          <w:rFonts w:ascii="Helvetica Neue" w:hAnsi="Helvetica Neue"/>
        </w:rPr>
        <w:t>‘</w:t>
      </w:r>
      <w:r>
        <w:rPr>
          <w:rFonts w:ascii="Helvetica Neue" w:hAnsi="Helvetica Neue"/>
        </w:rPr>
        <w:t>String Of Pearls</w:t>
      </w:r>
      <w:r>
        <w:rPr>
          <w:rFonts w:ascii="Helvetica Neue" w:hAnsi="Helvetica Neue"/>
        </w:rPr>
        <w:t xml:space="preserve">’ </w:t>
      </w:r>
      <w:r>
        <w:rPr>
          <w:rFonts w:ascii="Helvetica Neue" w:hAnsi="Helvetica Neue"/>
        </w:rPr>
        <w:t>ports in the straits of Corinth, Mediterranean (Ashkelon)</w:t>
      </w:r>
      <w:r>
        <w:rPr>
          <w:rFonts w:ascii="Helvetica Neue" w:hAnsi="Helvetica Neue"/>
        </w:rPr>
        <w:t>, Red Sea and Gulf of Aden littorals.</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 emerging interacting polities that are controlled in part by centralised authorities, as political ideologues (the developing G4-5 network) on regional populations is further evidence for new levels of integration.</w:t>
      </w:r>
      <w:r>
        <w:rPr>
          <w:rFonts w:ascii="Helvetica Neue" w:hAnsi="Helvetica Neue"/>
        </w:rPr>
        <w:t xml:space="preserve"> This </w:t>
      </w:r>
      <w:r>
        <w:rPr>
          <w:rFonts w:ascii="Helvetica Neue" w:hAnsi="Helvetica Neue"/>
        </w:rPr>
        <w:t>‘</w:t>
      </w:r>
      <w:r>
        <w:rPr>
          <w:rFonts w:ascii="Helvetica Neue" w:hAnsi="Helvetica Neue"/>
        </w:rPr>
        <w:t>new technology</w:t>
      </w:r>
      <w:r>
        <w:rPr>
          <w:rFonts w:ascii="Helvetica Neue" w:hAnsi="Helvetica Neue"/>
        </w:rPr>
        <w:t xml:space="preserve">’ </w:t>
      </w:r>
      <w:r>
        <w:rPr>
          <w:rFonts w:ascii="Helvetica Neue" w:hAnsi="Helvetica Neue"/>
        </w:rPr>
        <w:t>is of value regarding the comparative dynamic of access to the commodities and resources of the historic Levant. Therefore, the expression and maintenance of prominent subsistence economies broadly reflects local variation, retaining</w:t>
      </w:r>
      <w:r>
        <w:rPr>
          <w:rFonts w:ascii="Helvetica Neue" w:hAnsi="Helvetica Neue"/>
        </w:rPr>
        <w:t xml:space="preserve"> a greater emphasis on matriarchal </w:t>
      </w:r>
      <w:r>
        <w:rPr>
          <w:rFonts w:ascii="Helvetica Neue" w:hAnsi="Helvetica Neue"/>
        </w:rPr>
        <w:t>‘</w:t>
      </w:r>
      <w:r>
        <w:rPr>
          <w:rFonts w:ascii="Helvetica Neue" w:hAnsi="Helvetica Neue"/>
        </w:rPr>
        <w:t>tethered</w:t>
      </w:r>
      <w:r>
        <w:rPr>
          <w:rFonts w:ascii="Helvetica Neue" w:hAnsi="Helvetica Neue"/>
        </w:rPr>
        <w:t xml:space="preserve">’  </w:t>
      </w:r>
      <w:r>
        <w:rPr>
          <w:rFonts w:ascii="Helvetica Neue" w:hAnsi="Helvetica Neue"/>
        </w:rPr>
        <w:t>pastoralism.</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As there is further supporting evidence to consider regarding the occurrence of the polished axe heads identified by Calvert and Schliemann (1873), distinctions between tempered fabrics containing</w:t>
      </w:r>
      <w:r>
        <w:rPr>
          <w:rFonts w:ascii="Helvetica Neue" w:hAnsi="Helvetica Neue"/>
        </w:rPr>
        <w:t xml:space="preserve"> shale, bone or rock inclusions continue to inspire.  It has been shown elsewhere by Cleary (1984) and Hulth</w:t>
      </w:r>
      <w:r>
        <w:rPr>
          <w:rFonts w:ascii="Helvetica Neue" w:hAnsi="Helvetica Neue"/>
          <w:lang w:val="fr-FR"/>
        </w:rPr>
        <w:t>é</w:t>
      </w:r>
      <w:r>
        <w:rPr>
          <w:rFonts w:ascii="Helvetica Neue" w:hAnsi="Helvetica Neue"/>
        </w:rPr>
        <w:t>n (1984)</w:t>
      </w:r>
      <w:r>
        <w:rPr>
          <w:rFonts w:ascii="Helvetica Neue" w:hAnsi="Helvetica Neue"/>
        </w:rPr>
        <w:t xml:space="preserve"> at the contemporary sites of Carrowmore, Creevykeel, Lough Gur and critically at prehistoric Telemark and Vestfold that the bone inclusion</w:t>
      </w:r>
      <w:r>
        <w:rPr>
          <w:rFonts w:ascii="Helvetica Neue" w:hAnsi="Helvetica Neue"/>
        </w:rPr>
        <w:t>s of the pan-European and distinctive Kesselyk vessel type are quite separate from the votive or earlier LBK vessels ((After: Darvill (1983) and Cleal (1992 ed. by Sharples &amp; Sheridan) ed. by Cleal &amp; Pollard 2004, 174 figure 5 and 199 figure 2)</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Thus, a com</w:t>
      </w:r>
      <w:r>
        <w:rPr>
          <w:rFonts w:ascii="Helvetica Neue" w:hAnsi="Helvetica Neue"/>
        </w:rPr>
        <w:t>parative analysis of the stratified or sectional evidence and hard finds, such as the orthostat feature that is well known from Troy stratum VIIb corresponds to further evidence for the Period II Temple complex, making sense of the conspicuous occurrence a</w:t>
      </w:r>
      <w:r>
        <w:rPr>
          <w:rFonts w:ascii="Helvetica Neue" w:hAnsi="Helvetica Neue"/>
        </w:rPr>
        <w:t>nd composition thereof white painted wares from stratum I-II (see: Thayer, M. ed. by Pervika, Rose and Joblonka 29(8):2009). The wider chronology for centralisation and control in the Levant (p.1) can thus be scrutinised for Northern European comparisons a</w:t>
      </w:r>
      <w:r>
        <w:rPr>
          <w:rFonts w:ascii="Helvetica Neue" w:hAnsi="Helvetica Neue"/>
        </w:rPr>
        <w:t>t Thermi, Beycesultan and Karatas.</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Therefore, bone tempered, organic, rock and shell tempered differentiations are of value, relevant to further considerations applied to the socially complex Chiefdoms observed throughout the Levant (After: Harpster 2019)</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As the stratified layering of the south west sectors at Troy has been destroyed by fire (stratum VI-VII), the central evidence for an axial foundation trench (south east or north west of the topographical setting) requires that the transverse portico, hear</w:t>
      </w:r>
      <w:r>
        <w:rPr>
          <w:rFonts w:ascii="Helvetica Neue" w:hAnsi="Helvetica Neue"/>
        </w:rPr>
        <w:t>th and courtyard features are subjected to spacial interpretation. The evidence for integration into society can thus be observed as adjacent features to the surrounding landscape as distinctive axial factors.</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It is clear that by reconnecting to the linear</w:t>
      </w:r>
      <w:r>
        <w:rPr>
          <w:rFonts w:ascii="Helvetica Neue" w:hAnsi="Helvetica Neue"/>
        </w:rPr>
        <w:t xml:space="preserve">ity known from Babylos - Troy, the contemporary UK and French support for modern chiefdoms - driving forward hard won pioneering statesmanship and diplomacy - beyond colonialism in, for example the Maghreb, is markedly contrasted against new in-situ </w:t>
      </w:r>
      <w:r>
        <w:rPr>
          <w:rFonts w:ascii="Helvetica Neue" w:hAnsi="Helvetica Neue"/>
        </w:rPr>
        <w:t>‘</w:t>
      </w:r>
      <w:r>
        <w:rPr>
          <w:rFonts w:ascii="Helvetica Neue" w:hAnsi="Helvetica Neue"/>
        </w:rPr>
        <w:t>power</w:t>
      </w:r>
      <w:r>
        <w:rPr>
          <w:rFonts w:ascii="Helvetica Neue" w:hAnsi="Helvetica Neue"/>
        </w:rPr>
        <w:t xml:space="preserve"> brokers</w:t>
      </w:r>
      <w:r>
        <w:rPr>
          <w:rFonts w:ascii="Helvetica Neue" w:hAnsi="Helvetica Neue"/>
        </w:rPr>
        <w:t>’</w:t>
      </w:r>
      <w:r>
        <w:rPr>
          <w:rFonts w:ascii="Helvetica Neue" w:hAnsi="Helvetica Neue"/>
        </w:rPr>
        <w:t xml:space="preserve">. These establishing new Chiefdoms affect in-situ social perspectives, visibly measured against observable matriarchal </w:t>
      </w:r>
      <w:r>
        <w:rPr>
          <w:rFonts w:ascii="Helvetica Neue" w:hAnsi="Helvetica Neue"/>
        </w:rPr>
        <w:t>‘</w:t>
      </w:r>
      <w:r>
        <w:rPr>
          <w:rFonts w:ascii="Helvetica Neue" w:hAnsi="Helvetica Neue"/>
        </w:rPr>
        <w:t>rites of passage</w:t>
      </w:r>
      <w:r>
        <w:rPr>
          <w:rFonts w:ascii="Helvetica Neue" w:hAnsi="Helvetica Neue"/>
        </w:rPr>
        <w:t>’</w:t>
      </w:r>
      <w:r>
        <w:rPr>
          <w:rFonts w:ascii="Helvetica Neue" w:hAnsi="Helvetica Neue"/>
        </w:rPr>
        <w:t xml:space="preserve">. </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The revealing cohesion in-situ is less apparent, variations in comparable carinated pot fabric, spectra inc</w:t>
      </w:r>
      <w:r>
        <w:rPr>
          <w:rFonts w:ascii="Helvetica Neue" w:hAnsi="Helvetica Neue"/>
        </w:rPr>
        <w:t xml:space="preserve">lusions, repertoire and degrees of erosion of the contrasting </w:t>
      </w:r>
      <w:r>
        <w:rPr>
          <w:rFonts w:ascii="Helvetica Neue" w:hAnsi="Helvetica Neue"/>
        </w:rPr>
        <w:t>‘</w:t>
      </w:r>
      <w:r>
        <w:rPr>
          <w:rFonts w:ascii="Helvetica Neue" w:hAnsi="Helvetica Neue"/>
        </w:rPr>
        <w:t>domestic</w:t>
      </w:r>
      <w:r>
        <w:rPr>
          <w:rFonts w:ascii="Helvetica Neue" w:hAnsi="Helvetica Neue"/>
        </w:rPr>
        <w:t xml:space="preserve">’ </w:t>
      </w:r>
      <w:r>
        <w:rPr>
          <w:rFonts w:ascii="Helvetica Neue" w:hAnsi="Helvetica Neue"/>
        </w:rPr>
        <w:t>and votive vessel typologies requires mediating commentary.</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This factor is well known from the later Roman period contexts at Troy by the occurrence of the long ranging Berenice (Beng</w:t>
      </w:r>
      <w:r>
        <w:rPr>
          <w:rFonts w:ascii="Helvetica Neue" w:hAnsi="Helvetica Neue"/>
        </w:rPr>
        <w:t>hazi) amphora type (stratum VIII-IX). Thus, the emerging stratigraphical evidence for in-situ agrarian contexts is now required as subjective evidence for socio-political differentiations.</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Social complexity in the</w:t>
      </w:r>
      <w:r>
        <w:rPr>
          <w:rFonts w:ascii="Helvetica Neue" w:hAnsi="Helvetica Neue"/>
          <w:lang w:val="nl-NL"/>
        </w:rPr>
        <w:t xml:space="preserve"> Bronze Age </w:t>
      </w:r>
      <w:r>
        <w:rPr>
          <w:rFonts w:ascii="Helvetica Neue" w:hAnsi="Helvetica Neue"/>
        </w:rPr>
        <w:t xml:space="preserve">Near East is therefore </w:t>
      </w:r>
      <w:r>
        <w:rPr>
          <w:rFonts w:ascii="Helvetica Neue" w:hAnsi="Helvetica Neue"/>
        </w:rPr>
        <w:t>based on the evidence for commerce, and is considered to be caused into effect by chiefdoms controlled by the interacting polities of state formation and decline (Bachhuber 59:2009)</w:t>
      </w:r>
    </w:p>
    <w:p w:rsidR="0069749C" w:rsidRDefault="00BF1587">
      <w:pPr>
        <w:pStyle w:val="Body"/>
        <w:spacing w:before="120" w:after="120" w:line="300" w:lineRule="auto"/>
        <w:ind w:firstLine="0"/>
        <w:rPr>
          <w:rFonts w:ascii="Helvetica Neue" w:eastAsia="Helvetica Neue" w:hAnsi="Helvetica Neue" w:cs="Helvetica Neue"/>
        </w:rPr>
      </w:pPr>
      <w:r>
        <w:rPr>
          <w:rFonts w:ascii="Helvetica Neue" w:hAnsi="Helvetica Neue"/>
        </w:rPr>
        <w:t xml:space="preserve">Word count: </w:t>
      </w:r>
      <w:r>
        <w:rPr>
          <w:rFonts w:ascii="Helvetica Neue" w:hAnsi="Helvetica Neue"/>
          <w:b/>
          <w:bCs/>
        </w:rPr>
        <w:t>1,994</w:t>
      </w:r>
      <w:r>
        <w:rPr>
          <w:rFonts w:ascii="Helvetica Neue" w:hAnsi="Helvetica Neue"/>
        </w:rPr>
        <w:t xml:space="preserve"> Bibliography</w:t>
      </w:r>
    </w:p>
    <w:p w:rsidR="0069749C" w:rsidRDefault="0069749C">
      <w:pPr>
        <w:pStyle w:val="Body"/>
        <w:rPr>
          <w:rFonts w:ascii="Helvetica" w:eastAsia="Helvetica" w:hAnsi="Helvetica" w:cs="Helvetica"/>
        </w:rPr>
      </w:pPr>
    </w:p>
    <w:p w:rsidR="0069749C" w:rsidRDefault="00BF1587">
      <w:pPr>
        <w:pStyle w:val="Body"/>
        <w:bidi/>
        <w:jc w:val="right"/>
        <w:rPr>
          <w:rFonts w:ascii="Helvetica" w:eastAsia="Helvetica" w:hAnsi="Helvetica" w:cs="Helvetica"/>
          <w:rtl/>
        </w:rPr>
      </w:pPr>
      <w:r>
        <w:rPr>
          <w:rFonts w:ascii="Helvetica" w:hAnsi="Helvetica"/>
        </w:rPr>
        <w:t xml:space="preserve">Darvill, T. (1983) The Neolithic Of Wales </w:t>
      </w:r>
      <w:r>
        <w:rPr>
          <w:rFonts w:ascii="Helvetica" w:hAnsi="Helvetica"/>
        </w:rPr>
        <w:t xml:space="preserve">And The Mid-West Of England: A Systematic Analysis Of Social Change Through The Application Of Action Theory University Of Southampton </w:t>
      </w:r>
    </w:p>
    <w:p w:rsidR="0069749C" w:rsidRDefault="0069749C">
      <w:pPr>
        <w:pStyle w:val="Body"/>
        <w:bidi/>
        <w:jc w:val="right"/>
        <w:rPr>
          <w:rFonts w:ascii="Helvetica" w:eastAsia="Helvetica" w:hAnsi="Helvetica" w:cs="Helvetica"/>
          <w:rtl/>
        </w:rPr>
      </w:pPr>
    </w:p>
    <w:p w:rsidR="0069749C" w:rsidRDefault="00BF1587">
      <w:pPr>
        <w:pStyle w:val="Body"/>
        <w:bidi/>
        <w:jc w:val="right"/>
        <w:rPr>
          <w:rFonts w:ascii="Helvetica" w:eastAsia="Helvetica" w:hAnsi="Helvetica" w:cs="Helvetica"/>
          <w:rtl/>
        </w:rPr>
      </w:pPr>
      <w:r>
        <w:rPr>
          <w:rFonts w:ascii="Helvetica" w:hAnsi="Helvetica"/>
        </w:rPr>
        <w:t xml:space="preserve">Cleal, R.M.J. (1992)   Significant Form: Ceramic Styles In The Earlier Neolithic Of Southern England in Sharples, N. &amp; </w:t>
      </w:r>
      <w:r>
        <w:rPr>
          <w:rFonts w:ascii="Helvetica" w:hAnsi="Helvetica"/>
        </w:rPr>
        <w:t>Sheridan, A. (eds.) Vessels For The Ancestors. Edinburgh University Press</w:t>
      </w:r>
    </w:p>
    <w:p w:rsidR="0069749C" w:rsidRDefault="0069749C">
      <w:pPr>
        <w:pStyle w:val="Body"/>
        <w:bidi/>
        <w:jc w:val="right"/>
        <w:rPr>
          <w:rFonts w:ascii="Helvetica" w:eastAsia="Helvetica" w:hAnsi="Helvetica" w:cs="Helvetica"/>
          <w:rtl/>
        </w:rPr>
      </w:pPr>
    </w:p>
    <w:p w:rsidR="0069749C" w:rsidRDefault="00BF1587">
      <w:pPr>
        <w:pStyle w:val="Body"/>
        <w:bidi/>
        <w:jc w:val="right"/>
        <w:rPr>
          <w:rFonts w:ascii="Helvetica" w:eastAsia="Helvetica" w:hAnsi="Helvetica" w:cs="Helvetica"/>
          <w:rtl/>
        </w:rPr>
      </w:pPr>
      <w:r>
        <w:rPr>
          <w:rFonts w:ascii="Helvetica" w:hAnsi="Helvetica"/>
        </w:rPr>
        <w:t>Childe, V.G. (21:1950) The Urban Revolution</w:t>
      </w:r>
    </w:p>
    <w:p w:rsidR="0069749C" w:rsidRDefault="00BF1587">
      <w:pPr>
        <w:pStyle w:val="Body"/>
        <w:bidi/>
        <w:jc w:val="right"/>
        <w:rPr>
          <w:rFonts w:ascii="Helvetica" w:eastAsia="Helvetica" w:hAnsi="Helvetica" w:cs="Helvetica"/>
          <w:rtl/>
        </w:rPr>
      </w:pPr>
      <w:r>
        <w:rPr>
          <w:rFonts w:ascii="Helvetica" w:hAnsi="Helvetica"/>
        </w:rPr>
        <w:t xml:space="preserve">Town Planning Review, University of Liverpool </w:t>
      </w:r>
    </w:p>
    <w:p w:rsidR="0069749C" w:rsidRDefault="0069749C">
      <w:pPr>
        <w:pStyle w:val="Body"/>
        <w:bidi/>
        <w:jc w:val="right"/>
        <w:rPr>
          <w:rFonts w:ascii="Helvetica" w:eastAsia="Helvetica" w:hAnsi="Helvetica" w:cs="Helvetica"/>
          <w:rtl/>
        </w:rPr>
      </w:pPr>
    </w:p>
    <w:p w:rsidR="0069749C" w:rsidRDefault="00BF1587">
      <w:pPr>
        <w:pStyle w:val="Body"/>
        <w:bidi/>
        <w:jc w:val="right"/>
        <w:rPr>
          <w:rFonts w:ascii="Helvetica" w:eastAsia="Helvetica" w:hAnsi="Helvetica" w:cs="Helvetica"/>
          <w:rtl/>
        </w:rPr>
      </w:pPr>
      <w:r>
        <w:rPr>
          <w:rFonts w:ascii="Helvetica" w:hAnsi="Helvetica"/>
        </w:rPr>
        <w:t>Clearly, R.M. (2:1984) Bone Tempered Beaker Potsherds</w:t>
      </w:r>
    </w:p>
    <w:p w:rsidR="0069749C" w:rsidRDefault="00BF1587">
      <w:pPr>
        <w:pStyle w:val="Body"/>
        <w:bidi/>
        <w:jc w:val="right"/>
        <w:rPr>
          <w:rFonts w:ascii="Helvetica" w:eastAsia="Helvetica" w:hAnsi="Helvetica" w:cs="Helvetica"/>
          <w:rtl/>
        </w:rPr>
      </w:pPr>
      <w:r>
        <w:rPr>
          <w:rFonts w:ascii="Helvetica" w:hAnsi="Helvetica"/>
        </w:rPr>
        <w:t>Journal of Irish Archaeology. Insti</w:t>
      </w:r>
      <w:r>
        <w:rPr>
          <w:rFonts w:ascii="Helvetica" w:hAnsi="Helvetica"/>
        </w:rPr>
        <w:t>tute of Archaeologists Of Ireland, Wordwell Press, Dublin 18</w:t>
      </w:r>
    </w:p>
    <w:p w:rsidR="0069749C" w:rsidRDefault="0069749C">
      <w:pPr>
        <w:pStyle w:val="Body"/>
        <w:bidi/>
        <w:jc w:val="right"/>
        <w:rPr>
          <w:rFonts w:ascii="Helvetica" w:eastAsia="Helvetica" w:hAnsi="Helvetica" w:cs="Helvetica"/>
          <w:rtl/>
        </w:rPr>
      </w:pPr>
    </w:p>
    <w:p w:rsidR="0069749C" w:rsidRDefault="00BF1587">
      <w:pPr>
        <w:pStyle w:val="Body"/>
        <w:bidi/>
        <w:jc w:val="right"/>
        <w:rPr>
          <w:rFonts w:ascii="Helvetica" w:eastAsia="Helvetica" w:hAnsi="Helvetica" w:cs="Helvetica"/>
          <w:rtl/>
        </w:rPr>
      </w:pPr>
      <w:r>
        <w:rPr>
          <w:rFonts w:ascii="Helvetica" w:hAnsi="Helvetica"/>
        </w:rPr>
        <w:t>Drivers, G.R., Miles, G.C. (2):1955 The Babylonians Laws, Clarendon Press, Oxford</w:t>
      </w:r>
    </w:p>
    <w:p w:rsidR="0069749C" w:rsidRDefault="0069749C">
      <w:pPr>
        <w:pStyle w:val="Body"/>
        <w:bidi/>
        <w:jc w:val="right"/>
        <w:rPr>
          <w:rFonts w:ascii="Helvetica" w:eastAsia="Helvetica" w:hAnsi="Helvetica" w:cs="Helvetica"/>
          <w:rtl/>
        </w:rPr>
      </w:pPr>
    </w:p>
    <w:p w:rsidR="0069749C" w:rsidRDefault="00BF1587">
      <w:pPr>
        <w:pStyle w:val="Body"/>
        <w:bidi/>
        <w:jc w:val="right"/>
        <w:rPr>
          <w:rFonts w:ascii="Helvetica" w:eastAsia="Helvetica" w:hAnsi="Helvetica" w:cs="Helvetica"/>
          <w:rtl/>
        </w:rPr>
      </w:pPr>
      <w:r>
        <w:rPr>
          <w:rFonts w:ascii="Helvetica" w:hAnsi="Helvetica"/>
        </w:rPr>
        <w:t xml:space="preserve">Buchhuber, C. (59:2009) The Treasure Deposits Of Troy - Rethinking Crises And Agency In The Early Bronze Age </w:t>
      </w:r>
      <w:r>
        <w:rPr>
          <w:rFonts w:ascii="Helvetica" w:hAnsi="Helvetica"/>
        </w:rPr>
        <w:t>Citadel</w:t>
      </w:r>
    </w:p>
    <w:p w:rsidR="0069749C" w:rsidRDefault="00BF1587">
      <w:pPr>
        <w:pStyle w:val="Body"/>
        <w:bidi/>
        <w:jc w:val="right"/>
        <w:rPr>
          <w:rFonts w:ascii="Helvetica" w:eastAsia="Helvetica" w:hAnsi="Helvetica" w:cs="Helvetica"/>
          <w:rtl/>
        </w:rPr>
      </w:pPr>
      <w:r>
        <w:rPr>
          <w:rFonts w:ascii="Helvetica" w:hAnsi="Helvetica"/>
        </w:rPr>
        <w:t>Anatolian Studies, Cambridge University Press</w:t>
      </w:r>
    </w:p>
    <w:p w:rsidR="0069749C" w:rsidRDefault="0069749C">
      <w:pPr>
        <w:pStyle w:val="Body"/>
        <w:bidi/>
        <w:jc w:val="right"/>
        <w:rPr>
          <w:rFonts w:ascii="Helvetica" w:eastAsia="Helvetica" w:hAnsi="Helvetica" w:cs="Helvetica"/>
          <w:rtl/>
        </w:rPr>
      </w:pPr>
    </w:p>
    <w:p w:rsidR="0069749C" w:rsidRDefault="00BF1587">
      <w:pPr>
        <w:pStyle w:val="Body"/>
        <w:bidi/>
        <w:jc w:val="right"/>
        <w:rPr>
          <w:rFonts w:ascii="Helvetica" w:eastAsia="Helvetica" w:hAnsi="Helvetica" w:cs="Helvetica"/>
          <w:rtl/>
        </w:rPr>
      </w:pPr>
      <w:r>
        <w:rPr>
          <w:rFonts w:ascii="Helvetica" w:hAnsi="Helvetica"/>
        </w:rPr>
        <w:t>D</w:t>
      </w:r>
      <w:r>
        <w:rPr>
          <w:rFonts w:ascii="Helvetica" w:hAnsi="Helvetica"/>
        </w:rPr>
        <w:t>ö</w:t>
      </w:r>
      <w:r>
        <w:rPr>
          <w:rFonts w:ascii="Helvetica" w:hAnsi="Helvetica"/>
        </w:rPr>
        <w:t xml:space="preserve">rpfeld, W. (1902) Troia Und Ilion. Ergebinisse Der Ausgrabungen In Den Vorhistorichen Und Historichen Schichten Von Ilion, Blegen, C.W. (1950) </w:t>
      </w:r>
      <w:r>
        <w:rPr>
          <w:rFonts w:ascii="Helvetica" w:hAnsi="Helvetica"/>
        </w:rPr>
        <w:t>‘</w:t>
      </w:r>
      <w:r>
        <w:rPr>
          <w:rFonts w:ascii="Helvetica" w:hAnsi="Helvetica"/>
        </w:rPr>
        <w:t>West Of The Wall</w:t>
      </w:r>
      <w:r>
        <w:rPr>
          <w:rFonts w:ascii="Helvetica" w:hAnsi="Helvetica"/>
        </w:rPr>
        <w:t xml:space="preserve">’ </w:t>
      </w:r>
      <w:r>
        <w:rPr>
          <w:rFonts w:ascii="Helvetica" w:hAnsi="Helvetica"/>
        </w:rPr>
        <w:t xml:space="preserve">by Joblonka, P. (2009) </w:t>
      </w:r>
      <w:r>
        <w:rPr>
          <w:rFonts w:ascii="Helvetica" w:hAnsi="Helvetica"/>
          <w:sz w:val="20"/>
          <w:szCs w:val="20"/>
        </w:rPr>
        <w:t>and</w:t>
      </w:r>
      <w:r>
        <w:rPr>
          <w:rFonts w:ascii="Helvetica" w:hAnsi="Helvetica"/>
        </w:rPr>
        <w:t xml:space="preserve"> White Pain</w:t>
      </w:r>
      <w:r>
        <w:rPr>
          <w:rFonts w:ascii="Helvetica" w:hAnsi="Helvetica"/>
        </w:rPr>
        <w:t xml:space="preserve">ted Ware by Thayer, M. in Beyond The Citadel, A Map Of Greater EBA Troy </w:t>
      </w:r>
      <w:r>
        <w:rPr>
          <w:rFonts w:ascii="Helvetica" w:hAnsi="Helvetica"/>
          <w:sz w:val="20"/>
          <w:szCs w:val="20"/>
        </w:rPr>
        <w:t xml:space="preserve">ed. by </w:t>
      </w:r>
      <w:r>
        <w:rPr>
          <w:rFonts w:ascii="Helvetica" w:hAnsi="Helvetica"/>
        </w:rPr>
        <w:t xml:space="preserve">Pernika, E., Rose, C.B., Jablonka, P., </w:t>
      </w:r>
      <w:r>
        <w:rPr>
          <w:rFonts w:ascii="Helvetica" w:hAnsi="Helvetica"/>
        </w:rPr>
        <w:t>Ü</w:t>
      </w:r>
      <w:r>
        <w:rPr>
          <w:rFonts w:ascii="Helvetica" w:hAnsi="Helvetica"/>
        </w:rPr>
        <w:t>nl</w:t>
      </w:r>
      <w:r>
        <w:rPr>
          <w:rFonts w:ascii="Helvetica" w:hAnsi="Helvetica"/>
        </w:rPr>
        <w:t>ü</w:t>
      </w:r>
      <w:r>
        <w:rPr>
          <w:rFonts w:ascii="Helvetica" w:hAnsi="Helvetica"/>
        </w:rPr>
        <w:t xml:space="preserve">sys, S. and Blum, W.E. 29(8):2009 </w:t>
      </w:r>
    </w:p>
    <w:p w:rsidR="0069749C" w:rsidRDefault="00BF1587">
      <w:pPr>
        <w:pStyle w:val="Body"/>
        <w:bidi/>
        <w:jc w:val="right"/>
        <w:rPr>
          <w:rFonts w:ascii="Helvetica" w:eastAsia="Helvetica" w:hAnsi="Helvetica" w:cs="Helvetica"/>
          <w:rtl/>
        </w:rPr>
      </w:pPr>
      <w:r>
        <w:rPr>
          <w:rFonts w:ascii="Helvetica" w:hAnsi="Helvetica"/>
        </w:rPr>
        <w:t>EBA Troy, Chronology, Cultural Development And Interregional Contacts</w:t>
      </w:r>
    </w:p>
    <w:p w:rsidR="0069749C" w:rsidRDefault="00BF1587">
      <w:pPr>
        <w:pStyle w:val="Body"/>
        <w:bidi/>
        <w:jc w:val="right"/>
        <w:rPr>
          <w:rFonts w:ascii="Helvetica" w:eastAsia="Helvetica" w:hAnsi="Helvetica" w:cs="Helvetica"/>
          <w:rtl/>
        </w:rPr>
      </w:pPr>
      <w:r>
        <w:rPr>
          <w:rFonts w:ascii="Helvetica" w:hAnsi="Helvetica"/>
        </w:rPr>
        <w:t>Proceedings Of An Internation</w:t>
      </w:r>
      <w:r>
        <w:rPr>
          <w:rFonts w:ascii="Helvetica" w:hAnsi="Helvetica"/>
        </w:rPr>
        <w:t>al Conference Held At The University Of T</w:t>
      </w:r>
      <w:r>
        <w:rPr>
          <w:rFonts w:ascii="Helvetica" w:hAnsi="Helvetica"/>
        </w:rPr>
        <w:t>ü</w:t>
      </w:r>
      <w:r>
        <w:rPr>
          <w:rFonts w:ascii="Helvetica" w:hAnsi="Helvetica"/>
        </w:rPr>
        <w:t>bingen, Studia Troica. Rudolf Habelt, Bonn</w:t>
      </w:r>
    </w:p>
    <w:p w:rsidR="0069749C" w:rsidRDefault="0069749C">
      <w:pPr>
        <w:pStyle w:val="Body"/>
        <w:bidi/>
        <w:jc w:val="right"/>
        <w:rPr>
          <w:rFonts w:ascii="Helvetica" w:eastAsia="Helvetica" w:hAnsi="Helvetica" w:cs="Helvetica"/>
          <w:rtl/>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Earle, K.T. (16:1987) Chiefdoms In Archaeological Perspective</w:t>
      </w: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Annual Review of Archaeology. Palo Alto, University of California</w:t>
      </w:r>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Easton, D.F. (44:1994) Priam</w:t>
      </w:r>
      <w:r>
        <w:rPr>
          <w:rFonts w:ascii="Helvetica" w:hAnsi="Helvetica"/>
          <w:color w:val="333333"/>
        </w:rPr>
        <w:t>’</w:t>
      </w:r>
      <w:r>
        <w:rPr>
          <w:rFonts w:ascii="Helvetica" w:hAnsi="Helvetica"/>
          <w:color w:val="333333"/>
        </w:rPr>
        <w:t xml:space="preserve">s Gold, </w:t>
      </w:r>
      <w:r>
        <w:rPr>
          <w:rFonts w:ascii="Helvetica" w:hAnsi="Helvetica"/>
          <w:color w:val="333333"/>
        </w:rPr>
        <w:t>The Full Story</w:t>
      </w: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British Institute At Ankara, 10 Carlton House, London SW1Y 5AH</w:t>
      </w:r>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Fitzsimmons, R.D. (2006) Monuments Of Power And The Power Of Monuments. The Evolution Of Elite Architectural Styles At Bronze Age Mycenae</w:t>
      </w: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 xml:space="preserve">University of Cincinnati </w:t>
      </w:r>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Default"/>
        <w:spacing w:before="120" w:after="120" w:line="300" w:lineRule="auto"/>
        <w:rPr>
          <w:rFonts w:ascii="Helvetica" w:eastAsia="Helvetica" w:hAnsi="Helvetica" w:cs="Helvetica"/>
          <w:color w:val="000000"/>
          <w:shd w:val="clear" w:color="auto" w:fill="FEFFFE"/>
        </w:rPr>
      </w:pPr>
      <w:r>
        <w:rPr>
          <w:rFonts w:ascii="Helvetica" w:hAnsi="Helvetica"/>
          <w:color w:val="000000"/>
          <w:shd w:val="clear" w:color="auto" w:fill="EBECEB"/>
        </w:rPr>
        <w:t>Harpster, M</w:t>
      </w:r>
      <w:r>
        <w:rPr>
          <w:rFonts w:ascii="Helvetica" w:hAnsi="Helvetica"/>
          <w:color w:val="000000"/>
          <w:shd w:val="clear" w:color="auto" w:fill="EBECEB"/>
        </w:rPr>
        <w:t>.</w:t>
      </w:r>
      <w:r>
        <w:rPr>
          <w:rFonts w:ascii="Helvetica" w:hAnsi="Helvetica"/>
          <w:color w:val="000000"/>
          <w:shd w:val="clear" w:color="auto" w:fill="EBECEB"/>
        </w:rPr>
        <w:t xml:space="preserve"> (</w:t>
      </w:r>
      <w:r>
        <w:rPr>
          <w:rFonts w:ascii="Helvetica" w:hAnsi="Helvetica"/>
          <w:color w:val="000000"/>
          <w:shd w:val="clear" w:color="auto" w:fill="EBECEB"/>
        </w:rPr>
        <w:t xml:space="preserve">1) </w:t>
      </w:r>
      <w:r>
        <w:rPr>
          <w:rFonts w:ascii="Helvetica" w:hAnsi="Helvetica"/>
          <w:color w:val="000000"/>
          <w:shd w:val="clear" w:color="auto" w:fill="EBECEB"/>
        </w:rPr>
        <w:t>2019</w:t>
      </w:r>
      <w:r>
        <w:rPr>
          <w:rFonts w:ascii="Helvetica" w:hAnsi="Helvetica"/>
          <w:color w:val="000000"/>
          <w:shd w:val="clear" w:color="auto" w:fill="EBECEB"/>
        </w:rPr>
        <w:t xml:space="preserve"> Mendeley </w:t>
      </w:r>
      <w:r>
        <w:rPr>
          <w:rFonts w:ascii="Helvetica" w:hAnsi="Helvetica"/>
          <w:color w:val="000000"/>
          <w:shd w:val="clear" w:color="auto" w:fill="EBECEB"/>
          <w:lang w:val="nl-NL"/>
        </w:rPr>
        <w:t>Dat</w:t>
      </w:r>
      <w:r>
        <w:rPr>
          <w:rFonts w:ascii="Helvetica" w:hAnsi="Helvetica"/>
          <w:color w:val="000000"/>
          <w:shd w:val="clear" w:color="auto" w:fill="EBECEB"/>
        </w:rPr>
        <w:t>a For Using Polygons to Model Maritime Movement in Antiquity</w:t>
      </w:r>
    </w:p>
    <w:p w:rsidR="0069749C" w:rsidRDefault="00BF1587">
      <w:pPr>
        <w:pStyle w:val="Default"/>
        <w:spacing w:before="120" w:after="120" w:line="300" w:lineRule="auto"/>
        <w:rPr>
          <w:rFonts w:ascii="Helvetica" w:eastAsia="Helvetica" w:hAnsi="Helvetica" w:cs="Helvetica"/>
          <w:color w:val="000000"/>
          <w:shd w:val="clear" w:color="auto" w:fill="EBECEB"/>
        </w:rPr>
      </w:pPr>
      <w:r>
        <w:rPr>
          <w:rFonts w:ascii="Helvetica" w:hAnsi="Helvetica"/>
          <w:color w:val="000000"/>
          <w:shd w:val="clear" w:color="auto" w:fill="EBECEB"/>
        </w:rPr>
        <w:t>http://dx.doi.org/10.17632/fsf33w9ccr.1</w:t>
      </w:r>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Hulth</w:t>
      </w:r>
      <w:r>
        <w:rPr>
          <w:rFonts w:ascii="Helvetica" w:hAnsi="Helvetica"/>
          <w:color w:val="333333"/>
        </w:rPr>
        <w:t>é</w:t>
      </w:r>
      <w:r>
        <w:rPr>
          <w:rFonts w:ascii="Helvetica" w:hAnsi="Helvetica"/>
          <w:color w:val="333333"/>
        </w:rPr>
        <w:t xml:space="preserve">n, B. (6:1977) On Ceramic Technology During The Scanian Neolithic And Bronze Age. Stockholm Institute Of Archaeology At The University Of Stockholm, Theses And Papers In North European Archaeology, Stockholm </w:t>
      </w:r>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Frame, L. (37:2010) Metallurgical Investigatio</w:t>
      </w:r>
      <w:r>
        <w:rPr>
          <w:rFonts w:ascii="Helvetica" w:hAnsi="Helvetica"/>
          <w:color w:val="333333"/>
        </w:rPr>
        <w:t>ns At Godin Tepe, Iran. Part 1</w:t>
      </w: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The Metal Finds. Journal Of Archaeological Science, Elsevier</w:t>
      </w:r>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Body"/>
        <w:bidi/>
        <w:jc w:val="right"/>
        <w:rPr>
          <w:rFonts w:ascii="Trebuchet MS" w:eastAsia="Trebuchet MS" w:hAnsi="Trebuchet MS" w:cs="Trebuchet MS"/>
          <w:rtl/>
        </w:rPr>
      </w:pPr>
      <w:r>
        <w:rPr>
          <w:rFonts w:ascii="Trebuchet MS" w:hAnsi="Trebuchet MS"/>
        </w:rPr>
        <w:t>Maisels, C.K. (1993) The Near East: Archaeology In The Cradle Of Civilisation</w:t>
      </w:r>
    </w:p>
    <w:p w:rsidR="0069749C" w:rsidRDefault="00BF1587">
      <w:pPr>
        <w:pStyle w:val="Body"/>
        <w:bidi/>
        <w:jc w:val="right"/>
        <w:rPr>
          <w:rFonts w:ascii="Trebuchet MS" w:eastAsia="Trebuchet MS" w:hAnsi="Trebuchet MS" w:cs="Trebuchet MS"/>
          <w:rtl/>
        </w:rPr>
      </w:pPr>
      <w:r>
        <w:rPr>
          <w:rFonts w:ascii="Trebuchet MS" w:hAnsi="Trebuchet MS"/>
        </w:rPr>
        <w:t>Routledge, London &amp; New York</w:t>
      </w:r>
    </w:p>
    <w:p w:rsidR="0069749C" w:rsidRDefault="0069749C">
      <w:pPr>
        <w:pStyle w:val="Body"/>
        <w:rPr>
          <w:rFonts w:ascii="Trebuchet MS" w:eastAsia="Trebuchet MS" w:hAnsi="Trebuchet MS" w:cs="Trebuchet MS"/>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Steel, L. (2011) Cypress Before History</w:t>
      </w: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 xml:space="preserve">Bristol </w:t>
      </w:r>
      <w:r>
        <w:rPr>
          <w:rFonts w:ascii="Helvetica" w:hAnsi="Helvetica"/>
          <w:color w:val="333333"/>
        </w:rPr>
        <w:t>Classical Press, London</w:t>
      </w:r>
    </w:p>
    <w:p w:rsidR="0069749C" w:rsidRDefault="0069749C">
      <w:pPr>
        <w:pStyle w:val="Default"/>
        <w:spacing w:before="120" w:after="120" w:line="300" w:lineRule="auto"/>
        <w:rPr>
          <w:rFonts w:ascii="Helvetica" w:eastAsia="Helvetica" w:hAnsi="Helvetica" w:cs="Helvetica"/>
          <w:color w:val="333333"/>
        </w:rPr>
      </w:pPr>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UNESCO 849:1998 (Troy)</w:t>
      </w:r>
    </w:p>
    <w:p w:rsidR="0069749C" w:rsidRDefault="00BF1587">
      <w:pPr>
        <w:pStyle w:val="Default"/>
        <w:spacing w:before="120" w:after="120" w:line="300" w:lineRule="auto"/>
        <w:rPr>
          <w:rFonts w:ascii="Helvetica" w:eastAsia="Helvetica" w:hAnsi="Helvetica" w:cs="Helvetica"/>
          <w:color w:val="333333"/>
        </w:rPr>
      </w:pPr>
      <w:hyperlink r:id="rId6" w:history="1">
        <w:r>
          <w:rPr>
            <w:rStyle w:val="Hyperlink0"/>
            <w:rFonts w:ascii="Helvetica" w:hAnsi="Helvetica"/>
            <w:color w:val="333333"/>
          </w:rPr>
          <w:t>https://whc.unesco.org/en/list/849/</w:t>
        </w:r>
      </w:hyperlink>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 xml:space="preserve">Uruk-Warka Collection: </w:t>
      </w:r>
      <w:r>
        <w:rPr>
          <w:rFonts w:ascii="Helvetica" w:hAnsi="Helvetica"/>
          <w:color w:val="333333"/>
        </w:rPr>
        <w:t>https://www.uni-heidelberg.de/hcch/collections/uruk_warka.html</w:t>
      </w:r>
    </w:p>
    <w:p w:rsidR="0069749C" w:rsidRDefault="0069749C">
      <w:pPr>
        <w:pStyle w:val="Default"/>
        <w:spacing w:before="120" w:after="120" w:line="300" w:lineRule="auto"/>
        <w:rPr>
          <w:rFonts w:ascii="Helvetica" w:eastAsia="Helvetica" w:hAnsi="Helvetica" w:cs="Helvetica"/>
          <w:color w:val="333333"/>
        </w:rPr>
      </w:pP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Voskarides, K., Mazieres, S., Hadjipangi, D., DiChristofano, J., Ignatiou, A., Stefanou, C., King, R.J., Underhill, P.A., Chiaroni, J., Dltas, C. (7(1):2016)</w:t>
      </w:r>
    </w:p>
    <w:p w:rsidR="0069749C" w:rsidRDefault="00BF1587">
      <w:pPr>
        <w:pStyle w:val="Default"/>
        <w:spacing w:before="120" w:after="120" w:line="300" w:lineRule="auto"/>
        <w:rPr>
          <w:rFonts w:ascii="Helvetica" w:eastAsia="Helvetica" w:hAnsi="Helvetica" w:cs="Helvetica"/>
          <w:color w:val="333333"/>
        </w:rPr>
      </w:pPr>
      <w:r>
        <w:rPr>
          <w:rFonts w:ascii="Helvetica" w:hAnsi="Helvetica"/>
          <w:color w:val="333333"/>
        </w:rPr>
        <w:t>Investigative Genetics (Bio-Med Ce</w:t>
      </w:r>
      <w:r>
        <w:rPr>
          <w:rFonts w:ascii="Helvetica" w:hAnsi="Helvetica"/>
          <w:color w:val="333333"/>
        </w:rPr>
        <w:t xml:space="preserve">ntral) Springer-Nature (Holtzbrinck Publishing Group), Stuttgart </w:t>
      </w:r>
    </w:p>
    <w:p w:rsidR="0069749C" w:rsidRDefault="0069749C">
      <w:pPr>
        <w:pStyle w:val="Default"/>
        <w:spacing w:before="120" w:after="120" w:line="300" w:lineRule="auto"/>
        <w:rPr>
          <w:rFonts w:ascii="Helvetica" w:eastAsia="Helvetica" w:hAnsi="Helvetica" w:cs="Helvetica"/>
          <w:color w:val="333333"/>
        </w:rPr>
      </w:pPr>
    </w:p>
    <w:p w:rsidR="0069749C" w:rsidRDefault="0069749C">
      <w:pPr>
        <w:pStyle w:val="Default"/>
        <w:spacing w:before="120" w:after="120" w:line="300" w:lineRule="auto"/>
        <w:rPr>
          <w:rFonts w:ascii="Helvetica" w:eastAsia="Helvetica" w:hAnsi="Helvetica" w:cs="Helvetica"/>
          <w:color w:val="333333"/>
        </w:rPr>
      </w:pPr>
    </w:p>
    <w:p w:rsidR="0069749C" w:rsidRDefault="0069749C">
      <w:pPr>
        <w:pStyle w:val="Attribution"/>
      </w:pPr>
    </w:p>
    <w:p w:rsidR="0069749C" w:rsidRDefault="0069749C">
      <w:pPr>
        <w:pStyle w:val="Attribution"/>
      </w:pPr>
    </w:p>
    <w:p w:rsidR="0069749C" w:rsidRDefault="0069749C">
      <w:pPr>
        <w:pStyle w:val="Subtitle"/>
      </w:pPr>
    </w:p>
    <w:p w:rsidR="0069749C" w:rsidRDefault="0069749C">
      <w:pPr>
        <w:pStyle w:val="Subheading"/>
      </w:pPr>
    </w:p>
    <w:p w:rsidR="0069749C" w:rsidRDefault="0069749C">
      <w:pPr>
        <w:pStyle w:val="Body"/>
      </w:pPr>
    </w:p>
    <w:sectPr w:rsidR="0069749C">
      <w:headerReference w:type="default" r:id="rId7"/>
      <w:footerReference w:type="default" r:id="rId8"/>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F1587" w:rsidRDefault="00BF1587">
      <w:r>
        <w:separator/>
      </w:r>
    </w:p>
  </w:endnote>
  <w:endnote w:type="continuationSeparator" w:id="0">
    <w:p w:rsidR="00BF1587" w:rsidRDefault="00BF1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Baskerville">
    <w:altName w:val="Baskerville Old Face"/>
    <w:charset w:val="00"/>
    <w:family w:val="roman"/>
    <w:pitch w:val="default"/>
  </w:font>
  <w:font w:name="Helvetica Neue">
    <w:altName w:val="Arial"/>
    <w:charset w:val="00"/>
    <w:family w:val="roman"/>
    <w:pitch w:val="default"/>
  </w:font>
  <w:font w:name="Helvetica">
    <w:panose1 w:val="020B060402020202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Baskerville Semi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9749C" w:rsidRDefault="00BF1587">
    <w:pPr>
      <w:pStyle w:val="HeaderFooter"/>
      <w:tabs>
        <w:tab w:val="center" w:pos="4510"/>
      </w:tabs>
    </w:pPr>
    <w:r>
      <w:t>Chiefdoms</w:t>
    </w:r>
    <w:r>
      <w:tab/>
    </w:r>
    <w:r>
      <w:tab/>
    </w:r>
    <w:r>
      <w:fldChar w:fldCharType="begin"/>
    </w:r>
    <w:r>
      <w:instrText xml:space="preserve"> PAGE </w:instrText>
    </w:r>
    <w:r w:rsidR="00856B9D">
      <w:fldChar w:fldCharType="separate"/>
    </w:r>
    <w:r w:rsidR="00856B9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F1587" w:rsidRDefault="00BF1587">
      <w:r>
        <w:separator/>
      </w:r>
    </w:p>
  </w:footnote>
  <w:footnote w:type="continuationSeparator" w:id="0">
    <w:p w:rsidR="00BF1587" w:rsidRDefault="00BF15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9749C" w:rsidRDefault="0069749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49C"/>
    <w:rsid w:val="0069749C"/>
    <w:rsid w:val="00856B9D"/>
    <w:rsid w:val="00BF1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67B80C-0B0F-4899-ABD5-0BC8F8A7A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keepNext/>
      <w:tabs>
        <w:tab w:val="right" w:pos="9020"/>
      </w:tabs>
    </w:pPr>
    <w:rPr>
      <w:rFonts w:ascii="Baskerville" w:hAnsi="Baskerville" w:cs="Arial Unicode MS"/>
      <w:caps/>
      <w:color w:val="000000"/>
      <w:lang w:val="en-US"/>
      <w14:textOutline w14:w="0" w14:cap="flat" w14:cmpd="sng" w14:algn="ctr">
        <w14:noFill/>
        <w14:prstDash w14:val="solid"/>
        <w14:bevel/>
      </w14:textOutline>
    </w:rPr>
  </w:style>
  <w:style w:type="paragraph" w:customStyle="1" w:styleId="Body">
    <w:name w:val="Body"/>
    <w:pPr>
      <w:spacing w:line="360" w:lineRule="auto"/>
      <w:ind w:firstLine="540"/>
    </w:pPr>
    <w:rPr>
      <w:rFonts w:ascii="Baskerville" w:hAnsi="Baskerville" w:cs="Arial Unicode MS"/>
      <w:color w:val="000000"/>
      <w:sz w:val="24"/>
      <w:szCs w:val="24"/>
      <w:lang w:val="en-US"/>
      <w14:textOutline w14:w="0" w14:cap="flat" w14:cmpd="sng" w14:algn="ctr">
        <w14:noFill/>
        <w14:prstDash w14:val="solid"/>
        <w14:bevel/>
      </w14:textOutline>
    </w:rPr>
  </w:style>
  <w:style w:type="paragraph" w:customStyle="1" w:styleId="Default">
    <w:name w:val="Default"/>
    <w:pPr>
      <w:spacing w:after="80" w:line="288" w:lineRule="auto"/>
    </w:pPr>
    <w:rPr>
      <w:rFonts w:ascii="Baskerville" w:hAnsi="Baskerville" w:cs="Arial Unicode MS"/>
      <w:color w:val="444444"/>
      <w:sz w:val="24"/>
      <w:szCs w:val="24"/>
      <w:lang w:val="en-US"/>
      <w14:textOutline w14:w="0" w14:cap="flat" w14:cmpd="sng" w14:algn="ctr">
        <w14:noFill/>
        <w14:prstDash w14:val="solid"/>
        <w14:bevel/>
      </w14:textOutline>
    </w:rPr>
  </w:style>
  <w:style w:type="character" w:customStyle="1" w:styleId="Hyperlink0">
    <w:name w:val="Hyperlink.0"/>
    <w:basedOn w:val="Hyperlink"/>
    <w:rPr>
      <w:u w:val="single"/>
    </w:rPr>
  </w:style>
  <w:style w:type="paragraph" w:customStyle="1" w:styleId="Attribution">
    <w:name w:val="Attribution"/>
    <w:next w:val="Body2"/>
    <w:pPr>
      <w:spacing w:line="312" w:lineRule="auto"/>
      <w:outlineLvl w:val="0"/>
    </w:pPr>
    <w:rPr>
      <w:rFonts w:ascii="Baskerville" w:eastAsia="Baskerville" w:hAnsi="Baskerville" w:cs="Baskerville"/>
      <w:color w:val="000000"/>
      <w:sz w:val="26"/>
      <w:szCs w:val="26"/>
      <w14:textOutline w14:w="0" w14:cap="flat" w14:cmpd="sng" w14:algn="ctr">
        <w14:noFill/>
        <w14:prstDash w14:val="solid"/>
        <w14:bevel/>
      </w14:textOutline>
    </w:rPr>
  </w:style>
  <w:style w:type="paragraph" w:customStyle="1" w:styleId="Body2">
    <w:name w:val="Body 2"/>
    <w:pPr>
      <w:spacing w:after="80" w:line="288" w:lineRule="auto"/>
    </w:pPr>
    <w:rPr>
      <w:rFonts w:ascii="Baskerville" w:eastAsia="Baskerville" w:hAnsi="Baskerville" w:cs="Baskerville"/>
      <w:color w:val="444444"/>
      <w:sz w:val="24"/>
      <w:szCs w:val="24"/>
      <w14:textOutline w14:w="0" w14:cap="flat" w14:cmpd="sng" w14:algn="ctr">
        <w14:noFill/>
        <w14:prstDash w14:val="solid"/>
        <w14:bevel/>
      </w14:textOutline>
    </w:rPr>
  </w:style>
  <w:style w:type="paragraph" w:styleId="Subtitle">
    <w:name w:val="Subtitle"/>
    <w:next w:val="Body2"/>
    <w:uiPriority w:val="11"/>
    <w:qFormat/>
    <w:pPr>
      <w:jc w:val="center"/>
    </w:pPr>
    <w:rPr>
      <w:rFonts w:ascii="Baskerville" w:eastAsia="Baskerville" w:hAnsi="Baskerville" w:cs="Baskerville"/>
      <w:color w:val="DC5922"/>
      <w:spacing w:val="6"/>
      <w:sz w:val="64"/>
      <w:szCs w:val="64"/>
      <w14:textOutline w14:w="0" w14:cap="flat" w14:cmpd="sng" w14:algn="ctr">
        <w14:noFill/>
        <w14:prstDash w14:val="solid"/>
        <w14:bevel/>
      </w14:textOutline>
    </w:rPr>
  </w:style>
  <w:style w:type="paragraph" w:customStyle="1" w:styleId="Subheading">
    <w:name w:val="Subheading"/>
    <w:next w:val="Body2"/>
    <w:pPr>
      <w:spacing w:after="160"/>
      <w:jc w:val="center"/>
      <w:outlineLvl w:val="0"/>
    </w:pPr>
    <w:rPr>
      <w:rFonts w:ascii="Baskerville" w:eastAsia="Baskerville" w:hAnsi="Baskerville" w:cs="Baskerville"/>
      <w:color w:val="5C432B"/>
      <w:sz w:val="36"/>
      <w:szCs w:val="36"/>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hc.unesco.org/en/list/849/"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Baskerville"/>
        <a:ea typeface="Baskerville"/>
        <a:cs typeface="Baskerville"/>
      </a:majorFont>
      <a:minorFont>
        <a:latin typeface="Baskerville SemiBold"/>
        <a:ea typeface="Baskerville SemiBold"/>
        <a:cs typeface="Baskerville Semi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FFFFFF"/>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20000"/>
          </a:lnSpc>
          <a:spcBef>
            <a:spcPts val="400"/>
          </a:spcBef>
          <a:spcAft>
            <a:spcPts val="0"/>
          </a:spcAft>
          <a:buClrTx/>
          <a:buSzTx/>
          <a:buFontTx/>
          <a:buNone/>
          <a:tabLst/>
          <a:defRPr kumimoji="0" sz="1200" b="0" i="0" u="none" strike="noStrike" cap="none" spc="0" normalizeH="0" baseline="0">
            <a:ln>
              <a:noFill/>
            </a:ln>
            <a:solidFill>
              <a:srgbClr val="444444"/>
            </a:solidFill>
            <a:effectLst/>
            <a:uFillTx/>
            <a:latin typeface="+mj-lt"/>
            <a:ea typeface="+mj-ea"/>
            <a:cs typeface="+mj-cs"/>
            <a:sym typeface="Baskervill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2557</Words>
  <Characters>14581</Characters>
  <Application>Microsoft Office Word</Application>
  <DocSecurity>0</DocSecurity>
  <Lines>121</Lines>
  <Paragraphs>34</Paragraphs>
  <ScaleCrop>false</ScaleCrop>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Steel</dc:creator>
  <cp:lastModifiedBy>Louise Steel</cp:lastModifiedBy>
  <cp:revision>2</cp:revision>
  <dcterms:created xsi:type="dcterms:W3CDTF">2020-04-28T14:34:00Z</dcterms:created>
  <dcterms:modified xsi:type="dcterms:W3CDTF">2020-04-28T14:34:00Z</dcterms:modified>
</cp:coreProperties>
</file>