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777581D" w:rsidR="7908378C" w:rsidRDefault="7908378C" w:rsidP="33572C6E">
            <w:pPr>
              <w:ind w:right="237"/>
              <w:rPr>
                <w:b/>
                <w:bCs/>
                <w:color w:val="auto"/>
                <w:sz w:val="32"/>
                <w:szCs w:val="32"/>
              </w:rPr>
            </w:pPr>
            <w:r w:rsidRPr="33572C6E">
              <w:rPr>
                <w:b/>
                <w:bCs/>
                <w:color w:val="auto"/>
                <w:sz w:val="32"/>
                <w:szCs w:val="32"/>
              </w:rPr>
              <w:t xml:space="preserve">Learner name: </w:t>
            </w:r>
            <w:r w:rsidR="009951DF">
              <w:rPr>
                <w:b/>
                <w:bCs/>
                <w:color w:val="auto"/>
                <w:sz w:val="32"/>
                <w:szCs w:val="32"/>
              </w:rPr>
              <w:t xml:space="preserve">Thomas Jenkins </w:t>
            </w:r>
          </w:p>
          <w:p w14:paraId="3A3A802D" w14:textId="77777777" w:rsidR="33572C6E" w:rsidRDefault="33572C6E" w:rsidP="33572C6E">
            <w:pPr>
              <w:ind w:right="237"/>
              <w:rPr>
                <w:b/>
                <w:bCs/>
                <w:color w:val="auto"/>
                <w:sz w:val="32"/>
                <w:szCs w:val="32"/>
              </w:rPr>
            </w:pPr>
          </w:p>
          <w:p w14:paraId="7883A53E" w14:textId="77669ACC" w:rsidR="7908378C" w:rsidRDefault="7908378C" w:rsidP="33572C6E">
            <w:pPr>
              <w:ind w:right="237"/>
              <w:rPr>
                <w:b/>
                <w:bCs/>
                <w:color w:val="auto"/>
                <w:sz w:val="32"/>
                <w:szCs w:val="32"/>
              </w:rPr>
            </w:pPr>
            <w:r w:rsidRPr="33572C6E">
              <w:rPr>
                <w:b/>
                <w:bCs/>
                <w:color w:val="auto"/>
                <w:sz w:val="32"/>
                <w:szCs w:val="32"/>
              </w:rPr>
              <w:t>Learner’s University Registration Number:</w:t>
            </w:r>
            <w:r w:rsidR="009951DF">
              <w:rPr>
                <w:b/>
                <w:bCs/>
                <w:color w:val="auto"/>
                <w:sz w:val="32"/>
                <w:szCs w:val="32"/>
              </w:rPr>
              <w:t xml:space="preserve"> 2117612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E3E0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64D6ECF"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2041A0E" w14:textId="7CD2BF45"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This essay aims to focus on an incident that included a vulnerable 17-year-old victim. I will demonstrate how I played a significant role in what actions were taken to prevent re-victimisation and how  I was able to provide support to the vulnerable victim.This incident presented as a positive outcome for the vulnerable victim involved.</w:t>
      </w:r>
    </w:p>
    <w:p w14:paraId="326850C5"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 </w:t>
      </w:r>
    </w:p>
    <w:p w14:paraId="66EF6C8E"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The incident that I have chosen to focus on during my first few months on the Criminal Investigation Department (CID) is an attempted burglary involving a prolific burglar and a vulnerable 17-year-old female. A call had come through to South Wales Police for a possible break in for a burglary. The person who had reported this was a 17 year old female who had just arrived back from school. She had gone upstairs to her bedroom when suddenly she could hear noises coming from downstairs. At this point she decided to go back downstairs to see what the noise was. She then realised that there was a male in the kitchen with a hammer who had managed to come through the kitchen window whilst she was inside the house. The victim had then sprinted back upstairs and locked herself in her room and contacted the police by dialling 999. Whilst on the phone to police she had managed to give a description of the male and what he was wearing.</w:t>
      </w:r>
    </w:p>
    <w:p w14:paraId="0A247F5F"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The information passed on by the female victim played an important part in the investigation. The call had come over the air from the control room staff and a response police officer who happened to be in the area of where this attempted burglary took place was able to act very quickly. The victim had given an accurate description of what the suspect was wearing and what he looked like (blue varsity jacket, jeans and white trainers, 5ft 8-9, slim build dark hair). The control room was able to relay this over the air to the response officer who then managed to identify the suspect and made an effective arrest 2 minutes away from where the incident took place.</w:t>
      </w:r>
    </w:p>
    <w:p w14:paraId="353715B0"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HMICFRS (2020) advises that the control room is one of the engine rooms of a police force. The force would not have an accurate picture of demand if the proper systems and procedures aren't in place. This will impair its capacity to adequately respond to calls and investigate crimes.</w:t>
      </w:r>
    </w:p>
    <w:p w14:paraId="1D47C0EE"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lastRenderedPageBreak/>
        <w:t>Due to many factors including the effective communication between the control room and response officers the suspect was quickly identified and an effective arrest was carried out.</w:t>
      </w:r>
    </w:p>
    <w:p w14:paraId="64C12295"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 </w:t>
      </w:r>
    </w:p>
    <w:p w14:paraId="605889D7"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 xml:space="preserve">CID were made aware of the call as soon as it had come over the air. This was due to the incident being an ‘on -going’ break in. I had made my way to the incident location with my sergeant where response officers were already present with the 17-year-old victim. My initial actions were to ensure her wellbeing and safety. I knew that this incident would affect her due to her age and the fact that she was in the house on her own at the time. I could tell that she was shaken up and having dealt with previous burglaries before I was aware of the physical and mental impact incidents of this nature can have on victims. She was also very upset at the fact that she didn’t lock the garden gate and was blaming herself.  </w:t>
      </w:r>
    </w:p>
    <w:p w14:paraId="3FACE388"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Victim support (2022) tells us that even if nothing has been taken, it can be upsetting to imagine a stranger in your home and make you feel as though your security has been violated. It is crucial to keep in mind that it is not your fault if you failed to secure a window or door or if the burglar duped you. Some people place the responsibility on themselves even if they don't discuss in detail  what happened. Children in particular can be really afraid and may require comfort.</w:t>
      </w:r>
    </w:p>
    <w:p w14:paraId="66A1BDDB"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 </w:t>
      </w:r>
    </w:p>
    <w:p w14:paraId="65FD7883"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 xml:space="preserve">I knew had to think about the empathetic language, trying not to be patronising due to her age and to reassure her as I knew she genuinely needed comfort. I knew this would be important from the start as this could influence the victim’s perception of the police and could have a negative effect if I was not caring and reassuring. </w:t>
      </w:r>
    </w:p>
    <w:p w14:paraId="48052064"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 xml:space="preserve">I also knew that engaging with her would hopefully help her to relax meaning that I would be able to gather as much information from her as possible. This would also be extremely important as any small detail could be crucial to the investigation and I needed her to know she could trust me and tell me anything. </w:t>
      </w:r>
    </w:p>
    <w:p w14:paraId="07B87E43" w14:textId="77777777" w:rsidR="009951DF" w:rsidRDefault="009951DF" w:rsidP="009951DF">
      <w:pPr>
        <w:pStyle w:val="xmsonormal"/>
        <w:shd w:val="clear" w:color="auto" w:fill="FFFFFF"/>
        <w:spacing w:before="0" w:after="0"/>
      </w:pPr>
      <w:r>
        <w:rPr>
          <w:rFonts w:ascii="Calibri" w:hAnsi="Calibri" w:cs="Calibri"/>
          <w:color w:val="000000"/>
          <w:sz w:val="22"/>
          <w:szCs w:val="22"/>
        </w:rPr>
        <w:t>Miguel (2022) tells us that a police encounter with a victim of a crime can have a significant impact on later investigations and prosecutions as well as the victim's experience with the incident. The degree to which the victim demonstrates the qualities of an ideal victim may have a significant impact on the consequences of such meetings.</w:t>
      </w:r>
    </w:p>
    <w:p w14:paraId="4BD09353" w14:textId="77777777" w:rsidR="009951DF" w:rsidRDefault="009951DF" w:rsidP="009951DF">
      <w:pPr>
        <w:pStyle w:val="xmsonormal"/>
        <w:shd w:val="clear" w:color="auto" w:fill="FFFFFF"/>
        <w:spacing w:before="0" w:after="0"/>
      </w:pPr>
      <w:r>
        <w:rPr>
          <w:rFonts w:ascii="Calibri" w:hAnsi="Calibri" w:cs="Calibri"/>
          <w:color w:val="000000"/>
          <w:sz w:val="22"/>
          <w:szCs w:val="22"/>
        </w:rPr>
        <w:t> </w:t>
      </w:r>
    </w:p>
    <w:p w14:paraId="1BB0BFD4"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 xml:space="preserve">I also had to consider whether the victim would be entitled to enhanced services. Due to her age she would be classed as a vulnerable victim. </w:t>
      </w:r>
    </w:p>
    <w:p w14:paraId="66BBF856" w14:textId="77777777" w:rsidR="009951DF" w:rsidRDefault="009951DF" w:rsidP="009951DF">
      <w:pPr>
        <w:pStyle w:val="xmsonormal"/>
        <w:shd w:val="clear" w:color="auto" w:fill="FFFFFF"/>
        <w:spacing w:before="0" w:after="0"/>
      </w:pPr>
      <w:r>
        <w:rPr>
          <w:rFonts w:ascii="Calibri" w:hAnsi="Calibri" w:cs="Calibri"/>
          <w:color w:val="000000"/>
          <w:sz w:val="22"/>
          <w:szCs w:val="22"/>
        </w:rPr>
        <w:t>Dev (2019) explained that if a victim fits into one of the three enhanced categories of victims, they are eligible for additional support. These groups include those who have been the targets of the most severe crimes, such as sexual assault and domestic abuse, as well as those who have been consistently singled out for attention. If a vulnerable victim met the following criteria: they were under the age of 18 at the time the offence occurred. These enhanced services fall under a category called ‘Special measures’, these are put in place when the victim has to attend court and assists them when having to give evidence. The Ministry of Justice (2015) defines "Special Measures" as referring to the actions a court may order to help threatened or vulnerable witnesses provide their strongest evidence in court which include: giving evidence in private, removal of wigs and gowns by judges, video recorded statement which is pre-recorded before trial.</w:t>
      </w:r>
    </w:p>
    <w:p w14:paraId="5432F0A7" w14:textId="77777777" w:rsidR="009951DF" w:rsidRDefault="009951DF" w:rsidP="009951DF">
      <w:pPr>
        <w:pStyle w:val="xmsonormal"/>
        <w:shd w:val="clear" w:color="auto" w:fill="FFFFFF"/>
        <w:spacing w:before="0" w:after="0"/>
      </w:pPr>
      <w:r>
        <w:rPr>
          <w:rFonts w:ascii="Calibri" w:hAnsi="Calibri" w:cs="Calibri"/>
          <w:color w:val="000000"/>
          <w:sz w:val="22"/>
          <w:szCs w:val="22"/>
        </w:rPr>
        <w:t> </w:t>
      </w:r>
    </w:p>
    <w:p w14:paraId="414728B6" w14:textId="77777777" w:rsidR="009951DF" w:rsidRDefault="009951DF" w:rsidP="009951DF">
      <w:pPr>
        <w:pStyle w:val="xmsonormal"/>
        <w:shd w:val="clear" w:color="auto" w:fill="FFFFFF"/>
        <w:spacing w:before="0" w:after="0"/>
        <w:rPr>
          <w:rFonts w:ascii="Calibri" w:hAnsi="Calibri" w:cs="Calibri"/>
          <w:color w:val="000000"/>
          <w:sz w:val="22"/>
          <w:szCs w:val="22"/>
        </w:rPr>
      </w:pPr>
      <w:r>
        <w:rPr>
          <w:rFonts w:ascii="Calibri" w:hAnsi="Calibri" w:cs="Calibri"/>
          <w:color w:val="000000"/>
          <w:sz w:val="22"/>
          <w:szCs w:val="22"/>
        </w:rPr>
        <w:t xml:space="preserve">After explaining that the victim was entitled to enhanced support, I was then able to take a statement from her with her father present to act as an appropriate adult due to her age. Following the statement I also informed her that she was able to give a ‘Victim personal statement’ if she wanted to. I explained that this statement is based on how this incident has made her feel and that this would get read out in a court room also. </w:t>
      </w:r>
    </w:p>
    <w:p w14:paraId="61F19320" w14:textId="77777777" w:rsidR="009951DF" w:rsidRDefault="009951DF" w:rsidP="009951DF">
      <w:pPr>
        <w:pStyle w:val="xmsonormal"/>
        <w:shd w:val="clear" w:color="auto" w:fill="FFFFFF"/>
        <w:spacing w:before="0" w:after="0"/>
      </w:pPr>
      <w:r>
        <w:rPr>
          <w:rFonts w:ascii="Calibri" w:hAnsi="Calibri" w:cs="Calibri"/>
          <w:color w:val="000000"/>
          <w:sz w:val="22"/>
          <w:szCs w:val="22"/>
        </w:rPr>
        <w:t>The Ministry of Justice (2013) describes a victim personal statement (VPS). If </w:t>
      </w:r>
      <w:r>
        <w:rPr>
          <w:rFonts w:ascii="Calibri" w:hAnsi="Calibri" w:cs="Calibri"/>
          <w:color w:val="000000"/>
          <w:sz w:val="22"/>
          <w:szCs w:val="22"/>
          <w:shd w:val="clear" w:color="auto" w:fill="FFFFFF"/>
        </w:rPr>
        <w:t>you </w:t>
      </w:r>
      <w:r>
        <w:rPr>
          <w:rFonts w:ascii="Calibri" w:hAnsi="Calibri" w:cs="Calibri"/>
          <w:color w:val="000000"/>
          <w:sz w:val="22"/>
          <w:szCs w:val="22"/>
        </w:rPr>
        <w:t xml:space="preserve">have been a victim of crime, it is a way for you to inform the criminal justice system about the crime you were a victim of and how it affected you on a physical, emotional, psychological, financial, and/or other level. By </w:t>
      </w:r>
      <w:r>
        <w:rPr>
          <w:rFonts w:ascii="Calibri" w:hAnsi="Calibri" w:cs="Calibri"/>
          <w:color w:val="000000"/>
          <w:sz w:val="22"/>
          <w:szCs w:val="22"/>
        </w:rPr>
        <w:lastRenderedPageBreak/>
        <w:t>assisting others in understanding how the crime has affected you, your VPS is crucial and gives you a voice in the criminal justice system.</w:t>
      </w:r>
    </w:p>
    <w:p w14:paraId="0BA617A2" w14:textId="77777777" w:rsidR="009951DF" w:rsidRDefault="009951DF" w:rsidP="009951DF"/>
    <w:p w14:paraId="7DE54FA1" w14:textId="77777777" w:rsidR="009951DF" w:rsidRDefault="009951DF" w:rsidP="009951DF">
      <w:r>
        <w:t>After taking the victim personal statement I then explained what would happen next. I advised that I would now  be linking with CSI who were also in attendance. I felt it was important to ensure my victim was informed every step of the way.</w:t>
      </w:r>
    </w:p>
    <w:p w14:paraId="612CD304" w14:textId="77777777" w:rsidR="009951DF" w:rsidRDefault="009951DF" w:rsidP="009951DF">
      <w:r>
        <w:t xml:space="preserve"> After discussing the incident with CSI and informing them of them of the detailed circumstances that the victim had given me, they were then able to find fingerprints on the kitchen window and a footprint mark on the kitchen windowsill. As explained previously in this essay, it was very important to get every detail from the victim no matter how insignificant it may have seemed as without obtaining the detail of where exactly the burglar had broken into the house and how he gained entry, CSI may not have been able to find the footwear mark on the windowsill.</w:t>
      </w:r>
    </w:p>
    <w:p w14:paraId="0FA8204A" w14:textId="77777777" w:rsidR="009951DF" w:rsidRDefault="009951DF" w:rsidP="009951DF">
      <w:r>
        <w:t xml:space="preserve"> I knew that teamworking with CSI was important and communicating with them in a clear and precise way whilst explaining the circumstances was crucial in enabling them to gather the evidence.</w:t>
      </w:r>
    </w:p>
    <w:p w14:paraId="3FEB7692" w14:textId="77777777" w:rsidR="009951DF" w:rsidRDefault="009951DF" w:rsidP="009951DF">
      <w:r>
        <w:t xml:space="preserve">  Byrd (2019) explains that in crime scene investigations, collaboration is crucial. Several individuals from various teams / organisations may be involved in the entire investigation. Every person plays a crucial part in the research process. The importance of ongoing communication between all parties is crucial.</w:t>
      </w:r>
    </w:p>
    <w:p w14:paraId="4730A803" w14:textId="77777777" w:rsidR="009951DF" w:rsidRDefault="009951DF" w:rsidP="009951DF">
      <w:r>
        <w:t xml:space="preserve">The outcome of this investigation was an extremely positive one for South Wales Police. The suspect had been a prolific burglar and had a history for breaking into properties that were unoccupied. He also had a modus operandi (MO) for targeting properties that had young people living at the address. </w:t>
      </w:r>
    </w:p>
    <w:p w14:paraId="30AA674A" w14:textId="77777777" w:rsidR="009951DF" w:rsidRDefault="009951DF" w:rsidP="009951DF">
      <w:r>
        <w:t>The Cornell Law School (2020) defines Modus Operandi as a way of doing things. Modus operandi is a term used in criminal law to describe a mode of operation or a pattern of illegal activity that is so distinct that different crimes or wrongdoings are assumed to be the work of the same individual. Evidence of further crimes may be included on the basis of modus operandi.</w:t>
      </w:r>
    </w:p>
    <w:p w14:paraId="14494073" w14:textId="77777777" w:rsidR="009951DF" w:rsidRDefault="009951DF" w:rsidP="009951DF">
      <w:r>
        <w:t xml:space="preserve"> This offender was a repeat offender and would often look to commit burglaries in the same areas. However, on this occasion this was not an area of regular burglaries and the offender had not targeted this area previously. </w:t>
      </w:r>
    </w:p>
    <w:p w14:paraId="593A48F4" w14:textId="77777777" w:rsidR="009951DF" w:rsidRDefault="009951DF" w:rsidP="009951DF">
      <w:r>
        <w:t>I knew that we needed to get as much evidence as possible for this and knew that we needed to get a conviction for the offender as I did not want the victim or the property to become repeat victims.</w:t>
      </w:r>
    </w:p>
    <w:p w14:paraId="2C0D95EE" w14:textId="77777777" w:rsidR="009951DF" w:rsidRDefault="009951DF" w:rsidP="009951DF">
      <w:r>
        <w:t xml:space="preserve"> Hobbs (1997) tell us that A home's likelihood of being targeted again after a break-in is four times higher than it is for homes that have never been burgled previously. </w:t>
      </w:r>
    </w:p>
    <w:p w14:paraId="203D8469" w14:textId="77777777" w:rsidR="009951DF" w:rsidRDefault="009951DF" w:rsidP="009951DF">
      <w:r>
        <w:t>I was able to gather all the possible evidence that I could obtain form this case which included CCTV which showed the offender in the same clothing as the victim described in the original call to police.</w:t>
      </w:r>
    </w:p>
    <w:p w14:paraId="730D656A" w14:textId="77777777" w:rsidR="009951DF" w:rsidRDefault="009951DF" w:rsidP="009951DF">
      <w:r>
        <w:t>A footwear mark which CSI lifted form the scene which also matched the suspect’s footwear that he was wearing when committing the offence along with fingerprints that matched the suspects enabled CSI to identify the suspect as they all came back as a positive match.</w:t>
      </w:r>
    </w:p>
    <w:p w14:paraId="63F89954" w14:textId="77777777" w:rsidR="009951DF" w:rsidRDefault="009951DF" w:rsidP="009951DF">
      <w:r>
        <w:t xml:space="preserve">With all this evidence I then created and constructed a file that would be sent to CPS in order to charge the suspect. This file included all the evidence that was needed to get successful result in charging the suspect with the burglary. The file was sent to CPS who then came back with charges for attempt burglary on the suspect. I have now received the court result for the offender who was sent to two years in prison. I was then able to update the victim regarding this positive outcome. The victim and her parents thanked me and South Wales Police for our efforts in obtaining a very positive result. An article of the incident was also published on ‘Wales online’ which outlined the importance of my specific role along with the efforts of CSI being able to lift the footwear mark impression and link this to the suspect. </w:t>
      </w:r>
    </w:p>
    <w:p w14:paraId="53A0C7DA" w14:textId="77777777" w:rsidR="009951DF" w:rsidRPr="00E676F7" w:rsidRDefault="009951DF"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0DD32ED" w14:textId="77777777" w:rsidR="009951DF" w:rsidRDefault="009951DF" w:rsidP="0FF883D4">
      <w:pPr>
        <w:ind w:right="237"/>
        <w:jc w:val="both"/>
        <w:rPr>
          <w:b/>
          <w:bCs/>
          <w:color w:val="000000" w:themeColor="text1"/>
          <w:sz w:val="28"/>
          <w:szCs w:val="28"/>
        </w:rPr>
      </w:pPr>
    </w:p>
    <w:p w14:paraId="6DD73107" w14:textId="77777777" w:rsidR="009951DF" w:rsidRDefault="009951DF" w:rsidP="0FF883D4">
      <w:pPr>
        <w:ind w:right="237"/>
        <w:jc w:val="both"/>
        <w:rPr>
          <w:b/>
          <w:bCs/>
          <w:color w:val="000000" w:themeColor="text1"/>
          <w:sz w:val="28"/>
          <w:szCs w:val="28"/>
        </w:rPr>
      </w:pPr>
    </w:p>
    <w:p w14:paraId="0F48B32A" w14:textId="7380DD7D"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14C0163" w14:textId="77777777" w:rsidR="009951DF" w:rsidRDefault="009951DF" w:rsidP="009951DF">
      <w:pPr>
        <w:pStyle w:val="xmsonormal"/>
        <w:shd w:val="clear" w:color="auto" w:fill="FFFFFF"/>
        <w:spacing w:before="0" w:after="0"/>
        <w:rPr>
          <w:rFonts w:ascii="Calibri" w:hAnsi="Calibri" w:cs="Calibri"/>
          <w:color w:val="FF0000"/>
          <w:sz w:val="22"/>
          <w:szCs w:val="22"/>
        </w:rPr>
      </w:pPr>
    </w:p>
    <w:p w14:paraId="1EAF5727" w14:textId="34A38C59" w:rsidR="009951DF" w:rsidRPr="009951DF" w:rsidRDefault="009951DF" w:rsidP="009951DF">
      <w:pPr>
        <w:pStyle w:val="xmsonormal"/>
        <w:shd w:val="clear" w:color="auto" w:fill="FFFFFF"/>
        <w:spacing w:before="0" w:after="0"/>
      </w:pPr>
      <w:r w:rsidRPr="009951DF">
        <w:rPr>
          <w:rFonts w:ascii="Calibri" w:hAnsi="Calibri" w:cs="Calibri"/>
          <w:sz w:val="22"/>
          <w:szCs w:val="22"/>
        </w:rPr>
        <w:t>This essay is based on a complex investigation which involved a serious assault of Grievous Bodily Harm (GBH).  I will be discussing the fast-track actions used within the investigation and how support was provided to both the victim and to the co-accused. This essay also aims to highlight the personal values I demonstrated throughout the investigation and shows the attitude and approach I used in order to get the best outcome. This investigation was complex in nature due to the limited information given by the victim and due to the many agencies and partners involved.</w:t>
      </w:r>
    </w:p>
    <w:p w14:paraId="47AF40CB"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 </w:t>
      </w:r>
    </w:p>
    <w:p w14:paraId="29558C7B"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 xml:space="preserve">A call had come through at 02:00am to the police in relation to an assault that had amounted to Grevious Bodily Harm due to the injuries that were sustained by the victim. The victim had been assaulted only several metres away from the police station. He had been assaulted outside a block of flats by the suspect and allegedly by the 3 other people he was with. The victim had been with the three other co-accused people on the day of the incident as they all live in the same assisted accommodation. They had all been drinking alcohol during the day and then decided to visit a friend of one of the co accused. The victim had gone along with these people as he knew them and trusted them. As they arrived at the flats the suspect came from his apartment with what appeared to be a metal torch and then used this to assault the victim. </w:t>
      </w:r>
    </w:p>
    <w:p w14:paraId="51FB1144"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 </w:t>
      </w:r>
    </w:p>
    <w:p w14:paraId="27D23B97"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As I had finished my shift I was not back in until the following day, so I was not able to work on this investigation from the start. My initial thoughts focused on” the golden hour” opportunities for any CCTV / ring doorbell, witnesses and speaking with the victim to make sure they were ok and to obtain a statement from them.</w:t>
      </w:r>
    </w:p>
    <w:p w14:paraId="4744DA2F"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I knew that the golden hour would be crucial and that this would ensure we had the best evidence to show or explain first-hand what had happened.</w:t>
      </w:r>
    </w:p>
    <w:p w14:paraId="37731E1B"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According to the Police oracle (2023) The advantages of making the most of early possibilities for evidence gathering and advancing urgent inquiries are comparable to those in a medical environment, except that there are risks to both life and the potential loss of evidence that can never be recovered.</w:t>
      </w:r>
    </w:p>
    <w:p w14:paraId="5656D443"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What made these actions complex was that there was limited CCTV / ring doorbell opportunities on the street where the assault had taken place. I was given instructions from my sergeant which I needed to process quickly. This included house-to house enquiries for CCTV or ring door-bell footage. This was unsuccessful. I then took the initiative and popped into a local barber shop where they did have footage of where the assault took place. However, this only showed the victim stumbling up the street when they were heading towards the police station. This was frustrating as there was no evidence to show who had done this.</w:t>
      </w:r>
    </w:p>
    <w:p w14:paraId="5C1A021A"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 </w:t>
      </w:r>
    </w:p>
    <w:p w14:paraId="6CCF91A2" w14:textId="77777777" w:rsidR="009951DF" w:rsidRPr="009951DF" w:rsidRDefault="009951DF" w:rsidP="009951DF">
      <w:pPr>
        <w:pStyle w:val="xmsonormal"/>
        <w:shd w:val="clear" w:color="auto" w:fill="FFFFFF"/>
        <w:spacing w:before="0" w:after="0"/>
      </w:pPr>
      <w:r w:rsidRPr="009951DF">
        <w:rPr>
          <w:rFonts w:ascii="Calibri" w:hAnsi="Calibri" w:cs="Calibri"/>
          <w:sz w:val="22"/>
          <w:szCs w:val="22"/>
        </w:rPr>
        <w:t>I knew that I had to speak with the victim who had been in hospital and had received a CT scan. I was sceptical of what the victim was going to tell me as on the initial call the victim did not mention any names but only a nickname.  My colleague and I arrived at the hospital and managed to take the victim home as he was discharged from the hospital. We then began to retrieve a statement from the victim who unfortunately could not remember a great deal and was unable to disclose the name of the main suspect and a clear description of what this male suspect looked like.</w:t>
      </w:r>
    </w:p>
    <w:p w14:paraId="7212ED28" w14:textId="77777777" w:rsidR="009951DF" w:rsidRPr="009951DF" w:rsidRDefault="009951DF" w:rsidP="009951DF">
      <w:pPr>
        <w:pStyle w:val="xxmsonormal"/>
        <w:shd w:val="clear" w:color="auto" w:fill="FFFFFF"/>
        <w:spacing w:before="0" w:after="0"/>
      </w:pPr>
      <w:r w:rsidRPr="009951DF">
        <w:rPr>
          <w:rFonts w:ascii="Calibri" w:hAnsi="Calibri" w:cs="Calibri"/>
        </w:rPr>
        <w:t>As per NIDirect (2015) they advise that a victim should provide the police with as much information as they can about the offence while giving a statement. This includes descriptions, identifying marks, or serial numbers </w:t>
      </w:r>
      <w:r w:rsidRPr="009951DF">
        <w:rPr>
          <w:rFonts w:ascii="Calibri" w:hAnsi="Calibri" w:cs="Calibri"/>
          <w:sz w:val="22"/>
          <w:szCs w:val="22"/>
        </w:rPr>
        <w:t>of any stolen or damaged property, descriptions or names of any participants in the crime or witnesses, registration numbers of any vehicles present at the scene.</w:t>
      </w:r>
    </w:p>
    <w:p w14:paraId="5B211ABB" w14:textId="77777777" w:rsidR="009951DF" w:rsidRPr="009951DF" w:rsidRDefault="009951DF" w:rsidP="009951DF">
      <w:pPr>
        <w:pStyle w:val="xxmsonormal"/>
        <w:shd w:val="clear" w:color="auto" w:fill="FFFFFF"/>
        <w:spacing w:before="0" w:after="0"/>
      </w:pPr>
      <w:r w:rsidRPr="009951DF">
        <w:rPr>
          <w:rFonts w:ascii="Calibri" w:hAnsi="Calibri" w:cs="Calibri"/>
          <w:sz w:val="22"/>
          <w:szCs w:val="22"/>
        </w:rPr>
        <w:t>As the victim could not provide us with much of the key information this made things difficult.</w:t>
      </w:r>
    </w:p>
    <w:p w14:paraId="200B53DF" w14:textId="77777777" w:rsidR="009951DF" w:rsidRPr="009951DF" w:rsidRDefault="009951DF" w:rsidP="009951DF">
      <w:pPr>
        <w:pStyle w:val="xxmsonormal"/>
        <w:shd w:val="clear" w:color="auto" w:fill="FFFFFF"/>
        <w:spacing w:before="0" w:after="0"/>
      </w:pPr>
      <w:r w:rsidRPr="009951DF">
        <w:rPr>
          <w:rFonts w:ascii="Calibri" w:hAnsi="Calibri" w:cs="Calibri"/>
          <w:sz w:val="22"/>
          <w:szCs w:val="22"/>
        </w:rPr>
        <w:t>A few hours later we had to take a second statement from the victim as he had advised us that</w:t>
      </w:r>
    </w:p>
    <w:p w14:paraId="6D9D66FA" w14:textId="77777777" w:rsidR="009951DF" w:rsidRPr="009951DF" w:rsidRDefault="009951DF" w:rsidP="009951DF">
      <w:pPr>
        <w:pStyle w:val="xxmsonormal"/>
        <w:shd w:val="clear" w:color="auto" w:fill="FFFFFF"/>
        <w:spacing w:before="0" w:after="0"/>
      </w:pPr>
      <w:r w:rsidRPr="009951DF">
        <w:rPr>
          <w:rFonts w:ascii="Calibri" w:hAnsi="Calibri" w:cs="Calibri"/>
          <w:sz w:val="22"/>
          <w:szCs w:val="22"/>
        </w:rPr>
        <w:lastRenderedPageBreak/>
        <w:t>previously he had given us inaccurate information. He advised that the description he had given us in the first statement of what the main suspect looked like was not accurate. It was then that I needed to adopt my skills of patience and understanding as the investigation had been delayed due to inaccurate information.</w:t>
      </w:r>
    </w:p>
    <w:p w14:paraId="4A848446" w14:textId="77777777" w:rsidR="009951DF" w:rsidRPr="009951DF" w:rsidRDefault="009951DF" w:rsidP="009951DF">
      <w:pPr>
        <w:pStyle w:val="xxmsonormal"/>
        <w:shd w:val="clear" w:color="auto" w:fill="FFFFFF"/>
        <w:spacing w:before="0" w:after="0"/>
      </w:pPr>
      <w:r w:rsidRPr="009951DF">
        <w:rPr>
          <w:rFonts w:ascii="Calibri" w:hAnsi="Calibri" w:cs="Calibri"/>
          <w:sz w:val="22"/>
          <w:szCs w:val="22"/>
        </w:rPr>
        <w:t xml:space="preserve"> I knew that it was vital that we had accurate information and   accurate details from the victim. This in turn made the investigation more complex. However even though the victim could not give a full name of the suspect and an accurate description, he was able to provide the names of the co-accused and what their role was. These co- accused had already been arrested by the response officer on the night of the assault. This proved to be a big benefit as we knew we could interview these accused and potentially get a full name of the main suspect involved.</w:t>
      </w:r>
    </w:p>
    <w:p w14:paraId="58D34A38" w14:textId="77777777" w:rsidR="009951DF" w:rsidRPr="009951DF" w:rsidRDefault="009951DF" w:rsidP="009951DF">
      <w:pPr>
        <w:pStyle w:val="xxmsonormal"/>
        <w:shd w:val="clear" w:color="auto" w:fill="FFFFFF"/>
        <w:spacing w:before="0" w:after="0"/>
      </w:pPr>
      <w:r w:rsidRPr="009951DF">
        <w:rPr>
          <w:rFonts w:ascii="Calibri" w:hAnsi="Calibri" w:cs="Calibri"/>
          <w:sz w:val="22"/>
          <w:szCs w:val="22"/>
        </w:rPr>
        <w:t> </w:t>
      </w:r>
    </w:p>
    <w:p w14:paraId="3CD3298D"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I then had to interview the three co-accused that were with the victim at the time of the assault  I made sure I had planned the interviews accordingly and put together questions that I believed would encourage the co- accused to talk about what had happened and tell us who the main suspect was. These questions would be short, open and easy to understand in order to obtain as much information as possible.</w:t>
      </w:r>
    </w:p>
    <w:p w14:paraId="0BEDCC95"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 xml:space="preserve"> The college of policing (2022) explains that questions ought to be as brief and uncomplicated as feasible. They shouldn't use jargon or other terms that the interviewee could not comprehend. Open-ended questions are an example of a question type that is helpful in getting information from the interviewee. </w:t>
      </w:r>
    </w:p>
    <w:p w14:paraId="3CCE391C"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Examples of the questions I prepared and asked were:</w:t>
      </w:r>
    </w:p>
    <w:p w14:paraId="4E71BDDD"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 xml:space="preserve"> ‘who were you with?’, ‘what happened?’ ‘who is the suspect?’. </w:t>
      </w:r>
    </w:p>
    <w:p w14:paraId="7C8DA731"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These questions would have helped me and my colleagues in this investigation. However, the interviews proved to be difficult due to all three of the co-accused answering ‘no comment’ in the  interview.</w:t>
      </w:r>
    </w:p>
    <w:p w14:paraId="6153EFD2" w14:textId="77777777" w:rsidR="009951DF" w:rsidRPr="009951DF" w:rsidRDefault="009951DF" w:rsidP="009951DF">
      <w:pPr>
        <w:pStyle w:val="xxmsonormal"/>
        <w:shd w:val="clear" w:color="auto" w:fill="FFFFFF"/>
        <w:spacing w:before="0" w:after="0"/>
        <w:rPr>
          <w:rFonts w:ascii="Calibri" w:hAnsi="Calibri" w:cs="Calibri"/>
          <w:sz w:val="22"/>
          <w:szCs w:val="22"/>
        </w:rPr>
      </w:pPr>
    </w:p>
    <w:p w14:paraId="6C243037"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 xml:space="preserve">My personal qualities that came across very clearly in the three interviews with each of the co-accused were my patience, my calm manner and my understanding of their situation. </w:t>
      </w:r>
    </w:p>
    <w:p w14:paraId="435AA185"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As I probed further in the interviews even when they had answered no comment it was clear that they were reluctant to say who the main suspect was even when I had given them the nickname of the main suspect.</w:t>
      </w:r>
    </w:p>
    <w:p w14:paraId="06F348C1" w14:textId="77777777" w:rsidR="009951DF" w:rsidRPr="009951DF" w:rsidRDefault="009951DF" w:rsidP="009951DF">
      <w:pPr>
        <w:pStyle w:val="xxmsonormal"/>
        <w:shd w:val="clear" w:color="auto" w:fill="FFFFFF"/>
        <w:spacing w:before="0" w:after="0"/>
        <w:rPr>
          <w:rFonts w:ascii="Calibri" w:hAnsi="Calibri" w:cs="Calibri"/>
          <w:sz w:val="22"/>
          <w:szCs w:val="22"/>
        </w:rPr>
      </w:pPr>
    </w:p>
    <w:p w14:paraId="3E3ADAFF" w14:textId="7977732E"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 xml:space="preserve">As soon as I asked why they would not tell me they all told me that they feared what would happen to them if they had given the full name of the suspect. I had to reassure them that nothing would happen to them and that they would be safeguarded after being interviewed however they continued to be reluctant to say who this suspect was. I felt that I had built a rapport with one of the co-accused in particular. He was starting to show some emotion and was becoming less tense. I thought that by using my personal qualities and to reassure him that he would eventually open up, however this not the case and this made the case more complex and frustrating for myself and my colleagues working on the case. We decided that we would have to bail the co accused as there was little to no involvement with them at the scene I had to make sure that with their bail conditions they would have to have no contact with the victim and also will have reside elsewhere, this was put in place not only to safeguard the victim but also to safeguard the co-accused. As per the CPS (2017) only in cases when it is essential to guarantee that the exceptions to bail be addressed may conditions of bail be imposed. Remand in custody should only be requested when bail restrictions are insufficient to satisfy the exceptions to bail. I knew that we would be unable to remand ay of the co-accused due to their lack of involvement. </w:t>
      </w:r>
    </w:p>
    <w:p w14:paraId="72F03C07" w14:textId="77777777" w:rsidR="009951DF" w:rsidRPr="009951DF" w:rsidRDefault="009951DF" w:rsidP="009951DF">
      <w:pPr>
        <w:pStyle w:val="xxmsonormal"/>
        <w:shd w:val="clear" w:color="auto" w:fill="FFFFFF"/>
        <w:spacing w:before="0" w:after="0"/>
        <w:rPr>
          <w:rFonts w:ascii="Calibri" w:hAnsi="Calibri" w:cs="Calibri"/>
          <w:sz w:val="22"/>
          <w:szCs w:val="22"/>
        </w:rPr>
      </w:pPr>
    </w:p>
    <w:p w14:paraId="053BDF1E"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Over the next few days I was looking for where else I would be able to find any evidence of who the suspect was and if there were any leads to go on, however this was becoming more and more difficult as each venue felt as if it had been explored. However I received a phone call from the co-</w:t>
      </w:r>
      <w:r w:rsidRPr="009951DF">
        <w:rPr>
          <w:rFonts w:ascii="Calibri" w:hAnsi="Calibri" w:cs="Calibri"/>
          <w:sz w:val="22"/>
          <w:szCs w:val="22"/>
        </w:rPr>
        <w:lastRenderedPageBreak/>
        <w:t xml:space="preserve">accused who I built a rapport with in the interview who advised me that he was hearing from other people that the main suspect was actually blaming the assault on the co -accused. Due to this the co accused actually came forward and gave the main suspects full name. I thanked him greatly and assured him that the main suspect will not know who has told me this information. I was straight away able to look the name up on our system which brought up a person who had a big history with violence and was residing at the flats where the assault took place, this person also matched the description given by the victim. </w:t>
      </w:r>
    </w:p>
    <w:p w14:paraId="64EB3E10" w14:textId="77777777" w:rsidR="009951DF" w:rsidRPr="009951DF" w:rsidRDefault="009951DF" w:rsidP="009951DF">
      <w:pPr>
        <w:pStyle w:val="xxmsonormal"/>
        <w:shd w:val="clear" w:color="auto" w:fill="FFFFFF"/>
        <w:spacing w:before="0" w:after="0"/>
        <w:rPr>
          <w:rFonts w:ascii="Calibri" w:hAnsi="Calibri" w:cs="Calibri"/>
          <w:sz w:val="22"/>
          <w:szCs w:val="22"/>
        </w:rPr>
      </w:pPr>
    </w:p>
    <w:p w14:paraId="2FB8E68C"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I was then able to arrest this suspect on suspicion of assault by GBH, once I had done this I was then able to contact the council who own the flats and gave them the information they needed in order to access the CCTV within the flats. They were then able to send me footage of the day in question with the relevant times. The footage showed the suspect coming from his flat with a metal torch in his hand and proceeded to walk outside the flats. It the showed moments later where he had returned into the block of flats still holding the torch. Calipsa (2020) explains how CCTV can be important for the reduction of crime but also Instead, video evidence can be a crucial resource for later suspect tracking. In this case were were able to put this footage to the suspect in interview and ask him questions</w:t>
      </w:r>
    </w:p>
    <w:p w14:paraId="63715090" w14:textId="77777777" w:rsidR="009951DF" w:rsidRPr="009951DF" w:rsidRDefault="009951DF" w:rsidP="009951DF">
      <w:pPr>
        <w:pStyle w:val="xxmsonormal"/>
        <w:shd w:val="clear" w:color="auto" w:fill="FFFFFF"/>
        <w:spacing w:before="0" w:after="0"/>
      </w:pPr>
    </w:p>
    <w:p w14:paraId="0D2C9E00" w14:textId="77777777" w:rsidR="009951DF" w:rsidRPr="009951DF" w:rsidRDefault="009951DF" w:rsidP="009951DF">
      <w:pPr>
        <w:pStyle w:val="xxmsonormal"/>
        <w:shd w:val="clear" w:color="auto" w:fill="FFFFFF"/>
        <w:spacing w:before="0" w:after="0"/>
      </w:pPr>
      <w:r w:rsidRPr="009951DF">
        <w:rPr>
          <w:rFonts w:ascii="Calibri" w:hAnsi="Calibri" w:cs="Calibri"/>
          <w:sz w:val="22"/>
          <w:szCs w:val="22"/>
        </w:rPr>
        <w:t>I knew that the victim had been involved in a traumatic experience and that I now needed to safeguard the victim and offer help and assistance from partners and multi agencies.</w:t>
      </w:r>
    </w:p>
    <w:p w14:paraId="03B618E1" w14:textId="77777777" w:rsidR="009951DF" w:rsidRPr="009951DF" w:rsidRDefault="009951DF" w:rsidP="009951DF">
      <w:pPr>
        <w:pStyle w:val="xxmsonormal"/>
        <w:shd w:val="clear" w:color="auto" w:fill="FFFFFF"/>
        <w:spacing w:before="0" w:after="0"/>
        <w:rPr>
          <w:rFonts w:ascii="Calibri" w:hAnsi="Calibri" w:cs="Calibri"/>
          <w:sz w:val="22"/>
          <w:szCs w:val="22"/>
        </w:rPr>
      </w:pPr>
      <w:r w:rsidRPr="009951DF">
        <w:rPr>
          <w:rFonts w:ascii="Calibri" w:hAnsi="Calibri" w:cs="Calibri"/>
          <w:sz w:val="22"/>
          <w:szCs w:val="22"/>
        </w:rPr>
        <w:t>South Tyneside (2018) explains that police investigations into crimes take precedence over all other inquiries. However, a multi-agency strategy should be agreed upon to guarantee that the adult's interests and personal preferences are taken into account at all times, even if the adult chooses not to offer any evidence or support a prosecution. The wellbeing of the adult, as well as that of others, including children, is of utmost importance, and ongoing risk assessment is necessary to make sure that the outcome is favourable to and helps their wellbeing.</w:t>
      </w:r>
    </w:p>
    <w:p w14:paraId="31BDFFAB" w14:textId="77777777" w:rsidR="009951DF" w:rsidRPr="009951DF" w:rsidRDefault="009951DF" w:rsidP="0FF883D4">
      <w:pPr>
        <w:ind w:right="237"/>
        <w:jc w:val="both"/>
        <w:rPr>
          <w:b/>
          <w:bCs/>
          <w:color w:val="auto"/>
          <w:sz w:val="28"/>
          <w:szCs w:val="28"/>
        </w:rPr>
      </w:pPr>
    </w:p>
    <w:p w14:paraId="66D27FA2" w14:textId="2E573F43" w:rsidR="0FF883D4" w:rsidRPr="009951DF" w:rsidRDefault="0FF883D4" w:rsidP="0FF883D4">
      <w:pPr>
        <w:ind w:right="237"/>
        <w:jc w:val="both"/>
        <w:rPr>
          <w:color w:val="auto"/>
          <w:sz w:val="24"/>
          <w:szCs w:val="24"/>
        </w:rPr>
      </w:pPr>
    </w:p>
    <w:p w14:paraId="68085F9A" w14:textId="1708B427" w:rsidR="0FF883D4" w:rsidRPr="009951DF" w:rsidRDefault="0FF883D4" w:rsidP="0FF883D4">
      <w:pPr>
        <w:ind w:right="237"/>
        <w:jc w:val="both"/>
        <w:rPr>
          <w:color w:val="auto"/>
          <w:sz w:val="24"/>
          <w:szCs w:val="24"/>
        </w:rPr>
      </w:pPr>
    </w:p>
    <w:p w14:paraId="424576ED" w14:textId="4904159A" w:rsidR="0FF883D4" w:rsidRPr="009951DF" w:rsidRDefault="0FF883D4" w:rsidP="0FF883D4">
      <w:pPr>
        <w:ind w:right="237"/>
        <w:jc w:val="both"/>
        <w:rPr>
          <w:color w:val="auto"/>
          <w:sz w:val="24"/>
          <w:szCs w:val="24"/>
        </w:rPr>
      </w:pPr>
    </w:p>
    <w:p w14:paraId="7CCC989E" w14:textId="5D7DD8E1" w:rsidR="0FF883D4" w:rsidRPr="009951DF" w:rsidRDefault="0FF883D4" w:rsidP="0FF883D4">
      <w:pPr>
        <w:ind w:right="237"/>
        <w:jc w:val="both"/>
        <w:rPr>
          <w:color w:val="auto"/>
          <w:sz w:val="24"/>
          <w:szCs w:val="24"/>
        </w:rPr>
      </w:pPr>
    </w:p>
    <w:p w14:paraId="3DB202D7" w14:textId="796D15F7" w:rsidR="0FF883D4" w:rsidRPr="009951DF" w:rsidRDefault="0FF883D4" w:rsidP="0FF883D4">
      <w:pPr>
        <w:ind w:right="237"/>
        <w:jc w:val="both"/>
        <w:rPr>
          <w:color w:val="auto"/>
          <w:sz w:val="24"/>
          <w:szCs w:val="24"/>
        </w:rPr>
      </w:pPr>
    </w:p>
    <w:p w14:paraId="550E30AF" w14:textId="77777777" w:rsidR="00025650" w:rsidRPr="009951DF" w:rsidRDefault="00025650" w:rsidP="00340E9A">
      <w:pPr>
        <w:ind w:right="237"/>
        <w:jc w:val="both"/>
        <w:rPr>
          <w:b/>
          <w:color w:val="auto"/>
          <w:sz w:val="24"/>
          <w:szCs w:val="24"/>
        </w:rPr>
      </w:pPr>
    </w:p>
    <w:p w14:paraId="1C6E93E6" w14:textId="77777777" w:rsidR="00025650" w:rsidRPr="00E676F7" w:rsidRDefault="00025650" w:rsidP="00340E9A">
      <w:pPr>
        <w:ind w:right="237"/>
      </w:pPr>
      <w:r w:rsidRPr="009951DF">
        <w:rPr>
          <w:color w:val="auto"/>
        </w:rP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D49063C" w14:textId="77777777" w:rsidR="009951DF" w:rsidRDefault="009951DF" w:rsidP="009951DF">
      <w:r>
        <w:rPr>
          <w:rFonts w:ascii="Roboto" w:hAnsi="Roboto"/>
          <w:color w:val="747F8B"/>
          <w:sz w:val="21"/>
          <w:szCs w:val="21"/>
          <w:shd w:val="clear" w:color="auto" w:fill="E3E8EE"/>
        </w:rPr>
        <w:t>HMICFRS (2020). A Call for Help. </w:t>
      </w:r>
      <w:r>
        <w:rPr>
          <w:rFonts w:ascii="Roboto" w:hAnsi="Roboto"/>
          <w:i/>
          <w:iCs/>
          <w:color w:val="747F8B"/>
          <w:sz w:val="21"/>
          <w:szCs w:val="21"/>
          <w:shd w:val="clear" w:color="auto" w:fill="E3E8EE"/>
        </w:rPr>
        <w:t>Science</w:t>
      </w:r>
      <w:r>
        <w:rPr>
          <w:rFonts w:ascii="Roboto" w:hAnsi="Roboto"/>
          <w:color w:val="747F8B"/>
          <w:sz w:val="21"/>
          <w:szCs w:val="21"/>
          <w:shd w:val="clear" w:color="auto" w:fill="E3E8EE"/>
        </w:rPr>
        <w:t xml:space="preserve">, 221(4614), pp.943–943 </w:t>
      </w:r>
    </w:p>
    <w:p w14:paraId="4580D409" w14:textId="77777777" w:rsidR="009951DF" w:rsidRDefault="009951DF" w:rsidP="009951DF">
      <w:pPr>
        <w:rPr>
          <w:rFonts w:ascii="Roboto" w:hAnsi="Roboto"/>
          <w:color w:val="747F8B"/>
          <w:sz w:val="21"/>
          <w:szCs w:val="21"/>
          <w:shd w:val="clear" w:color="auto" w:fill="E3E8EE"/>
        </w:rPr>
      </w:pPr>
    </w:p>
    <w:p w14:paraId="7A53257F" w14:textId="77777777" w:rsidR="009951DF" w:rsidRDefault="009951DF" w:rsidP="009951DF">
      <w:r>
        <w:rPr>
          <w:rFonts w:ascii="Roboto" w:hAnsi="Roboto"/>
          <w:color w:val="747F8B"/>
          <w:sz w:val="21"/>
          <w:szCs w:val="21"/>
          <w:shd w:val="clear" w:color="auto" w:fill="E3E8EE"/>
        </w:rPr>
        <w:t>Victim Support (2022). </w:t>
      </w:r>
      <w:r>
        <w:rPr>
          <w:rFonts w:ascii="Roboto" w:hAnsi="Roboto"/>
          <w:i/>
          <w:iCs/>
          <w:color w:val="747F8B"/>
          <w:sz w:val="21"/>
          <w:szCs w:val="21"/>
          <w:shd w:val="clear" w:color="auto" w:fill="E3E8EE"/>
        </w:rPr>
        <w:t>Burglary</w:t>
      </w:r>
      <w:r>
        <w:rPr>
          <w:rFonts w:ascii="Roboto" w:hAnsi="Roboto"/>
          <w:color w:val="747F8B"/>
          <w:sz w:val="21"/>
          <w:szCs w:val="21"/>
          <w:shd w:val="clear" w:color="auto" w:fill="E3E8EE"/>
        </w:rPr>
        <w:t xml:space="preserve">. [online] Victim Support. Available at: </w:t>
      </w:r>
      <w:hyperlink r:id="rId21" w:history="1">
        <w:r>
          <w:rPr>
            <w:rStyle w:val="Hyperlink"/>
            <w:rFonts w:ascii="Roboto" w:hAnsi="Roboto"/>
            <w:sz w:val="21"/>
            <w:szCs w:val="21"/>
            <w:shd w:val="clear" w:color="auto" w:fill="E3E8EE"/>
          </w:rPr>
          <w:t>https://www.victimsupport.org.uk/crime-info/types-crime/burglary/</w:t>
        </w:r>
      </w:hyperlink>
      <w:r>
        <w:rPr>
          <w:rFonts w:ascii="Roboto" w:hAnsi="Roboto"/>
          <w:color w:val="747F8B"/>
          <w:sz w:val="21"/>
          <w:szCs w:val="21"/>
          <w:shd w:val="clear" w:color="auto" w:fill="E3E8EE"/>
        </w:rPr>
        <w:t xml:space="preserve"> </w:t>
      </w:r>
    </w:p>
    <w:p w14:paraId="62D27D3C" w14:textId="77777777" w:rsidR="009951DF" w:rsidRDefault="009951DF" w:rsidP="009951DF">
      <w:pPr>
        <w:rPr>
          <w:rFonts w:ascii="Roboto" w:hAnsi="Roboto"/>
          <w:color w:val="747F8B"/>
          <w:sz w:val="21"/>
          <w:szCs w:val="21"/>
          <w:shd w:val="clear" w:color="auto" w:fill="E3E8EE"/>
        </w:rPr>
      </w:pPr>
    </w:p>
    <w:p w14:paraId="401B49A1" w14:textId="77777777" w:rsidR="009951DF" w:rsidRDefault="009951DF" w:rsidP="009951DF">
      <w:r>
        <w:rPr>
          <w:rFonts w:ascii="Roboto" w:hAnsi="Roboto"/>
          <w:color w:val="747F8B"/>
          <w:sz w:val="21"/>
          <w:szCs w:val="21"/>
          <w:shd w:val="clear" w:color="auto" w:fill="E3E8EE"/>
        </w:rPr>
        <w:t>Inzunza, M. (2022). The significance of victim ideality in interactions between crime victims and police officers. </w:t>
      </w:r>
      <w:r>
        <w:rPr>
          <w:i/>
          <w:iCs/>
        </w:rPr>
        <w:t>International Journal of Law, Crime and Justice</w:t>
      </w:r>
      <w:r>
        <w:t xml:space="preserve">, 68, p.100522. doi:https://doi.org/10.1016/j.ijlcj.2021.100522 </w:t>
      </w:r>
    </w:p>
    <w:p w14:paraId="71E46F5D" w14:textId="77777777" w:rsidR="009951DF" w:rsidRDefault="009951DF" w:rsidP="009951DF">
      <w:r>
        <w:br/>
      </w:r>
      <w:r>
        <w:rPr>
          <w:rFonts w:ascii="Roboto" w:hAnsi="Roboto"/>
          <w:color w:val="747F8B"/>
          <w:sz w:val="21"/>
          <w:szCs w:val="21"/>
          <w:shd w:val="clear" w:color="auto" w:fill="E3E8EE"/>
        </w:rPr>
        <w:t>Dev (2019). </w:t>
      </w:r>
      <w:r>
        <w:rPr>
          <w:rFonts w:ascii="Roboto" w:hAnsi="Roboto"/>
          <w:i/>
          <w:iCs/>
          <w:color w:val="747F8B"/>
          <w:sz w:val="21"/>
          <w:szCs w:val="21"/>
          <w:shd w:val="clear" w:color="auto" w:fill="E3E8EE"/>
        </w:rPr>
        <w:t>What is a ‘vulnerable victim’?</w:t>
      </w:r>
      <w:r>
        <w:rPr>
          <w:rFonts w:ascii="Roboto" w:hAnsi="Roboto"/>
          <w:color w:val="747F8B"/>
          <w:sz w:val="21"/>
          <w:szCs w:val="21"/>
          <w:shd w:val="clear" w:color="auto" w:fill="E3E8EE"/>
        </w:rPr>
        <w:t xml:space="preserve"> [online] Central Chambers Manchester. Available at: </w:t>
      </w:r>
      <w:hyperlink r:id="rId22" w:history="1">
        <w:r>
          <w:rPr>
            <w:rStyle w:val="Hyperlink"/>
            <w:rFonts w:ascii="Roboto" w:hAnsi="Roboto"/>
            <w:sz w:val="21"/>
            <w:szCs w:val="21"/>
            <w:shd w:val="clear" w:color="auto" w:fill="E3E8EE"/>
          </w:rPr>
          <w:t>https://centralchambers.co.uk/what-is-a-vulnerable-victim/</w:t>
        </w:r>
      </w:hyperlink>
      <w:r>
        <w:rPr>
          <w:rFonts w:ascii="Roboto" w:hAnsi="Roboto"/>
          <w:color w:val="747F8B"/>
          <w:sz w:val="21"/>
          <w:szCs w:val="21"/>
          <w:shd w:val="clear" w:color="auto" w:fill="E3E8EE"/>
        </w:rPr>
        <w:t xml:space="preserve">. </w:t>
      </w:r>
    </w:p>
    <w:p w14:paraId="639146BB" w14:textId="77777777" w:rsidR="009951DF" w:rsidRDefault="009951DF" w:rsidP="009951DF">
      <w:pPr>
        <w:rPr>
          <w:rFonts w:ascii="Roboto" w:hAnsi="Roboto"/>
          <w:color w:val="747F8B"/>
          <w:sz w:val="21"/>
          <w:szCs w:val="21"/>
          <w:shd w:val="clear" w:color="auto" w:fill="E3E8EE"/>
        </w:rPr>
      </w:pPr>
    </w:p>
    <w:p w14:paraId="57536F31" w14:textId="77777777" w:rsidR="009951DF" w:rsidRDefault="009951DF" w:rsidP="009951DF">
      <w:r>
        <w:rPr>
          <w:rFonts w:ascii="Roboto" w:hAnsi="Roboto"/>
          <w:color w:val="747F8B"/>
          <w:sz w:val="21"/>
          <w:szCs w:val="21"/>
          <w:shd w:val="clear" w:color="auto" w:fill="E3E8EE"/>
        </w:rPr>
        <w:t>Ministry of Justice (2015). </w:t>
      </w:r>
      <w:r>
        <w:rPr>
          <w:i/>
          <w:iCs/>
          <w:color w:val="747F8B"/>
          <w:shd w:val="clear" w:color="auto" w:fill="E3E8EE"/>
        </w:rPr>
        <w:t>Code of Practice for Victims of Crime</w:t>
      </w:r>
      <w:r>
        <w:rPr>
          <w:color w:val="747F8B"/>
          <w:shd w:val="clear" w:color="auto" w:fill="E3E8EE"/>
        </w:rPr>
        <w:t xml:space="preserve">. [online] Available at: </w:t>
      </w:r>
      <w:hyperlink r:id="rId23" w:history="1">
        <w:r>
          <w:rPr>
            <w:rStyle w:val="Hyperlink"/>
            <w:shd w:val="clear" w:color="auto" w:fill="E3E8EE"/>
          </w:rPr>
          <w:t>https://www.cps.gov.uk/sites/default/files/documents/legal_guidance/OD_000049.pdf</w:t>
        </w:r>
      </w:hyperlink>
      <w:r>
        <w:rPr>
          <w:color w:val="747F8B"/>
          <w:shd w:val="clear" w:color="auto" w:fill="E3E8EE"/>
        </w:rPr>
        <w:t xml:space="preserve"> </w:t>
      </w:r>
    </w:p>
    <w:p w14:paraId="36DD7CEC" w14:textId="77777777" w:rsidR="009951DF" w:rsidRDefault="009951DF" w:rsidP="009951DF">
      <w:pPr>
        <w:rPr>
          <w:rFonts w:ascii="Roboto" w:hAnsi="Roboto"/>
          <w:color w:val="747F8B"/>
          <w:sz w:val="21"/>
          <w:szCs w:val="21"/>
          <w:shd w:val="clear" w:color="auto" w:fill="E3E8EE"/>
        </w:rPr>
      </w:pPr>
    </w:p>
    <w:p w14:paraId="6A0E4691" w14:textId="77777777" w:rsidR="009951DF" w:rsidRDefault="009951DF" w:rsidP="009951DF">
      <w:r>
        <w:rPr>
          <w:rFonts w:ascii="Roboto" w:hAnsi="Roboto"/>
          <w:color w:val="747F8B"/>
          <w:sz w:val="21"/>
          <w:szCs w:val="21"/>
          <w:shd w:val="clear" w:color="auto" w:fill="E3E8EE"/>
        </w:rPr>
        <w:t>Ministry of justice (2013). </w:t>
      </w:r>
      <w:r>
        <w:rPr>
          <w:i/>
          <w:iCs/>
          <w:color w:val="747F8B"/>
          <w:shd w:val="clear" w:color="auto" w:fill="E3E8EE"/>
        </w:rPr>
        <w:t>Making a Victim Personal Statement</w:t>
      </w:r>
      <w:r>
        <w:rPr>
          <w:color w:val="747F8B"/>
          <w:shd w:val="clear" w:color="auto" w:fill="E3E8EE"/>
        </w:rPr>
        <w:t xml:space="preserve">. [online] Available at: </w:t>
      </w:r>
      <w:hyperlink r:id="rId24" w:history="1">
        <w:r>
          <w:rPr>
            <w:rStyle w:val="Hyperlink"/>
            <w:shd w:val="clear" w:color="auto" w:fill="E3E8EE"/>
          </w:rPr>
          <w:t>https://assets.publishing.service.gov.uk/government/uploads/system/uploads/attachment_data/file/264625/victims-vps-guidance.pdf</w:t>
        </w:r>
      </w:hyperlink>
      <w:r>
        <w:rPr>
          <w:color w:val="747F8B"/>
          <w:shd w:val="clear" w:color="auto" w:fill="E3E8EE"/>
        </w:rPr>
        <w:t xml:space="preserve"> </w:t>
      </w:r>
    </w:p>
    <w:p w14:paraId="40B62AE7" w14:textId="77777777" w:rsidR="009951DF" w:rsidRDefault="009951DF" w:rsidP="009951DF">
      <w:pPr>
        <w:rPr>
          <w:color w:val="747F8B"/>
          <w:shd w:val="clear" w:color="auto" w:fill="E3E8EE"/>
        </w:rPr>
      </w:pPr>
    </w:p>
    <w:p w14:paraId="2798ADEC" w14:textId="77777777" w:rsidR="009951DF" w:rsidRDefault="009951DF" w:rsidP="009951DF">
      <w:r>
        <w:rPr>
          <w:rFonts w:ascii="Roboto" w:hAnsi="Roboto"/>
          <w:color w:val="747F8B"/>
          <w:sz w:val="21"/>
          <w:szCs w:val="21"/>
          <w:shd w:val="clear" w:color="auto" w:fill="E3E8EE"/>
        </w:rPr>
        <w:t>Byrd, M. (2019). </w:t>
      </w:r>
      <w:r>
        <w:rPr>
          <w:rFonts w:ascii="Roboto" w:hAnsi="Roboto"/>
          <w:i/>
          <w:iCs/>
          <w:color w:val="747F8B"/>
          <w:sz w:val="21"/>
          <w:szCs w:val="21"/>
          <w:shd w:val="clear" w:color="auto" w:fill="E3E8EE"/>
        </w:rPr>
        <w:t>Duty Description for the Crime Scene Investigator</w:t>
      </w:r>
      <w:r>
        <w:rPr>
          <w:rFonts w:ascii="Roboto" w:hAnsi="Roboto"/>
          <w:color w:val="747F8B"/>
          <w:sz w:val="21"/>
          <w:szCs w:val="21"/>
          <w:shd w:val="clear" w:color="auto" w:fill="E3E8EE"/>
        </w:rPr>
        <w:t xml:space="preserve">. [online] Crime-scene-investigator.net. Available at: </w:t>
      </w:r>
      <w:hyperlink r:id="rId25" w:history="1">
        <w:r>
          <w:rPr>
            <w:rStyle w:val="Hyperlink"/>
            <w:rFonts w:ascii="Roboto" w:hAnsi="Roboto"/>
            <w:sz w:val="21"/>
            <w:szCs w:val="21"/>
            <w:shd w:val="clear" w:color="auto" w:fill="E3E8EE"/>
          </w:rPr>
          <w:t>https://www.crime-scene-investigator.net/dutydescription.html</w:t>
        </w:r>
      </w:hyperlink>
      <w:r>
        <w:rPr>
          <w:rFonts w:ascii="Roboto" w:hAnsi="Roboto"/>
          <w:color w:val="747F8B"/>
          <w:sz w:val="21"/>
          <w:szCs w:val="21"/>
          <w:shd w:val="clear" w:color="auto" w:fill="E3E8EE"/>
        </w:rPr>
        <w:t xml:space="preserve">.  </w:t>
      </w:r>
    </w:p>
    <w:p w14:paraId="2754ED95" w14:textId="77777777" w:rsidR="009951DF" w:rsidRDefault="009951DF" w:rsidP="009951DF">
      <w:r>
        <w:rPr>
          <w:rFonts w:ascii="Roboto" w:hAnsi="Roboto"/>
          <w:color w:val="747F8B"/>
          <w:sz w:val="21"/>
          <w:szCs w:val="21"/>
          <w:shd w:val="clear" w:color="auto" w:fill="E3E8EE"/>
        </w:rPr>
        <w:t>Bridgeman, C. and Hobbs, L. (1997). </w:t>
      </w:r>
      <w:r>
        <w:rPr>
          <w:rFonts w:ascii="Roboto" w:hAnsi="Roboto"/>
          <w:i/>
          <w:iCs/>
          <w:color w:val="747F8B"/>
          <w:sz w:val="21"/>
          <w:szCs w:val="21"/>
          <w:shd w:val="clear" w:color="auto" w:fill="E3E8EE"/>
        </w:rPr>
        <w:t>Preventing Repeat Victimisation: the police officers’ guide Domestic Violence Commercial Burglary Racial Incidents Bullying Vandalism Computer Crime Armed Robbery Witness Intimidation Car Crime School Property Crime Obscene Telephone Calls Stalking Burglary Domestic Violence Commercial Burglary Racial Incidents Bullying Vandalism Computer Crime Armed Robbery Witness Intimidation Car Crime School Property Crime Obscene Telephone Calls Stalking</w:t>
      </w:r>
      <w:r>
        <w:rPr>
          <w:rFonts w:ascii="Roboto" w:hAnsi="Roboto"/>
          <w:color w:val="747F8B"/>
          <w:sz w:val="21"/>
          <w:szCs w:val="21"/>
          <w:shd w:val="clear" w:color="auto" w:fill="E3E8EE"/>
        </w:rPr>
        <w:t xml:space="preserve">. [online] Available at: </w:t>
      </w:r>
      <w:hyperlink r:id="rId26" w:history="1">
        <w:r>
          <w:rPr>
            <w:rStyle w:val="Hyperlink"/>
            <w:rFonts w:ascii="Roboto" w:hAnsi="Roboto"/>
            <w:sz w:val="21"/>
            <w:szCs w:val="21"/>
            <w:shd w:val="clear" w:color="auto" w:fill="E3E8EE"/>
          </w:rPr>
          <w:t>https://popcenter.asu.edu/sites/default/files/problems/domestic_violence/PDFs/Bridgeman&amp;Hobbs_1997.pdf</w:t>
        </w:r>
      </w:hyperlink>
      <w:r>
        <w:rPr>
          <w:rFonts w:ascii="Roboto" w:hAnsi="Roboto"/>
          <w:color w:val="747F8B"/>
          <w:sz w:val="21"/>
          <w:szCs w:val="21"/>
          <w:shd w:val="clear" w:color="auto" w:fill="E3E8EE"/>
        </w:rPr>
        <w:t xml:space="preserve">.  </w:t>
      </w:r>
    </w:p>
    <w:p w14:paraId="002B4579" w14:textId="77777777" w:rsidR="009951DF" w:rsidRDefault="009951DF" w:rsidP="009951DF">
      <w:r>
        <w:rPr>
          <w:rFonts w:ascii="Roboto" w:hAnsi="Roboto"/>
          <w:color w:val="747F8B"/>
          <w:sz w:val="21"/>
          <w:szCs w:val="21"/>
          <w:shd w:val="clear" w:color="auto" w:fill="E3E8EE"/>
        </w:rPr>
        <w:t>Cornell Law School (2020). </w:t>
      </w:r>
      <w:r>
        <w:rPr>
          <w:rFonts w:ascii="Roboto" w:hAnsi="Roboto"/>
          <w:i/>
          <w:iCs/>
          <w:color w:val="747F8B"/>
          <w:sz w:val="21"/>
          <w:szCs w:val="21"/>
          <w:shd w:val="clear" w:color="auto" w:fill="E3E8EE"/>
        </w:rPr>
        <w:t>Modus Operandi</w:t>
      </w:r>
      <w:r>
        <w:rPr>
          <w:rFonts w:ascii="Roboto" w:hAnsi="Roboto"/>
          <w:color w:val="747F8B"/>
          <w:sz w:val="21"/>
          <w:szCs w:val="21"/>
          <w:shd w:val="clear" w:color="auto" w:fill="E3E8EE"/>
        </w:rPr>
        <w:t xml:space="preserve">. [online] LII / Legal Information Institute. Available at: </w:t>
      </w:r>
      <w:hyperlink r:id="rId27" w:anchor=":~:text=Primary%20tabs" w:history="1">
        <w:r>
          <w:rPr>
            <w:rStyle w:val="Hyperlink"/>
            <w:rFonts w:ascii="Roboto" w:hAnsi="Roboto"/>
            <w:sz w:val="21"/>
            <w:szCs w:val="21"/>
            <w:shd w:val="clear" w:color="auto" w:fill="E3E8EE"/>
          </w:rPr>
          <w:t>https://www.law.cornell.edu/wex/modus_operandi#:~:text=Primary%20tabs</w:t>
        </w:r>
      </w:hyperlink>
      <w:r>
        <w:rPr>
          <w:rFonts w:ascii="Roboto" w:hAnsi="Roboto"/>
          <w:color w:val="747F8B"/>
          <w:sz w:val="21"/>
          <w:szCs w:val="21"/>
          <w:shd w:val="clear" w:color="auto" w:fill="E3E8EE"/>
        </w:rPr>
        <w:t xml:space="preserve">. </w:t>
      </w:r>
    </w:p>
    <w:p w14:paraId="1714EC5B" w14:textId="77777777" w:rsidR="009951DF" w:rsidRDefault="009951DF" w:rsidP="009951DF">
      <w:pPr>
        <w:rPr>
          <w:rFonts w:ascii="Roboto" w:hAnsi="Roboto"/>
          <w:color w:val="747F8B"/>
          <w:sz w:val="21"/>
          <w:szCs w:val="21"/>
          <w:shd w:val="clear" w:color="auto" w:fill="E3E8EE"/>
        </w:rPr>
      </w:pPr>
    </w:p>
    <w:p w14:paraId="18BC17C9" w14:textId="77777777" w:rsidR="009951DF" w:rsidRDefault="009951DF" w:rsidP="009951DF">
      <w:r>
        <w:rPr>
          <w:rFonts w:ascii="Roboto" w:hAnsi="Roboto"/>
          <w:color w:val="747F8B"/>
          <w:sz w:val="21"/>
          <w:szCs w:val="21"/>
          <w:shd w:val="clear" w:color="auto" w:fill="E3E8EE"/>
        </w:rPr>
        <w:t xml:space="preserve"> Policeoracle (2023). </w:t>
      </w:r>
      <w:r>
        <w:rPr>
          <w:rFonts w:ascii="Roboto" w:hAnsi="Roboto"/>
          <w:i/>
          <w:iCs/>
          <w:color w:val="747F8B"/>
          <w:sz w:val="21"/>
          <w:szCs w:val="21"/>
          <w:shd w:val="clear" w:color="auto" w:fill="E3E8EE"/>
        </w:rPr>
        <w:t>Police Oracle</w:t>
      </w:r>
      <w:r>
        <w:rPr>
          <w:rFonts w:ascii="Roboto" w:hAnsi="Roboto"/>
          <w:color w:val="747F8B"/>
          <w:sz w:val="21"/>
          <w:szCs w:val="21"/>
          <w:shd w:val="clear" w:color="auto" w:fill="E3E8EE"/>
        </w:rPr>
        <w:t xml:space="preserve">. [online] touch.policeoracle.com. Available at: </w:t>
      </w:r>
      <w:hyperlink r:id="rId28" w:history="1">
        <w:r>
          <w:rPr>
            <w:rStyle w:val="Hyperlink"/>
            <w:rFonts w:ascii="Roboto" w:hAnsi="Roboto"/>
            <w:sz w:val="21"/>
            <w:szCs w:val="21"/>
            <w:shd w:val="clear" w:color="auto" w:fill="E3E8EE"/>
          </w:rPr>
          <w:t>https://touch.policeoracle.com/news/article.cfm?id=36445</w:t>
        </w:r>
      </w:hyperlink>
      <w:r>
        <w:rPr>
          <w:rFonts w:ascii="Roboto" w:hAnsi="Roboto"/>
          <w:color w:val="747F8B"/>
          <w:sz w:val="21"/>
          <w:szCs w:val="21"/>
          <w:shd w:val="clear" w:color="auto" w:fill="E3E8EE"/>
        </w:rPr>
        <w:t>.</w:t>
      </w:r>
    </w:p>
    <w:p w14:paraId="02E928C3" w14:textId="77777777" w:rsidR="009951DF" w:rsidRDefault="009951DF" w:rsidP="009951DF">
      <w:r>
        <w:br/>
      </w:r>
      <w:r>
        <w:rPr>
          <w:rFonts w:ascii="Roboto" w:hAnsi="Roboto"/>
          <w:color w:val="747F8B"/>
          <w:sz w:val="21"/>
          <w:szCs w:val="21"/>
          <w:shd w:val="clear" w:color="auto" w:fill="E3E8EE"/>
        </w:rPr>
        <w:t>NIDirect (2015). </w:t>
      </w:r>
      <w:r>
        <w:rPr>
          <w:rFonts w:ascii="Roboto" w:hAnsi="Roboto"/>
          <w:i/>
          <w:iCs/>
          <w:color w:val="747F8B"/>
          <w:sz w:val="21"/>
          <w:szCs w:val="21"/>
          <w:shd w:val="clear" w:color="auto" w:fill="E3E8EE"/>
        </w:rPr>
        <w:t>Giving a statement to the police</w:t>
      </w:r>
      <w:r>
        <w:rPr>
          <w:rFonts w:ascii="Roboto" w:hAnsi="Roboto"/>
          <w:color w:val="747F8B"/>
          <w:sz w:val="21"/>
          <w:szCs w:val="21"/>
          <w:shd w:val="clear" w:color="auto" w:fill="E3E8EE"/>
        </w:rPr>
        <w:t xml:space="preserve">. [online] nidirect. Available at: </w:t>
      </w:r>
      <w:hyperlink r:id="rId29" w:history="1">
        <w:r>
          <w:rPr>
            <w:rStyle w:val="Hyperlink"/>
            <w:rFonts w:ascii="Roboto" w:hAnsi="Roboto"/>
            <w:sz w:val="21"/>
            <w:szCs w:val="21"/>
            <w:shd w:val="clear" w:color="auto" w:fill="E3E8EE"/>
          </w:rPr>
          <w:t>https://www.nidirect.gov.uk/articles/giving-statement-police</w:t>
        </w:r>
      </w:hyperlink>
      <w:r>
        <w:rPr>
          <w:rFonts w:ascii="Roboto" w:hAnsi="Roboto"/>
          <w:color w:val="747F8B"/>
          <w:sz w:val="21"/>
          <w:szCs w:val="21"/>
          <w:shd w:val="clear" w:color="auto" w:fill="E3E8EE"/>
        </w:rPr>
        <w:t>.</w:t>
      </w:r>
    </w:p>
    <w:p w14:paraId="45CD62FD" w14:textId="77777777" w:rsidR="009951DF" w:rsidRDefault="009951DF" w:rsidP="009951DF">
      <w:pPr>
        <w:rPr>
          <w:rFonts w:ascii="Roboto" w:hAnsi="Roboto"/>
          <w:color w:val="747F8B"/>
          <w:sz w:val="21"/>
          <w:szCs w:val="21"/>
          <w:shd w:val="clear" w:color="auto" w:fill="E3E8EE"/>
        </w:rPr>
      </w:pPr>
    </w:p>
    <w:p w14:paraId="735B5F01" w14:textId="77777777" w:rsidR="009951DF" w:rsidRDefault="009951DF" w:rsidP="009951DF">
      <w:pPr>
        <w:rPr>
          <w:rFonts w:ascii="Calibri" w:hAnsi="Calibri"/>
          <w:color w:val="auto"/>
          <w:sz w:val="22"/>
          <w:szCs w:val="22"/>
        </w:rPr>
      </w:pPr>
      <w:r>
        <w:rPr>
          <w:rFonts w:ascii="Roboto" w:hAnsi="Roboto"/>
          <w:color w:val="747F8B"/>
          <w:sz w:val="21"/>
          <w:szCs w:val="21"/>
          <w:shd w:val="clear" w:color="auto" w:fill="E3E8EE"/>
        </w:rPr>
        <w:t>South Tyneside (2018). </w:t>
      </w:r>
      <w:r>
        <w:rPr>
          <w:rFonts w:ascii="Roboto" w:hAnsi="Roboto"/>
          <w:i/>
          <w:iCs/>
          <w:color w:val="747F8B"/>
          <w:sz w:val="21"/>
          <w:szCs w:val="21"/>
          <w:shd w:val="clear" w:color="auto" w:fill="E3E8EE"/>
        </w:rPr>
        <w:t>4.1.4 Criminal Offences and Adult Safeguarding – South Tyneside Safeguarding Children and Adults Partnership APPP</w:t>
      </w:r>
      <w:r>
        <w:rPr>
          <w:rFonts w:ascii="Roboto" w:hAnsi="Roboto"/>
          <w:color w:val="747F8B"/>
          <w:sz w:val="21"/>
          <w:szCs w:val="21"/>
          <w:shd w:val="clear" w:color="auto" w:fill="E3E8EE"/>
        </w:rPr>
        <w:t xml:space="preserve">. [online] Available at: </w:t>
      </w:r>
      <w:hyperlink r:id="rId30" w:anchor="3_Adult_Witnesses_who_are_Vulnerable_or_Intimidated" w:history="1">
        <w:r>
          <w:rPr>
            <w:rStyle w:val="Hyperlink"/>
            <w:rFonts w:ascii="Roboto" w:hAnsi="Roboto"/>
            <w:sz w:val="21"/>
            <w:szCs w:val="21"/>
            <w:shd w:val="clear" w:color="auto" w:fill="E3E8EE"/>
          </w:rPr>
          <w:t>https://www.southtynesidesafeguardingappp.co.uk/criminal-offences-and-adult-safeguarding/#3_Adult_Witnesses_who_are_Vulnerable_or_Intimidated</w:t>
        </w:r>
      </w:hyperlink>
    </w:p>
    <w:p w14:paraId="13589D48" w14:textId="77777777" w:rsidR="009951DF" w:rsidRDefault="009951DF" w:rsidP="009951DF">
      <w:pPr>
        <w:rPr>
          <w:rFonts w:ascii="Calibri" w:hAnsi="Calibri"/>
          <w:color w:val="auto"/>
          <w:sz w:val="22"/>
          <w:szCs w:val="22"/>
        </w:rPr>
      </w:pPr>
      <w:r>
        <w:br/>
      </w:r>
      <w:r>
        <w:rPr>
          <w:rFonts w:ascii="Roboto" w:hAnsi="Roboto"/>
          <w:color w:val="747F8B"/>
          <w:sz w:val="21"/>
          <w:szCs w:val="21"/>
          <w:shd w:val="clear" w:color="auto" w:fill="E3E8EE"/>
        </w:rPr>
        <w:t>College of Policing (2022). </w:t>
      </w:r>
      <w:r>
        <w:rPr>
          <w:rFonts w:ascii="Roboto" w:hAnsi="Roboto"/>
          <w:i/>
          <w:iCs/>
          <w:color w:val="747F8B"/>
          <w:sz w:val="21"/>
          <w:szCs w:val="21"/>
          <w:shd w:val="clear" w:color="auto" w:fill="E3E8EE"/>
        </w:rPr>
        <w:t>Investigative interviewing</w:t>
      </w:r>
      <w:r>
        <w:rPr>
          <w:rFonts w:ascii="Roboto" w:hAnsi="Roboto"/>
          <w:color w:val="747F8B"/>
          <w:sz w:val="21"/>
          <w:szCs w:val="21"/>
          <w:shd w:val="clear" w:color="auto" w:fill="E3E8EE"/>
        </w:rPr>
        <w:t xml:space="preserve">. [online] College of Policing. Available at: </w:t>
      </w:r>
      <w:hyperlink r:id="rId31" w:history="1">
        <w:r>
          <w:rPr>
            <w:rStyle w:val="Hyperlink"/>
            <w:rFonts w:ascii="Roboto" w:hAnsi="Roboto"/>
            <w:sz w:val="21"/>
            <w:szCs w:val="21"/>
            <w:shd w:val="clear" w:color="auto" w:fill="E3E8EE"/>
          </w:rPr>
          <w:t>https://www.college.police.uk/app/investigation/investigative-interviewing/investigative-interviewing</w:t>
        </w:r>
      </w:hyperlink>
    </w:p>
    <w:p w14:paraId="499686A2" w14:textId="77777777" w:rsidR="009951DF" w:rsidRDefault="009951DF" w:rsidP="009951DF">
      <w:pPr>
        <w:rPr>
          <w:rFonts w:ascii="Roboto" w:hAnsi="Roboto"/>
          <w:color w:val="747F8B"/>
          <w:sz w:val="21"/>
          <w:szCs w:val="21"/>
          <w:shd w:val="clear" w:color="auto" w:fill="E3E8EE"/>
        </w:rPr>
      </w:pPr>
    </w:p>
    <w:p w14:paraId="2EB7C686" w14:textId="77777777" w:rsidR="009951DF" w:rsidRDefault="009951DF" w:rsidP="009951DF">
      <w:r>
        <w:rPr>
          <w:rFonts w:ascii="Roboto" w:hAnsi="Roboto"/>
          <w:color w:val="747F8B"/>
          <w:sz w:val="21"/>
          <w:szCs w:val="21"/>
          <w:shd w:val="clear" w:color="auto" w:fill="E3E8EE"/>
        </w:rPr>
        <w:t>CPS (2017). </w:t>
      </w:r>
      <w:r>
        <w:rPr>
          <w:rFonts w:ascii="Roboto" w:hAnsi="Roboto"/>
          <w:i/>
          <w:iCs/>
          <w:color w:val="747F8B"/>
          <w:sz w:val="21"/>
          <w:szCs w:val="21"/>
          <w:shd w:val="clear" w:color="auto" w:fill="E3E8EE"/>
        </w:rPr>
        <w:t>Bail | the Crown Prosecution Service</w:t>
      </w:r>
      <w:r>
        <w:rPr>
          <w:rFonts w:ascii="Roboto" w:hAnsi="Roboto"/>
          <w:color w:val="747F8B"/>
          <w:sz w:val="21"/>
          <w:szCs w:val="21"/>
          <w:shd w:val="clear" w:color="auto" w:fill="E3E8EE"/>
        </w:rPr>
        <w:t xml:space="preserve">. [online] Cps.gov.uk. Available at: </w:t>
      </w:r>
      <w:hyperlink r:id="rId32" w:history="1">
        <w:r>
          <w:rPr>
            <w:rStyle w:val="Hyperlink"/>
            <w:rFonts w:ascii="Roboto" w:hAnsi="Roboto"/>
            <w:sz w:val="21"/>
            <w:szCs w:val="21"/>
            <w:shd w:val="clear" w:color="auto" w:fill="E3E8EE"/>
          </w:rPr>
          <w:t>https://www.cps.gov.uk/legal-guidance/bail</w:t>
        </w:r>
      </w:hyperlink>
    </w:p>
    <w:p w14:paraId="5B47DC11" w14:textId="77777777" w:rsidR="009951DF" w:rsidRDefault="009951DF" w:rsidP="009951DF">
      <w:pPr>
        <w:rPr>
          <w:rFonts w:ascii="Calibri" w:hAnsi="Calibri"/>
          <w:color w:val="auto"/>
          <w:sz w:val="22"/>
          <w:szCs w:val="22"/>
        </w:rPr>
      </w:pPr>
      <w:r>
        <w:br/>
      </w:r>
      <w:r>
        <w:rPr>
          <w:rFonts w:ascii="Roboto" w:hAnsi="Roboto"/>
          <w:color w:val="747F8B"/>
          <w:sz w:val="21"/>
          <w:szCs w:val="21"/>
          <w:shd w:val="clear" w:color="auto" w:fill="E3E8EE"/>
        </w:rPr>
        <w:t>Calipsa (2020). </w:t>
      </w:r>
      <w:r>
        <w:rPr>
          <w:rFonts w:ascii="Roboto" w:hAnsi="Roboto"/>
          <w:i/>
          <w:iCs/>
          <w:color w:val="747F8B"/>
          <w:sz w:val="21"/>
          <w:szCs w:val="21"/>
          <w:shd w:val="clear" w:color="auto" w:fill="E3E8EE"/>
        </w:rPr>
        <w:t>CCTV statistics in the UK: your questions answered</w:t>
      </w:r>
      <w:r>
        <w:rPr>
          <w:rFonts w:ascii="Roboto" w:hAnsi="Roboto"/>
          <w:color w:val="747F8B"/>
          <w:sz w:val="21"/>
          <w:szCs w:val="21"/>
          <w:shd w:val="clear" w:color="auto" w:fill="E3E8EE"/>
        </w:rPr>
        <w:t>. [online] www.calipsa.io. Available at: https://www.calipsa.io/blog/cctv-statistics-in-the-uk-your-questions-answered</w:t>
      </w:r>
    </w:p>
    <w:p w14:paraId="6ED26CC3" w14:textId="77777777" w:rsidR="009951DF" w:rsidRPr="006E0F3A" w:rsidRDefault="009951DF" w:rsidP="009951DF">
      <w:pPr>
        <w:rPr>
          <w:rFonts w:ascii="Roboto" w:hAnsi="Roboto"/>
          <w:color w:val="747F8B"/>
          <w:sz w:val="21"/>
          <w:szCs w:val="21"/>
          <w:shd w:val="clear" w:color="auto" w:fill="E3E8EE"/>
        </w:rPr>
      </w:pPr>
    </w:p>
    <w:p w14:paraId="7D497F46" w14:textId="77777777" w:rsidR="009951DF" w:rsidRDefault="009951DF" w:rsidP="00EA28F1">
      <w:pPr>
        <w:keepNext/>
        <w:spacing w:before="240" w:after="60"/>
        <w:ind w:right="237"/>
        <w:jc w:val="both"/>
      </w:pPr>
    </w:p>
    <w:sectPr w:rsidR="009951D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98B01" w14:textId="77777777" w:rsidR="009951DF" w:rsidRDefault="009951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CB3F8" w14:textId="77777777" w:rsidR="009951DF" w:rsidRDefault="00995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3CDE9" w14:textId="77777777" w:rsidR="009951DF" w:rsidRDefault="009951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33DDF" w14:textId="77777777" w:rsidR="009951DF" w:rsidRDefault="009951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701E5" w14:textId="77777777" w:rsidR="009951DF" w:rsidRDefault="009951DF">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6530572A"/>
    <w:lvl w:ilvl="0" w:tplc="38D0F4AC">
      <w:start w:val="1"/>
      <w:numFmt w:val="decimal"/>
      <w:lvlText w:val="%1."/>
      <w:lvlJc w:val="left"/>
      <w:pPr>
        <w:ind w:left="720" w:hanging="360"/>
      </w:pPr>
    </w:lvl>
    <w:lvl w:ilvl="1" w:tplc="23CEE646">
      <w:start w:val="1"/>
      <w:numFmt w:val="lowerLetter"/>
      <w:lvlText w:val="%2."/>
      <w:lvlJc w:val="left"/>
      <w:pPr>
        <w:ind w:left="1440" w:hanging="360"/>
      </w:pPr>
    </w:lvl>
    <w:lvl w:ilvl="2" w:tplc="B1049184">
      <w:start w:val="1"/>
      <w:numFmt w:val="lowerRoman"/>
      <w:lvlText w:val="%3."/>
      <w:lvlJc w:val="right"/>
      <w:pPr>
        <w:ind w:left="2160" w:hanging="180"/>
      </w:pPr>
    </w:lvl>
    <w:lvl w:ilvl="3" w:tplc="16BA522E">
      <w:start w:val="1"/>
      <w:numFmt w:val="decimal"/>
      <w:lvlText w:val="%4."/>
      <w:lvlJc w:val="left"/>
      <w:pPr>
        <w:ind w:left="2880" w:hanging="360"/>
      </w:pPr>
    </w:lvl>
    <w:lvl w:ilvl="4" w:tplc="17C43F2C">
      <w:start w:val="1"/>
      <w:numFmt w:val="lowerLetter"/>
      <w:lvlText w:val="%5."/>
      <w:lvlJc w:val="left"/>
      <w:pPr>
        <w:ind w:left="3600" w:hanging="360"/>
      </w:pPr>
    </w:lvl>
    <w:lvl w:ilvl="5" w:tplc="EC52A408">
      <w:start w:val="1"/>
      <w:numFmt w:val="lowerRoman"/>
      <w:lvlText w:val="%6."/>
      <w:lvlJc w:val="right"/>
      <w:pPr>
        <w:ind w:left="4320" w:hanging="180"/>
      </w:pPr>
    </w:lvl>
    <w:lvl w:ilvl="6" w:tplc="684ECF90">
      <w:start w:val="1"/>
      <w:numFmt w:val="decimal"/>
      <w:lvlText w:val="%7."/>
      <w:lvlJc w:val="left"/>
      <w:pPr>
        <w:ind w:left="5040" w:hanging="360"/>
      </w:pPr>
    </w:lvl>
    <w:lvl w:ilvl="7" w:tplc="60FC287E">
      <w:start w:val="1"/>
      <w:numFmt w:val="lowerLetter"/>
      <w:lvlText w:val="%8."/>
      <w:lvlJc w:val="left"/>
      <w:pPr>
        <w:ind w:left="5760" w:hanging="360"/>
      </w:pPr>
    </w:lvl>
    <w:lvl w:ilvl="8" w:tplc="EECCC1F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0C0A3852"/>
    <w:lvl w:ilvl="0" w:tplc="25DE2892">
      <w:start w:val="1"/>
      <w:numFmt w:val="decimal"/>
      <w:lvlText w:val="%1."/>
      <w:lvlJc w:val="left"/>
      <w:pPr>
        <w:ind w:left="720" w:hanging="360"/>
      </w:pPr>
    </w:lvl>
    <w:lvl w:ilvl="1" w:tplc="DF381DC6">
      <w:start w:val="1"/>
      <w:numFmt w:val="decimal"/>
      <w:lvlText w:val="%2."/>
      <w:lvlJc w:val="left"/>
      <w:pPr>
        <w:ind w:left="1440" w:hanging="360"/>
      </w:pPr>
    </w:lvl>
    <w:lvl w:ilvl="2" w:tplc="9A02E68E">
      <w:start w:val="1"/>
      <w:numFmt w:val="lowerRoman"/>
      <w:lvlText w:val="%3."/>
      <w:lvlJc w:val="right"/>
      <w:pPr>
        <w:ind w:left="2160" w:hanging="180"/>
      </w:pPr>
    </w:lvl>
    <w:lvl w:ilvl="3" w:tplc="89DAF998">
      <w:start w:val="1"/>
      <w:numFmt w:val="decimal"/>
      <w:lvlText w:val="%4."/>
      <w:lvlJc w:val="left"/>
      <w:pPr>
        <w:ind w:left="2880" w:hanging="360"/>
      </w:pPr>
    </w:lvl>
    <w:lvl w:ilvl="4" w:tplc="DD06AA5A">
      <w:start w:val="1"/>
      <w:numFmt w:val="lowerLetter"/>
      <w:lvlText w:val="%5."/>
      <w:lvlJc w:val="left"/>
      <w:pPr>
        <w:ind w:left="3600" w:hanging="360"/>
      </w:pPr>
    </w:lvl>
    <w:lvl w:ilvl="5" w:tplc="D7C2A5BA">
      <w:start w:val="1"/>
      <w:numFmt w:val="lowerRoman"/>
      <w:lvlText w:val="%6."/>
      <w:lvlJc w:val="right"/>
      <w:pPr>
        <w:ind w:left="4320" w:hanging="180"/>
      </w:pPr>
    </w:lvl>
    <w:lvl w:ilvl="6" w:tplc="754C7A68">
      <w:start w:val="1"/>
      <w:numFmt w:val="decimal"/>
      <w:lvlText w:val="%7."/>
      <w:lvlJc w:val="left"/>
      <w:pPr>
        <w:ind w:left="5040" w:hanging="360"/>
      </w:pPr>
    </w:lvl>
    <w:lvl w:ilvl="7" w:tplc="86B436BA">
      <w:start w:val="1"/>
      <w:numFmt w:val="lowerLetter"/>
      <w:lvlText w:val="%8."/>
      <w:lvlJc w:val="left"/>
      <w:pPr>
        <w:ind w:left="5760" w:hanging="360"/>
      </w:pPr>
    </w:lvl>
    <w:lvl w:ilvl="8" w:tplc="E78C8F3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8270704">
    <w:abstractNumId w:val="47"/>
  </w:num>
  <w:num w:numId="2" w16cid:durableId="2146002924">
    <w:abstractNumId w:val="10"/>
  </w:num>
  <w:num w:numId="3" w16cid:durableId="1147163199">
    <w:abstractNumId w:val="1"/>
    <w:lvlOverride w:ilvl="0">
      <w:lvl w:ilvl="0">
        <w:start w:val="1"/>
        <w:numFmt w:val="bullet"/>
        <w:lvlText w:val=""/>
        <w:lvlJc w:val="left"/>
        <w:pPr>
          <w:ind w:left="720" w:hanging="360"/>
        </w:pPr>
        <w:rPr>
          <w:rFonts w:ascii="Symbol" w:hAnsi="Symbol" w:hint="default"/>
        </w:rPr>
      </w:lvl>
    </w:lvlOverride>
  </w:num>
  <w:num w:numId="4" w16cid:durableId="911234001">
    <w:abstractNumId w:val="22"/>
  </w:num>
  <w:num w:numId="5" w16cid:durableId="856387895">
    <w:abstractNumId w:val="44"/>
  </w:num>
  <w:num w:numId="6" w16cid:durableId="576551531">
    <w:abstractNumId w:val="46"/>
  </w:num>
  <w:num w:numId="7" w16cid:durableId="1721438229">
    <w:abstractNumId w:val="34"/>
  </w:num>
  <w:num w:numId="8" w16cid:durableId="1166282003">
    <w:abstractNumId w:val="32"/>
  </w:num>
  <w:num w:numId="9" w16cid:durableId="1086539300">
    <w:abstractNumId w:val="29"/>
  </w:num>
  <w:num w:numId="10" w16cid:durableId="839155315">
    <w:abstractNumId w:val="30"/>
  </w:num>
  <w:num w:numId="11" w16cid:durableId="1849638198">
    <w:abstractNumId w:val="9"/>
  </w:num>
  <w:num w:numId="12" w16cid:durableId="1277755872">
    <w:abstractNumId w:val="33"/>
  </w:num>
  <w:num w:numId="13" w16cid:durableId="1009478835">
    <w:abstractNumId w:val="17"/>
  </w:num>
  <w:num w:numId="14" w16cid:durableId="2098359597">
    <w:abstractNumId w:val="16"/>
  </w:num>
  <w:num w:numId="15" w16cid:durableId="1624068590">
    <w:abstractNumId w:val="26"/>
  </w:num>
  <w:num w:numId="16" w16cid:durableId="1625576359">
    <w:abstractNumId w:val="7"/>
  </w:num>
  <w:num w:numId="17" w16cid:durableId="264774571">
    <w:abstractNumId w:val="25"/>
  </w:num>
  <w:num w:numId="18" w16cid:durableId="1621953257">
    <w:abstractNumId w:val="15"/>
  </w:num>
  <w:num w:numId="19" w16cid:durableId="1882670471">
    <w:abstractNumId w:val="13"/>
  </w:num>
  <w:num w:numId="20" w16cid:durableId="97185968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72774809">
    <w:abstractNumId w:val="23"/>
  </w:num>
  <w:num w:numId="22" w16cid:durableId="286208629">
    <w:abstractNumId w:val="18"/>
  </w:num>
  <w:num w:numId="23" w16cid:durableId="217740869">
    <w:abstractNumId w:val="14"/>
  </w:num>
  <w:num w:numId="24" w16cid:durableId="1074083943">
    <w:abstractNumId w:val="11"/>
  </w:num>
  <w:num w:numId="25" w16cid:durableId="1750153882">
    <w:abstractNumId w:val="27"/>
  </w:num>
  <w:num w:numId="26" w16cid:durableId="1732996894">
    <w:abstractNumId w:val="19"/>
  </w:num>
  <w:num w:numId="27" w16cid:durableId="2038237277">
    <w:abstractNumId w:val="40"/>
  </w:num>
  <w:num w:numId="28" w16cid:durableId="1646396501">
    <w:abstractNumId w:val="35"/>
  </w:num>
  <w:num w:numId="29" w16cid:durableId="2101246453">
    <w:abstractNumId w:val="39"/>
  </w:num>
  <w:num w:numId="30" w16cid:durableId="365833352">
    <w:abstractNumId w:val="20"/>
  </w:num>
  <w:num w:numId="31" w16cid:durableId="323898793">
    <w:abstractNumId w:val="42"/>
  </w:num>
  <w:num w:numId="32" w16cid:durableId="1195770668">
    <w:abstractNumId w:val="31"/>
  </w:num>
  <w:num w:numId="33" w16cid:durableId="2008243893">
    <w:abstractNumId w:val="12"/>
  </w:num>
  <w:num w:numId="34" w16cid:durableId="1790975162">
    <w:abstractNumId w:val="43"/>
  </w:num>
  <w:num w:numId="35" w16cid:durableId="484203002">
    <w:abstractNumId w:val="38"/>
  </w:num>
  <w:num w:numId="36" w16cid:durableId="1029331118">
    <w:abstractNumId w:val="4"/>
  </w:num>
  <w:num w:numId="37" w16cid:durableId="546069927">
    <w:abstractNumId w:val="45"/>
  </w:num>
  <w:num w:numId="38" w16cid:durableId="56322117">
    <w:abstractNumId w:val="41"/>
  </w:num>
  <w:num w:numId="39" w16cid:durableId="1035041667">
    <w:abstractNumId w:val="36"/>
  </w:num>
  <w:num w:numId="40" w16cid:durableId="1384207643">
    <w:abstractNumId w:val="37"/>
  </w:num>
  <w:num w:numId="41" w16cid:durableId="1367371224">
    <w:abstractNumId w:val="3"/>
  </w:num>
  <w:num w:numId="42" w16cid:durableId="1801534281">
    <w:abstractNumId w:val="5"/>
  </w:num>
  <w:num w:numId="43" w16cid:durableId="1950117572">
    <w:abstractNumId w:val="24"/>
  </w:num>
  <w:num w:numId="44" w16cid:durableId="2019577823">
    <w:abstractNumId w:val="6"/>
  </w:num>
  <w:num w:numId="45" w16cid:durableId="621110100">
    <w:abstractNumId w:val="2"/>
  </w:num>
  <w:num w:numId="46" w16cid:durableId="101921175">
    <w:abstractNumId w:val="0"/>
  </w:num>
  <w:num w:numId="47" w16cid:durableId="245460085">
    <w:abstractNumId w:val="21"/>
  </w:num>
  <w:num w:numId="48" w16cid:durableId="639309848">
    <w:abstractNumId w:val="28"/>
  </w:num>
  <w:num w:numId="49" w16cid:durableId="205701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51DF"/>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3E03"/>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xmsonormal">
    <w:name w:val="x_msonormal"/>
    <w:basedOn w:val="Normal"/>
    <w:rsid w:val="009951DF"/>
    <w:pPr>
      <w:suppressAutoHyphens/>
      <w:overflowPunct/>
      <w:autoSpaceDE/>
      <w:adjustRightInd/>
      <w:spacing w:before="100" w:after="100"/>
    </w:pPr>
    <w:rPr>
      <w:rFonts w:ascii="Times New Roman" w:hAnsi="Times New Roman" w:cs="Times New Roman"/>
      <w:color w:val="auto"/>
      <w:sz w:val="24"/>
      <w:szCs w:val="24"/>
    </w:rPr>
  </w:style>
  <w:style w:type="paragraph" w:customStyle="1" w:styleId="xxmsonormal">
    <w:name w:val="x_xmsonormal"/>
    <w:basedOn w:val="Normal"/>
    <w:rsid w:val="009951DF"/>
    <w:pPr>
      <w:suppressAutoHyphens/>
      <w:overflowPunct/>
      <w:autoSpaceDE/>
      <w:adjustRightInd/>
      <w:spacing w:before="100" w:after="10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375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51322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popcenter.asu.edu/sites/default/files/problems/domestic_violence/PDFs/Bridgeman&amp;Hobbs_1997.pdf" TargetMode="External"/><Relationship Id="rId3" Type="http://schemas.openxmlformats.org/officeDocument/2006/relationships/customXml" Target="../customXml/item3.xml"/><Relationship Id="rId21" Type="http://schemas.openxmlformats.org/officeDocument/2006/relationships/hyperlink" Target="https://www.victimsupport.org.uk/crime-info/types-crime/burglary/"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rime-scene-investigator.net/dutydescription.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nidirect.gov.uk/articles/giving-statement-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264625/victims-vps-guidance.pdf" TargetMode="External"/><Relationship Id="rId32" Type="http://schemas.openxmlformats.org/officeDocument/2006/relationships/hyperlink" Target="https://www.cps.gov.uk/legal-guidance/bail"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ps.gov.uk/sites/default/files/documents/legal_guidance/OD_000049.pdf" TargetMode="External"/><Relationship Id="rId28" Type="http://schemas.openxmlformats.org/officeDocument/2006/relationships/hyperlink" Target="https://touch.policeoracle.com/news/article.cfm?id=36445"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ollege.police.uk/app/investigation/investigative-interviewing/investigative-interview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centralchambers.co.uk/what-is-a-vulnerable-victim/" TargetMode="External"/><Relationship Id="rId27" Type="http://schemas.openxmlformats.org/officeDocument/2006/relationships/hyperlink" Target="https://www.law.cornell.edu/wex/modus_operandi" TargetMode="External"/><Relationship Id="rId30" Type="http://schemas.openxmlformats.org/officeDocument/2006/relationships/hyperlink" Target="https://www.southtynesidesafeguardingappp.co.uk/criminal-offences-and-adult-safeguarding/" TargetMode="Externa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5455</Words>
  <Characters>31097</Characters>
  <Application>Microsoft Office Word</Application>
  <DocSecurity>4</DocSecurity>
  <Lines>259</Lines>
  <Paragraphs>72</Paragraphs>
  <ScaleCrop>false</ScaleCrop>
  <Company>Powys County Council</Company>
  <LinksUpToDate>false</LinksUpToDate>
  <CharactersWithSpaces>36480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Jenkins,Thomas swp8073</cp:lastModifiedBy>
  <cp:revision>2</cp:revision>
  <cp:lastPrinted>2014-08-26T08:55:00Z</cp:lastPrinted>
  <dcterms:created xsi:type="dcterms:W3CDTF">2023-04-19T08:22:00Z</dcterms:created>
  <dcterms:modified xsi:type="dcterms:W3CDTF">2023-04-19T08:22:00Z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2023-04-13T10:01:54Z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3cda0350-1bf0-49b7-a9cc-1d82067e5321</vt:lpwstr>
  </property>
  <property fmtid="{D5CDD505-2E9C-101B-9397-08002B2CF9AE}" pid="9" name="MSIP_Label_66cf8fe5-b7b7-4df7-b38d-1c61ac2f6639_ContentBits">
    <vt:lpwstr>0</vt:lpwstr>
  </property>
</Properties>
</file>