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DF9DF"/>
  <w:body>
    <w:sdt>
      <w:sdtPr>
        <w:id w:val="-416177582"/>
        <w:docPartObj>
          <w:docPartGallery w:val="Cover Pages"/>
          <w:docPartUnique/>
        </w:docPartObj>
      </w:sdtPr>
      <w:sdtEndPr/>
      <w:sdtContent>
        <w:p w14:paraId="6975EE45" w14:textId="25B032C9" w:rsidR="00997DB0" w:rsidRDefault="00997DB0">
          <w:r>
            <w:rPr>
              <w:noProof/>
            </w:rPr>
            <mc:AlternateContent>
              <mc:Choice Requires="wps">
                <w:drawing>
                  <wp:anchor distT="0" distB="0" distL="114300" distR="114300" simplePos="0" relativeHeight="251626496" behindDoc="1" locked="0" layoutInCell="1" allowOverlap="1" wp14:anchorId="3DFF88CE" wp14:editId="776CE268">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rgbClr val="FDF9DF"/>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H w:val="single" w:sz="12" w:space="0" w:color="8784C7" w:themeColor="accent2"/>
                                    <w:insideV w:val="single" w:sz="12" w:space="0" w:color="8784C7" w:themeColor="accent2"/>
                                  </w:tblBorders>
                                  <w:shd w:val="clear" w:color="auto" w:fill="FDF9DF"/>
                                  <w:tblCellMar>
                                    <w:top w:w="1296" w:type="dxa"/>
                                    <w:left w:w="360" w:type="dxa"/>
                                    <w:bottom w:w="1296" w:type="dxa"/>
                                    <w:right w:w="360" w:type="dxa"/>
                                  </w:tblCellMar>
                                  <w:tblLook w:val="04A0" w:firstRow="1" w:lastRow="0" w:firstColumn="1" w:lastColumn="0" w:noHBand="0" w:noVBand="1"/>
                                </w:tblPr>
                                <w:tblGrid>
                                  <w:gridCol w:w="5749"/>
                                  <w:gridCol w:w="5445"/>
                                </w:tblGrid>
                                <w:tr w:rsidR="00997DB0" w14:paraId="73CD9A78" w14:textId="77777777" w:rsidTr="00A67AEB">
                                  <w:trPr>
                                    <w:jc w:val="center"/>
                                  </w:trPr>
                                  <w:tc>
                                    <w:tcPr>
                                      <w:tcW w:w="2568" w:type="pct"/>
                                      <w:shd w:val="clear" w:color="auto" w:fill="FDF9DF"/>
                                      <w:vAlign w:val="center"/>
                                    </w:tcPr>
                                    <w:p w14:paraId="3F31A831" w14:textId="1967EF05" w:rsidR="00997DB0" w:rsidRDefault="00997DB0" w:rsidP="00A67AEB">
                                      <w:pPr>
                                        <w:jc w:val="center"/>
                                      </w:pPr>
                                      <w:r w:rsidRPr="00717C30">
                                        <w:rPr>
                                          <w:noProof/>
                                          <w:shd w:val="clear" w:color="auto" w:fill="FFFFD5"/>
                                        </w:rPr>
                                        <w:drawing>
                                          <wp:inline distT="0" distB="0" distL="0" distR="0" wp14:anchorId="645C69F4" wp14:editId="595560D5">
                                            <wp:extent cx="2394598" cy="3120233"/>
                                            <wp:effectExtent l="12700" t="12700" r="18415" b="17145"/>
                                            <wp:docPr id="1884930499" name="Picture 1884930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30499" name="Picture 1884930499"/>
                                                    <pic:cNvPicPr>
                                                      <a:picLocks noChangeAspect="1" noChangeArrowheads="1"/>
                                                    </pic:cNvPicPr>
                                                  </pic:nvPicPr>
                                                  <pic:blipFill>
                                                    <a:blip r:embed="rId12"/>
                                                    <a:stretch>
                                                      <a:fillRect/>
                                                    </a:stretch>
                                                  </pic:blipFill>
                                                  <pic:spPr bwMode="auto">
                                                    <a:xfrm>
                                                      <a:off x="0" y="0"/>
                                                      <a:ext cx="2394840" cy="3120549"/>
                                                    </a:xfrm>
                                                    <a:prstGeom prst="rect">
                                                      <a:avLst/>
                                                    </a:prstGeom>
                                                    <a:solidFill>
                                                      <a:srgbClr val="FDF9DF"/>
                                                    </a:solidFill>
                                                    <a:ln>
                                                      <a:solidFill>
                                                        <a:srgbClr val="FFFFD5"/>
                                                      </a:solid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F0E3AD6" w14:textId="6BDC8963" w:rsidR="00997DB0" w:rsidRDefault="00FE5509" w:rsidP="00345850">
                                          <w:pPr>
                                            <w:pStyle w:val="NoSpacing"/>
                                            <w:spacing w:line="312" w:lineRule="auto"/>
                                            <w:jc w:val="right"/>
                                            <w:rPr>
                                              <w:caps/>
                                              <w:color w:val="191919" w:themeColor="text1" w:themeTint="E6"/>
                                              <w:sz w:val="72"/>
                                              <w:szCs w:val="72"/>
                                            </w:rPr>
                                          </w:pPr>
                                          <w:r>
                                            <w:rPr>
                                              <w:caps/>
                                              <w:color w:val="191919" w:themeColor="text1" w:themeTint="E6"/>
                                              <w:sz w:val="40"/>
                                              <w:szCs w:val="40"/>
                                            </w:rPr>
                                            <w:t>Safety justification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F4182F" w14:textId="3DDA47E0" w:rsidR="00997DB0" w:rsidRDefault="00261CD1" w:rsidP="0011431D">
                                          <w:pPr>
                                            <w:jc w:val="right"/>
                                            <w:rPr>
                                              <w:sz w:val="24"/>
                                              <w:szCs w:val="24"/>
                                            </w:rPr>
                                          </w:pPr>
                                          <w:r>
                                            <w:rPr>
                                              <w:color w:val="000000" w:themeColor="text1"/>
                                              <w:sz w:val="24"/>
                                              <w:szCs w:val="24"/>
                                            </w:rPr>
                                            <w:t>Safety &amp; Hazard Assessment ACDB5013</w:t>
                                          </w:r>
                                        </w:p>
                                      </w:sdtContent>
                                    </w:sdt>
                                  </w:tc>
                                  <w:tc>
                                    <w:tcPr>
                                      <w:tcW w:w="2432" w:type="pct"/>
                                      <w:shd w:val="clear" w:color="auto" w:fill="FDF9DF"/>
                                      <w:vAlign w:val="center"/>
                                    </w:tcPr>
                                    <w:sdt>
                                      <w:sdtPr>
                                        <w:rPr>
                                          <w:color w:val="8784C7"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3CA346" w14:textId="641FF794" w:rsidR="00997DB0" w:rsidRDefault="00997DB0">
                                          <w:pPr>
                                            <w:pStyle w:val="NoSpacing"/>
                                            <w:rPr>
                                              <w:color w:val="8784C7" w:themeColor="accent2"/>
                                              <w:sz w:val="26"/>
                                              <w:szCs w:val="26"/>
                                            </w:rPr>
                                          </w:pPr>
                                          <w:r>
                                            <w:rPr>
                                              <w:color w:val="8784C7" w:themeColor="accent2"/>
                                              <w:sz w:val="26"/>
                                              <w:szCs w:val="26"/>
                                            </w:rPr>
                                            <w:t>Rachel Mc</w:t>
                                          </w:r>
                                          <w:r w:rsidR="00F8309F">
                                            <w:rPr>
                                              <w:color w:val="8784C7" w:themeColor="accent2"/>
                                              <w:sz w:val="26"/>
                                              <w:szCs w:val="26"/>
                                            </w:rPr>
                                            <w:t>C</w:t>
                                          </w:r>
                                          <w:r>
                                            <w:rPr>
                                              <w:color w:val="8784C7" w:themeColor="accent2"/>
                                              <w:sz w:val="26"/>
                                              <w:szCs w:val="26"/>
                                            </w:rPr>
                                            <w:t>olm</w:t>
                                          </w:r>
                                        </w:p>
                                      </w:sdtContent>
                                    </w:sdt>
                                    <w:p w14:paraId="7E5090BD" w14:textId="181AB692" w:rsidR="00997DB0" w:rsidRDefault="00835DE2">
                                      <w:pPr>
                                        <w:pStyle w:val="NoSpacing"/>
                                      </w:pPr>
                                      <w:sdt>
                                        <w:sdtPr>
                                          <w:rPr>
                                            <w:color w:val="37354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97DB0">
                                            <w:rPr>
                                              <w:color w:val="373545" w:themeColor="text2"/>
                                            </w:rPr>
                                            <w:t>2223157</w:t>
                                          </w:r>
                                        </w:sdtContent>
                                      </w:sdt>
                                    </w:p>
                                  </w:tc>
                                </w:tr>
                              </w:tbl>
                              <w:p w14:paraId="31ABD885" w14:textId="77777777" w:rsidR="00997DB0" w:rsidRDefault="00997DB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FF88CE" id="_x0000_t202" coordsize="21600,21600" o:spt="202" path="m,l,21600r21600,l21600,xe">
                    <v:stroke joinstyle="miter"/>
                    <v:path gradientshapeok="t" o:connecttype="rect"/>
                  </v:shapetype>
                  <v:shape id="Text Box 138" o:spid="_x0000_s1026" type="#_x0000_t202" style="position:absolute;margin-left:0;margin-top:0;width:134.85pt;height:302.4pt;z-index:-2516899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" fillcolor="#fdf9df" stroked="f" strokeweight=".5pt">
                    <v:textbox inset="0,0,0,0">
                      <w:txbxContent>
                        <w:tbl>
                          <w:tblPr>
                            <w:tblW w:w="5000" w:type="pct"/>
                            <w:jc w:val="center"/>
                            <w:tblBorders>
                              <w:insideH w:val="single" w:sz="12" w:space="0" w:color="8784C7" w:themeColor="accent2"/>
                              <w:insideV w:val="single" w:sz="12" w:space="0" w:color="8784C7" w:themeColor="accent2"/>
                            </w:tblBorders>
                            <w:shd w:val="clear" w:color="auto" w:fill="FDF9DF"/>
                            <w:tblCellMar>
                              <w:top w:w="1296" w:type="dxa"/>
                              <w:left w:w="360" w:type="dxa"/>
                              <w:bottom w:w="1296" w:type="dxa"/>
                              <w:right w:w="360" w:type="dxa"/>
                            </w:tblCellMar>
                            <w:tblLook w:val="04A0" w:firstRow="1" w:lastRow="0" w:firstColumn="1" w:lastColumn="0" w:noHBand="0" w:noVBand="1"/>
                          </w:tblPr>
                          <w:tblGrid>
                            <w:gridCol w:w="5749"/>
                            <w:gridCol w:w="5445"/>
                          </w:tblGrid>
                          <w:tr w:rsidR="00997DB0" w14:paraId="73CD9A78" w14:textId="77777777" w:rsidTr="00A67AEB">
                            <w:trPr>
                              <w:jc w:val="center"/>
                            </w:trPr>
                            <w:tc>
                              <w:tcPr>
                                <w:tcW w:w="2568" w:type="pct"/>
                                <w:shd w:val="clear" w:color="auto" w:fill="FDF9DF"/>
                                <w:vAlign w:val="center"/>
                              </w:tcPr>
                              <w:p w14:paraId="3F31A831" w14:textId="1967EF05" w:rsidR="00997DB0" w:rsidRDefault="00997DB0" w:rsidP="00A67AEB">
                                <w:pPr>
                                  <w:jc w:val="center"/>
                                </w:pPr>
                                <w:r w:rsidRPr="00717C30">
                                  <w:rPr>
                                    <w:noProof/>
                                    <w:shd w:val="clear" w:color="auto" w:fill="FFFFD5"/>
                                  </w:rPr>
                                  <w:drawing>
                                    <wp:inline distT="0" distB="0" distL="0" distR="0" wp14:anchorId="645C69F4" wp14:editId="595560D5">
                                      <wp:extent cx="2394598" cy="3120233"/>
                                      <wp:effectExtent l="12700" t="12700" r="18415" b="17145"/>
                                      <wp:docPr id="1884930499" name="Picture 1884930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30499" name="Picture 1884930499"/>
                                              <pic:cNvPicPr>
                                                <a:picLocks noChangeAspect="1" noChangeArrowheads="1"/>
                                              </pic:cNvPicPr>
                                            </pic:nvPicPr>
                                            <pic:blipFill>
                                              <a:blip r:embed="rId12"/>
                                              <a:stretch>
                                                <a:fillRect/>
                                              </a:stretch>
                                            </pic:blipFill>
                                            <pic:spPr bwMode="auto">
                                              <a:xfrm>
                                                <a:off x="0" y="0"/>
                                                <a:ext cx="2394840" cy="3120549"/>
                                              </a:xfrm>
                                              <a:prstGeom prst="rect">
                                                <a:avLst/>
                                              </a:prstGeom>
                                              <a:solidFill>
                                                <a:srgbClr val="FDF9DF"/>
                                              </a:solidFill>
                                              <a:ln>
                                                <a:solidFill>
                                                  <a:srgbClr val="FFFFD5"/>
                                                </a:solid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F0E3AD6" w14:textId="6BDC8963" w:rsidR="00997DB0" w:rsidRDefault="00FE5509" w:rsidP="00345850">
                                    <w:pPr>
                                      <w:pStyle w:val="NoSpacing"/>
                                      <w:spacing w:line="312" w:lineRule="auto"/>
                                      <w:jc w:val="right"/>
                                      <w:rPr>
                                        <w:caps/>
                                        <w:color w:val="191919" w:themeColor="text1" w:themeTint="E6"/>
                                        <w:sz w:val="72"/>
                                        <w:szCs w:val="72"/>
                                      </w:rPr>
                                    </w:pPr>
                                    <w:r>
                                      <w:rPr>
                                        <w:caps/>
                                        <w:color w:val="191919" w:themeColor="text1" w:themeTint="E6"/>
                                        <w:sz w:val="40"/>
                                        <w:szCs w:val="40"/>
                                      </w:rPr>
                                      <w:t>Safety justification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F4182F" w14:textId="3DDA47E0" w:rsidR="00997DB0" w:rsidRDefault="00261CD1" w:rsidP="0011431D">
                                    <w:pPr>
                                      <w:jc w:val="right"/>
                                      <w:rPr>
                                        <w:sz w:val="24"/>
                                        <w:szCs w:val="24"/>
                                      </w:rPr>
                                    </w:pPr>
                                    <w:r>
                                      <w:rPr>
                                        <w:color w:val="000000" w:themeColor="text1"/>
                                        <w:sz w:val="24"/>
                                        <w:szCs w:val="24"/>
                                      </w:rPr>
                                      <w:t>Safety &amp; Hazard Assessment ACDB5013</w:t>
                                    </w:r>
                                  </w:p>
                                </w:sdtContent>
                              </w:sdt>
                            </w:tc>
                            <w:tc>
                              <w:tcPr>
                                <w:tcW w:w="2432" w:type="pct"/>
                                <w:shd w:val="clear" w:color="auto" w:fill="FDF9DF"/>
                                <w:vAlign w:val="center"/>
                              </w:tcPr>
                              <w:sdt>
                                <w:sdtPr>
                                  <w:rPr>
                                    <w:color w:val="8784C7"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3CA346" w14:textId="641FF794" w:rsidR="00997DB0" w:rsidRDefault="00997DB0">
                                    <w:pPr>
                                      <w:pStyle w:val="NoSpacing"/>
                                      <w:rPr>
                                        <w:color w:val="8784C7" w:themeColor="accent2"/>
                                        <w:sz w:val="26"/>
                                        <w:szCs w:val="26"/>
                                      </w:rPr>
                                    </w:pPr>
                                    <w:r>
                                      <w:rPr>
                                        <w:color w:val="8784C7" w:themeColor="accent2"/>
                                        <w:sz w:val="26"/>
                                        <w:szCs w:val="26"/>
                                      </w:rPr>
                                      <w:t>Rachel Mc</w:t>
                                    </w:r>
                                    <w:r w:rsidR="00F8309F">
                                      <w:rPr>
                                        <w:color w:val="8784C7" w:themeColor="accent2"/>
                                        <w:sz w:val="26"/>
                                        <w:szCs w:val="26"/>
                                      </w:rPr>
                                      <w:t>C</w:t>
                                    </w:r>
                                    <w:r>
                                      <w:rPr>
                                        <w:color w:val="8784C7" w:themeColor="accent2"/>
                                        <w:sz w:val="26"/>
                                        <w:szCs w:val="26"/>
                                      </w:rPr>
                                      <w:t>olm</w:t>
                                    </w:r>
                                  </w:p>
                                </w:sdtContent>
                              </w:sdt>
                              <w:p w14:paraId="7E5090BD" w14:textId="181AB692" w:rsidR="00997DB0" w:rsidRDefault="00835DE2">
                                <w:pPr>
                                  <w:pStyle w:val="NoSpacing"/>
                                </w:pPr>
                                <w:sdt>
                                  <w:sdtPr>
                                    <w:rPr>
                                      <w:color w:val="373545"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97DB0">
                                      <w:rPr>
                                        <w:color w:val="373545" w:themeColor="text2"/>
                                      </w:rPr>
                                      <w:t>2223157</w:t>
                                    </w:r>
                                  </w:sdtContent>
                                </w:sdt>
                              </w:p>
                            </w:tc>
                          </w:tr>
                        </w:tbl>
                        <w:p w14:paraId="31ABD885" w14:textId="77777777" w:rsidR="00997DB0" w:rsidRDefault="00997DB0"/>
                      </w:txbxContent>
                    </v:textbox>
                    <w10:wrap anchorx="page" anchory="page"/>
                  </v:shape>
                </w:pict>
              </mc:Fallback>
            </mc:AlternateContent>
          </w:r>
          <w:r>
            <w:br w:type="page"/>
          </w:r>
        </w:p>
      </w:sdtContent>
    </w:sdt>
    <w:p w14:paraId="5AC44B6D" w14:textId="77777777" w:rsidR="00FA2D5D" w:rsidRDefault="00FA2D5D" w:rsidP="00D24D55">
      <w:pPr>
        <w:pStyle w:val="TOCHeading"/>
        <w:rPr>
          <w:kern w:val="2"/>
          <w14:ligatures w14:val="standardContextual"/>
        </w:rPr>
        <w:sectPr w:rsidR="00FA2D5D" w:rsidSect="00997DB0">
          <w:headerReference w:type="default" r:id="rId13"/>
          <w:footerReference w:type="default" r:id="rId14"/>
          <w:pgSz w:w="11906" w:h="16838"/>
          <w:pgMar w:top="1440" w:right="1440" w:bottom="1440" w:left="1440" w:header="708" w:footer="708" w:gutter="0"/>
          <w:pgNumType w:start="0"/>
          <w:cols w:space="708"/>
          <w:titlePg/>
          <w:docGrid w:linePitch="360"/>
        </w:sectPr>
      </w:pPr>
    </w:p>
    <w:p w14:paraId="41D51A0A" w14:textId="7F6F11E1" w:rsidR="00997DB0" w:rsidRPr="004A71B2" w:rsidRDefault="00FA2D5D" w:rsidP="00EA594C">
      <w:pPr>
        <w:pStyle w:val="Heading1"/>
        <w:numPr>
          <w:ilvl w:val="0"/>
          <w:numId w:val="6"/>
        </w:numPr>
      </w:pPr>
      <w:r>
        <w:lastRenderedPageBreak/>
        <w:t>Group Work</w:t>
      </w:r>
    </w:p>
    <w:p w14:paraId="22EDF0CD" w14:textId="77777777" w:rsidR="004A71B2" w:rsidRDefault="004A71B2" w:rsidP="004A71B2"/>
    <w:p w14:paraId="7B1E727D" w14:textId="5B0464E9" w:rsidR="00FB01C3" w:rsidRDefault="00DF737F" w:rsidP="004A71B2">
      <w:r w:rsidRPr="00DF737F">
        <w:rPr>
          <w:noProof/>
        </w:rPr>
        <w:drawing>
          <wp:inline distT="0" distB="0" distL="0" distR="0" wp14:anchorId="52A012A3" wp14:editId="3EFB4B35">
            <wp:extent cx="8863330" cy="4077970"/>
            <wp:effectExtent l="0" t="0" r="0" b="0"/>
            <wp:docPr id="5017613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61380" name="Picture 1" descr="A screenshot of a computer&#10;&#10;AI-generated content may be incorrect."/>
                    <pic:cNvPicPr/>
                  </pic:nvPicPr>
                  <pic:blipFill>
                    <a:blip r:embed="rId15"/>
                    <a:stretch>
                      <a:fillRect/>
                    </a:stretch>
                  </pic:blipFill>
                  <pic:spPr>
                    <a:xfrm>
                      <a:off x="0" y="0"/>
                      <a:ext cx="8863330" cy="4077970"/>
                    </a:xfrm>
                    <a:prstGeom prst="rect">
                      <a:avLst/>
                    </a:prstGeom>
                  </pic:spPr>
                </pic:pic>
              </a:graphicData>
            </a:graphic>
          </wp:inline>
        </w:drawing>
      </w:r>
    </w:p>
    <w:p w14:paraId="0A22B975" w14:textId="232E4378" w:rsidR="00590741" w:rsidRDefault="00590741" w:rsidP="004A71B2"/>
    <w:p w14:paraId="40DF27CA" w14:textId="77777777" w:rsidR="00590741" w:rsidRDefault="00590741">
      <w:r>
        <w:br w:type="page"/>
      </w:r>
    </w:p>
    <w:p w14:paraId="7B345F05" w14:textId="3434726A" w:rsidR="004A71B2" w:rsidRDefault="00EA594C" w:rsidP="004A71B2">
      <w:r w:rsidRPr="00EA594C">
        <w:rPr>
          <w:noProof/>
        </w:rPr>
        <w:lastRenderedPageBreak/>
        <w:drawing>
          <wp:inline distT="0" distB="0" distL="0" distR="0" wp14:anchorId="5B160D05" wp14:editId="5096EE05">
            <wp:extent cx="8863330" cy="2952115"/>
            <wp:effectExtent l="0" t="0" r="0" b="635"/>
            <wp:docPr id="510231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31700" name="Picture 1" descr="A screenshot of a computer&#10;&#10;AI-generated content may be incorrect."/>
                    <pic:cNvPicPr/>
                  </pic:nvPicPr>
                  <pic:blipFill>
                    <a:blip r:embed="rId16"/>
                    <a:stretch>
                      <a:fillRect/>
                    </a:stretch>
                  </pic:blipFill>
                  <pic:spPr>
                    <a:xfrm>
                      <a:off x="0" y="0"/>
                      <a:ext cx="8863330" cy="2952115"/>
                    </a:xfrm>
                    <a:prstGeom prst="rect">
                      <a:avLst/>
                    </a:prstGeom>
                  </pic:spPr>
                </pic:pic>
              </a:graphicData>
            </a:graphic>
          </wp:inline>
        </w:drawing>
      </w:r>
    </w:p>
    <w:p w14:paraId="130704FE" w14:textId="77777777" w:rsidR="004A71B2" w:rsidRPr="004A71B2" w:rsidRDefault="004A71B2" w:rsidP="004A71B2"/>
    <w:p w14:paraId="46DCE503" w14:textId="5B5136D6" w:rsidR="00FA2D5D" w:rsidRDefault="00FA2D5D"/>
    <w:p w14:paraId="55B1A228" w14:textId="77777777" w:rsidR="00FA2D5D" w:rsidRDefault="00FA2D5D">
      <w:r>
        <w:br w:type="page"/>
      </w:r>
    </w:p>
    <w:p w14:paraId="15E058F4" w14:textId="66E9F7C9" w:rsidR="00590741" w:rsidRDefault="00590741">
      <w:pPr>
        <w:sectPr w:rsidR="00590741" w:rsidSect="00590741">
          <w:pgSz w:w="16838" w:h="11906" w:orient="landscape"/>
          <w:pgMar w:top="1440" w:right="1440" w:bottom="1440" w:left="1440" w:header="708" w:footer="708" w:gutter="0"/>
          <w:pgNumType w:start="0"/>
          <w:cols w:space="708"/>
          <w:titlePg/>
          <w:docGrid w:linePitch="360"/>
        </w:sectPr>
      </w:pPr>
    </w:p>
    <w:p w14:paraId="4F1DCCA5" w14:textId="77777777" w:rsidR="005C2367" w:rsidRDefault="005C2367"/>
    <w:p w14:paraId="49DEDEDA" w14:textId="08133D36" w:rsidR="00416C3C" w:rsidRDefault="00416C3C" w:rsidP="00416C3C">
      <w:pPr>
        <w:pStyle w:val="Caption"/>
        <w:keepNext/>
        <w:jc w:val="center"/>
      </w:pPr>
      <w:r>
        <w:t xml:space="preserve">Table </w:t>
      </w:r>
      <w:fldSimple w:instr=" SEQ Table \* ARABIC ">
        <w:r w:rsidR="00697160">
          <w:rPr>
            <w:noProof/>
          </w:rPr>
          <w:t>1</w:t>
        </w:r>
      </w:fldSimple>
      <w:r>
        <w:t xml:space="preserve"> - Risk Matrix</w:t>
      </w:r>
    </w:p>
    <w:tbl>
      <w:tblPr>
        <w:tblW w:w="6503" w:type="dxa"/>
        <w:jc w:val="center"/>
        <w:tblLook w:val="04A0" w:firstRow="1" w:lastRow="0" w:firstColumn="1" w:lastColumn="0" w:noHBand="0" w:noVBand="1"/>
      </w:tblPr>
      <w:tblGrid>
        <w:gridCol w:w="1240"/>
        <w:gridCol w:w="1131"/>
        <w:gridCol w:w="929"/>
        <w:gridCol w:w="1085"/>
        <w:gridCol w:w="1189"/>
        <w:gridCol w:w="929"/>
      </w:tblGrid>
      <w:tr w:rsidR="00F2014C" w:rsidRPr="00F2014C" w14:paraId="5ACDD593" w14:textId="77777777" w:rsidTr="002B0C8B">
        <w:trPr>
          <w:trHeight w:val="330"/>
          <w:jc w:val="center"/>
        </w:trPr>
        <w:tc>
          <w:tcPr>
            <w:tcW w:w="1240" w:type="dxa"/>
            <w:tcBorders>
              <w:top w:val="single" w:sz="12" w:space="0" w:color="auto"/>
              <w:left w:val="single" w:sz="12" w:space="0" w:color="auto"/>
              <w:bottom w:val="single" w:sz="12" w:space="0" w:color="auto"/>
              <w:right w:val="single" w:sz="12" w:space="0" w:color="auto"/>
            </w:tcBorders>
            <w:shd w:val="clear" w:color="000000" w:fill="000000"/>
            <w:noWrap/>
            <w:vAlign w:val="bottom"/>
            <w:hideMark/>
          </w:tcPr>
          <w:p w14:paraId="7D3AC10A" w14:textId="77777777" w:rsidR="00F2014C" w:rsidRPr="00F2014C" w:rsidRDefault="00F2014C" w:rsidP="002B0C8B">
            <w:pPr>
              <w:spacing w:after="0" w:line="240" w:lineRule="auto"/>
              <w:rPr>
                <w:rFonts w:ascii="Aptos Narrow" w:eastAsia="Times New Roman" w:hAnsi="Aptos Narrow" w:cs="Times New Roman"/>
                <w:color w:val="000000"/>
                <w:kern w:val="0"/>
                <w:lang w:eastAsia="en-GB"/>
                <w14:ligatures w14:val="none"/>
              </w:rPr>
            </w:pPr>
            <w:r>
              <w:br w:type="page"/>
            </w:r>
            <w:r w:rsidRPr="00F2014C">
              <w:rPr>
                <w:rFonts w:ascii="Aptos Narrow" w:eastAsia="Times New Roman" w:hAnsi="Aptos Narrow" w:cs="Times New Roman"/>
                <w:color w:val="000000"/>
                <w:kern w:val="0"/>
                <w:lang w:eastAsia="en-GB"/>
                <w14:ligatures w14:val="none"/>
              </w:rPr>
              <w:t> </w:t>
            </w:r>
          </w:p>
        </w:tc>
        <w:tc>
          <w:tcPr>
            <w:tcW w:w="1131" w:type="dxa"/>
            <w:tcBorders>
              <w:top w:val="single" w:sz="12" w:space="0" w:color="auto"/>
              <w:left w:val="nil"/>
              <w:bottom w:val="single" w:sz="8" w:space="0" w:color="auto"/>
              <w:right w:val="single" w:sz="12" w:space="0" w:color="auto"/>
            </w:tcBorders>
            <w:shd w:val="clear" w:color="auto" w:fill="auto"/>
            <w:noWrap/>
            <w:vAlign w:val="bottom"/>
            <w:hideMark/>
          </w:tcPr>
          <w:p w14:paraId="520C8D8D"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Negligible</w:t>
            </w:r>
          </w:p>
        </w:tc>
        <w:tc>
          <w:tcPr>
            <w:tcW w:w="929" w:type="dxa"/>
            <w:tcBorders>
              <w:top w:val="single" w:sz="12" w:space="0" w:color="auto"/>
              <w:left w:val="nil"/>
              <w:bottom w:val="single" w:sz="8" w:space="0" w:color="auto"/>
              <w:right w:val="single" w:sz="12" w:space="0" w:color="auto"/>
            </w:tcBorders>
            <w:shd w:val="clear" w:color="auto" w:fill="auto"/>
            <w:noWrap/>
            <w:vAlign w:val="bottom"/>
            <w:hideMark/>
          </w:tcPr>
          <w:p w14:paraId="469F29DF"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Minor</w:t>
            </w:r>
          </w:p>
        </w:tc>
        <w:tc>
          <w:tcPr>
            <w:tcW w:w="1085" w:type="dxa"/>
            <w:tcBorders>
              <w:top w:val="single" w:sz="12" w:space="0" w:color="auto"/>
              <w:left w:val="nil"/>
              <w:bottom w:val="single" w:sz="8" w:space="0" w:color="auto"/>
              <w:right w:val="single" w:sz="12" w:space="0" w:color="auto"/>
            </w:tcBorders>
            <w:shd w:val="clear" w:color="auto" w:fill="auto"/>
            <w:noWrap/>
            <w:vAlign w:val="bottom"/>
            <w:hideMark/>
          </w:tcPr>
          <w:p w14:paraId="63162D12"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Moderate</w:t>
            </w:r>
          </w:p>
        </w:tc>
        <w:tc>
          <w:tcPr>
            <w:tcW w:w="1189" w:type="dxa"/>
            <w:tcBorders>
              <w:top w:val="single" w:sz="12" w:space="0" w:color="auto"/>
              <w:left w:val="nil"/>
              <w:bottom w:val="single" w:sz="8" w:space="0" w:color="auto"/>
              <w:right w:val="single" w:sz="12" w:space="0" w:color="auto"/>
            </w:tcBorders>
            <w:shd w:val="clear" w:color="auto" w:fill="auto"/>
            <w:noWrap/>
            <w:vAlign w:val="bottom"/>
            <w:hideMark/>
          </w:tcPr>
          <w:p w14:paraId="64CBFC4E"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Significant</w:t>
            </w:r>
          </w:p>
        </w:tc>
        <w:tc>
          <w:tcPr>
            <w:tcW w:w="929" w:type="dxa"/>
            <w:tcBorders>
              <w:top w:val="single" w:sz="12" w:space="0" w:color="auto"/>
              <w:left w:val="nil"/>
              <w:bottom w:val="single" w:sz="8" w:space="0" w:color="auto"/>
              <w:right w:val="single" w:sz="12" w:space="0" w:color="auto"/>
            </w:tcBorders>
            <w:shd w:val="clear" w:color="auto" w:fill="auto"/>
            <w:noWrap/>
            <w:vAlign w:val="bottom"/>
            <w:hideMark/>
          </w:tcPr>
          <w:p w14:paraId="009B2457"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Severe</w:t>
            </w:r>
          </w:p>
        </w:tc>
      </w:tr>
      <w:tr w:rsidR="00F2014C" w:rsidRPr="00F2014C" w14:paraId="14A2535A" w14:textId="77777777" w:rsidTr="002B0C8B">
        <w:trPr>
          <w:trHeight w:val="330"/>
          <w:jc w:val="center"/>
        </w:trPr>
        <w:tc>
          <w:tcPr>
            <w:tcW w:w="1240" w:type="dxa"/>
            <w:tcBorders>
              <w:top w:val="nil"/>
              <w:left w:val="single" w:sz="12" w:space="0" w:color="auto"/>
              <w:bottom w:val="single" w:sz="12" w:space="0" w:color="auto"/>
              <w:right w:val="single" w:sz="12" w:space="0" w:color="auto"/>
            </w:tcBorders>
            <w:shd w:val="clear" w:color="auto" w:fill="auto"/>
            <w:noWrap/>
            <w:vAlign w:val="bottom"/>
            <w:hideMark/>
          </w:tcPr>
          <w:p w14:paraId="25875C8B"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Very Likely</w:t>
            </w:r>
          </w:p>
        </w:tc>
        <w:tc>
          <w:tcPr>
            <w:tcW w:w="1131" w:type="dxa"/>
            <w:tcBorders>
              <w:top w:val="single" w:sz="8" w:space="0" w:color="auto"/>
              <w:left w:val="nil"/>
              <w:bottom w:val="single" w:sz="4" w:space="0" w:color="auto"/>
              <w:right w:val="single" w:sz="8" w:space="0" w:color="auto"/>
            </w:tcBorders>
            <w:shd w:val="clear" w:color="000000" w:fill="8ED973"/>
            <w:noWrap/>
            <w:vAlign w:val="bottom"/>
            <w:hideMark/>
          </w:tcPr>
          <w:p w14:paraId="54F61444"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929" w:type="dxa"/>
            <w:tcBorders>
              <w:top w:val="nil"/>
              <w:left w:val="single" w:sz="8" w:space="0" w:color="auto"/>
              <w:bottom w:val="single" w:sz="8" w:space="0" w:color="auto"/>
              <w:right w:val="single" w:sz="8" w:space="0" w:color="auto"/>
            </w:tcBorders>
            <w:shd w:val="clear" w:color="000000" w:fill="FFFF00"/>
            <w:noWrap/>
            <w:vAlign w:val="bottom"/>
            <w:hideMark/>
          </w:tcPr>
          <w:p w14:paraId="7F745163"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Medium</w:t>
            </w:r>
          </w:p>
        </w:tc>
        <w:tc>
          <w:tcPr>
            <w:tcW w:w="1085" w:type="dxa"/>
            <w:tcBorders>
              <w:top w:val="nil"/>
              <w:left w:val="nil"/>
              <w:bottom w:val="single" w:sz="8" w:space="0" w:color="auto"/>
              <w:right w:val="single" w:sz="8" w:space="0" w:color="auto"/>
            </w:tcBorders>
            <w:shd w:val="clear" w:color="000000" w:fill="FFC000"/>
            <w:noWrap/>
            <w:vAlign w:val="bottom"/>
            <w:hideMark/>
          </w:tcPr>
          <w:p w14:paraId="2C633741"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 High</w:t>
            </w:r>
          </w:p>
        </w:tc>
        <w:tc>
          <w:tcPr>
            <w:tcW w:w="1189" w:type="dxa"/>
            <w:tcBorders>
              <w:top w:val="nil"/>
              <w:left w:val="nil"/>
              <w:bottom w:val="nil"/>
              <w:right w:val="single" w:sz="4" w:space="0" w:color="auto"/>
            </w:tcBorders>
            <w:shd w:val="clear" w:color="000000" w:fill="FF0000"/>
            <w:noWrap/>
            <w:vAlign w:val="bottom"/>
            <w:hideMark/>
          </w:tcPr>
          <w:p w14:paraId="754B8EDA"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High</w:t>
            </w:r>
          </w:p>
        </w:tc>
        <w:tc>
          <w:tcPr>
            <w:tcW w:w="929" w:type="dxa"/>
            <w:tcBorders>
              <w:top w:val="nil"/>
              <w:left w:val="nil"/>
              <w:bottom w:val="single" w:sz="4" w:space="0" w:color="auto"/>
              <w:right w:val="single" w:sz="8" w:space="0" w:color="auto"/>
            </w:tcBorders>
            <w:shd w:val="clear" w:color="000000" w:fill="FF0000"/>
            <w:noWrap/>
            <w:vAlign w:val="bottom"/>
            <w:hideMark/>
          </w:tcPr>
          <w:p w14:paraId="6EB44405"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High</w:t>
            </w:r>
          </w:p>
        </w:tc>
      </w:tr>
      <w:tr w:rsidR="00F2014C" w:rsidRPr="00F2014C" w14:paraId="20F37A80" w14:textId="77777777" w:rsidTr="002B0C8B">
        <w:trPr>
          <w:trHeight w:val="330"/>
          <w:jc w:val="center"/>
        </w:trPr>
        <w:tc>
          <w:tcPr>
            <w:tcW w:w="1240" w:type="dxa"/>
            <w:tcBorders>
              <w:top w:val="nil"/>
              <w:left w:val="single" w:sz="12" w:space="0" w:color="auto"/>
              <w:bottom w:val="single" w:sz="12" w:space="0" w:color="auto"/>
              <w:right w:val="single" w:sz="12" w:space="0" w:color="auto"/>
            </w:tcBorders>
            <w:shd w:val="clear" w:color="auto" w:fill="auto"/>
            <w:noWrap/>
            <w:vAlign w:val="bottom"/>
            <w:hideMark/>
          </w:tcPr>
          <w:p w14:paraId="32646DF3"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Likely</w:t>
            </w:r>
          </w:p>
        </w:tc>
        <w:tc>
          <w:tcPr>
            <w:tcW w:w="1131" w:type="dxa"/>
            <w:tcBorders>
              <w:top w:val="nil"/>
              <w:left w:val="nil"/>
              <w:bottom w:val="nil"/>
              <w:right w:val="single" w:sz="4" w:space="0" w:color="auto"/>
            </w:tcBorders>
            <w:shd w:val="clear" w:color="000000" w:fill="8ED973"/>
            <w:noWrap/>
            <w:vAlign w:val="bottom"/>
            <w:hideMark/>
          </w:tcPr>
          <w:p w14:paraId="51DADD57"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929" w:type="dxa"/>
            <w:tcBorders>
              <w:top w:val="nil"/>
              <w:left w:val="nil"/>
              <w:bottom w:val="single" w:sz="4" w:space="0" w:color="auto"/>
              <w:right w:val="single" w:sz="8" w:space="0" w:color="auto"/>
            </w:tcBorders>
            <w:shd w:val="clear" w:color="000000" w:fill="8ED973"/>
            <w:noWrap/>
            <w:vAlign w:val="bottom"/>
            <w:hideMark/>
          </w:tcPr>
          <w:p w14:paraId="546A392E"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1085" w:type="dxa"/>
            <w:tcBorders>
              <w:top w:val="nil"/>
              <w:left w:val="nil"/>
              <w:bottom w:val="single" w:sz="4" w:space="0" w:color="auto"/>
              <w:right w:val="single" w:sz="8" w:space="0" w:color="auto"/>
            </w:tcBorders>
            <w:shd w:val="clear" w:color="000000" w:fill="FFFF00"/>
            <w:noWrap/>
            <w:vAlign w:val="bottom"/>
            <w:hideMark/>
          </w:tcPr>
          <w:p w14:paraId="0A208D1B"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Medium</w:t>
            </w:r>
          </w:p>
        </w:tc>
        <w:tc>
          <w:tcPr>
            <w:tcW w:w="1189" w:type="dxa"/>
            <w:tcBorders>
              <w:top w:val="single" w:sz="8" w:space="0" w:color="auto"/>
              <w:left w:val="nil"/>
              <w:bottom w:val="single" w:sz="4" w:space="0" w:color="auto"/>
              <w:right w:val="single" w:sz="8" w:space="0" w:color="auto"/>
            </w:tcBorders>
            <w:shd w:val="clear" w:color="000000" w:fill="FFC000"/>
            <w:noWrap/>
            <w:vAlign w:val="bottom"/>
            <w:hideMark/>
          </w:tcPr>
          <w:p w14:paraId="1DD1EDCC"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 High</w:t>
            </w:r>
          </w:p>
        </w:tc>
        <w:tc>
          <w:tcPr>
            <w:tcW w:w="929" w:type="dxa"/>
            <w:tcBorders>
              <w:top w:val="nil"/>
              <w:left w:val="nil"/>
              <w:bottom w:val="nil"/>
              <w:right w:val="single" w:sz="8" w:space="0" w:color="auto"/>
            </w:tcBorders>
            <w:shd w:val="clear" w:color="000000" w:fill="FF0000"/>
            <w:noWrap/>
            <w:vAlign w:val="bottom"/>
            <w:hideMark/>
          </w:tcPr>
          <w:p w14:paraId="199C6C4D"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High</w:t>
            </w:r>
          </w:p>
        </w:tc>
      </w:tr>
      <w:tr w:rsidR="00F2014C" w:rsidRPr="00F2014C" w14:paraId="6FBF15C3" w14:textId="77777777" w:rsidTr="002B0C8B">
        <w:trPr>
          <w:trHeight w:val="330"/>
          <w:jc w:val="center"/>
        </w:trPr>
        <w:tc>
          <w:tcPr>
            <w:tcW w:w="1240" w:type="dxa"/>
            <w:tcBorders>
              <w:top w:val="nil"/>
              <w:left w:val="single" w:sz="12" w:space="0" w:color="auto"/>
              <w:bottom w:val="single" w:sz="12" w:space="0" w:color="auto"/>
              <w:right w:val="single" w:sz="12" w:space="0" w:color="auto"/>
            </w:tcBorders>
            <w:shd w:val="clear" w:color="auto" w:fill="auto"/>
            <w:noWrap/>
            <w:vAlign w:val="bottom"/>
            <w:hideMark/>
          </w:tcPr>
          <w:p w14:paraId="37AF40A4"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Probable</w:t>
            </w:r>
          </w:p>
        </w:tc>
        <w:tc>
          <w:tcPr>
            <w:tcW w:w="1131" w:type="dxa"/>
            <w:tcBorders>
              <w:top w:val="single" w:sz="8" w:space="0" w:color="auto"/>
              <w:left w:val="nil"/>
              <w:bottom w:val="single" w:sz="4" w:space="0" w:color="auto"/>
              <w:right w:val="single" w:sz="8" w:space="0" w:color="auto"/>
            </w:tcBorders>
            <w:shd w:val="clear" w:color="000000" w:fill="00B050"/>
            <w:noWrap/>
            <w:vAlign w:val="bottom"/>
            <w:hideMark/>
          </w:tcPr>
          <w:p w14:paraId="594F99A3"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w:t>
            </w:r>
          </w:p>
        </w:tc>
        <w:tc>
          <w:tcPr>
            <w:tcW w:w="929" w:type="dxa"/>
            <w:tcBorders>
              <w:top w:val="nil"/>
              <w:left w:val="nil"/>
              <w:bottom w:val="single" w:sz="4" w:space="0" w:color="auto"/>
              <w:right w:val="single" w:sz="8" w:space="0" w:color="auto"/>
            </w:tcBorders>
            <w:shd w:val="clear" w:color="000000" w:fill="8ED973"/>
            <w:noWrap/>
            <w:vAlign w:val="bottom"/>
            <w:hideMark/>
          </w:tcPr>
          <w:p w14:paraId="5DC5D5AF"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1085" w:type="dxa"/>
            <w:tcBorders>
              <w:top w:val="nil"/>
              <w:left w:val="single" w:sz="8" w:space="0" w:color="auto"/>
              <w:bottom w:val="single" w:sz="8" w:space="0" w:color="auto"/>
              <w:right w:val="single" w:sz="8" w:space="0" w:color="auto"/>
            </w:tcBorders>
            <w:shd w:val="clear" w:color="000000" w:fill="FFFF00"/>
            <w:noWrap/>
            <w:vAlign w:val="bottom"/>
            <w:hideMark/>
          </w:tcPr>
          <w:p w14:paraId="09A381C1"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Medium</w:t>
            </w:r>
          </w:p>
        </w:tc>
        <w:tc>
          <w:tcPr>
            <w:tcW w:w="1189" w:type="dxa"/>
            <w:tcBorders>
              <w:top w:val="nil"/>
              <w:left w:val="nil"/>
              <w:bottom w:val="nil"/>
              <w:right w:val="single" w:sz="4" w:space="0" w:color="auto"/>
            </w:tcBorders>
            <w:shd w:val="clear" w:color="000000" w:fill="FFC000"/>
            <w:noWrap/>
            <w:vAlign w:val="bottom"/>
            <w:hideMark/>
          </w:tcPr>
          <w:p w14:paraId="60B58128"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 High</w:t>
            </w:r>
          </w:p>
        </w:tc>
        <w:tc>
          <w:tcPr>
            <w:tcW w:w="929" w:type="dxa"/>
            <w:tcBorders>
              <w:top w:val="single" w:sz="8" w:space="0" w:color="auto"/>
              <w:left w:val="nil"/>
              <w:bottom w:val="single" w:sz="4" w:space="0" w:color="auto"/>
              <w:right w:val="single" w:sz="8" w:space="0" w:color="auto"/>
            </w:tcBorders>
            <w:shd w:val="clear" w:color="000000" w:fill="FFC000"/>
            <w:noWrap/>
            <w:vAlign w:val="bottom"/>
            <w:hideMark/>
          </w:tcPr>
          <w:p w14:paraId="2E28D6A4"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 High</w:t>
            </w:r>
          </w:p>
        </w:tc>
      </w:tr>
      <w:tr w:rsidR="00F2014C" w:rsidRPr="00F2014C" w14:paraId="557F3834" w14:textId="77777777" w:rsidTr="002B0C8B">
        <w:trPr>
          <w:trHeight w:val="330"/>
          <w:jc w:val="center"/>
        </w:trPr>
        <w:tc>
          <w:tcPr>
            <w:tcW w:w="1240" w:type="dxa"/>
            <w:tcBorders>
              <w:top w:val="nil"/>
              <w:left w:val="single" w:sz="12" w:space="0" w:color="auto"/>
              <w:bottom w:val="single" w:sz="12" w:space="0" w:color="auto"/>
              <w:right w:val="single" w:sz="12" w:space="0" w:color="auto"/>
            </w:tcBorders>
            <w:shd w:val="clear" w:color="auto" w:fill="auto"/>
            <w:noWrap/>
            <w:vAlign w:val="bottom"/>
            <w:hideMark/>
          </w:tcPr>
          <w:p w14:paraId="10B2BEEC"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Unlikely</w:t>
            </w:r>
          </w:p>
        </w:tc>
        <w:tc>
          <w:tcPr>
            <w:tcW w:w="1131" w:type="dxa"/>
            <w:tcBorders>
              <w:top w:val="nil"/>
              <w:left w:val="nil"/>
              <w:bottom w:val="single" w:sz="4" w:space="0" w:color="auto"/>
              <w:right w:val="single" w:sz="8" w:space="0" w:color="auto"/>
            </w:tcBorders>
            <w:shd w:val="clear" w:color="000000" w:fill="00B050"/>
            <w:noWrap/>
            <w:vAlign w:val="bottom"/>
            <w:hideMark/>
          </w:tcPr>
          <w:p w14:paraId="3453188F"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 xml:space="preserve">Low </w:t>
            </w:r>
          </w:p>
        </w:tc>
        <w:tc>
          <w:tcPr>
            <w:tcW w:w="929" w:type="dxa"/>
            <w:tcBorders>
              <w:top w:val="nil"/>
              <w:left w:val="nil"/>
              <w:bottom w:val="nil"/>
              <w:right w:val="single" w:sz="4" w:space="0" w:color="auto"/>
            </w:tcBorders>
            <w:shd w:val="clear" w:color="000000" w:fill="8ED973"/>
            <w:noWrap/>
            <w:vAlign w:val="bottom"/>
            <w:hideMark/>
          </w:tcPr>
          <w:p w14:paraId="72E201F5"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1085" w:type="dxa"/>
            <w:tcBorders>
              <w:top w:val="nil"/>
              <w:left w:val="nil"/>
              <w:bottom w:val="single" w:sz="4" w:space="0" w:color="auto"/>
              <w:right w:val="single" w:sz="8" w:space="0" w:color="auto"/>
            </w:tcBorders>
            <w:shd w:val="clear" w:color="000000" w:fill="8ED973"/>
            <w:noWrap/>
            <w:vAlign w:val="bottom"/>
            <w:hideMark/>
          </w:tcPr>
          <w:p w14:paraId="6372164D"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1189" w:type="dxa"/>
            <w:tcBorders>
              <w:top w:val="single" w:sz="8" w:space="0" w:color="auto"/>
              <w:left w:val="nil"/>
              <w:bottom w:val="single" w:sz="4" w:space="0" w:color="auto"/>
              <w:right w:val="single" w:sz="8" w:space="0" w:color="auto"/>
            </w:tcBorders>
            <w:shd w:val="clear" w:color="000000" w:fill="FFFF00"/>
            <w:noWrap/>
            <w:vAlign w:val="bottom"/>
            <w:hideMark/>
          </w:tcPr>
          <w:p w14:paraId="2ACE8362"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Medium</w:t>
            </w:r>
          </w:p>
        </w:tc>
        <w:tc>
          <w:tcPr>
            <w:tcW w:w="929" w:type="dxa"/>
            <w:tcBorders>
              <w:top w:val="nil"/>
              <w:left w:val="nil"/>
              <w:bottom w:val="nil"/>
              <w:right w:val="single" w:sz="8" w:space="0" w:color="auto"/>
            </w:tcBorders>
            <w:shd w:val="clear" w:color="000000" w:fill="FFC000"/>
            <w:noWrap/>
            <w:vAlign w:val="bottom"/>
            <w:hideMark/>
          </w:tcPr>
          <w:p w14:paraId="4F93004C"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 High</w:t>
            </w:r>
          </w:p>
        </w:tc>
      </w:tr>
      <w:tr w:rsidR="00F2014C" w:rsidRPr="00F2014C" w14:paraId="3F8D6C39" w14:textId="77777777" w:rsidTr="002B0C8B">
        <w:trPr>
          <w:trHeight w:val="330"/>
          <w:jc w:val="center"/>
        </w:trPr>
        <w:tc>
          <w:tcPr>
            <w:tcW w:w="1240" w:type="dxa"/>
            <w:tcBorders>
              <w:top w:val="nil"/>
              <w:left w:val="single" w:sz="12" w:space="0" w:color="auto"/>
              <w:bottom w:val="single" w:sz="12" w:space="0" w:color="auto"/>
              <w:right w:val="single" w:sz="12" w:space="0" w:color="auto"/>
            </w:tcBorders>
            <w:shd w:val="clear" w:color="auto" w:fill="auto"/>
            <w:noWrap/>
            <w:vAlign w:val="bottom"/>
            <w:hideMark/>
          </w:tcPr>
          <w:p w14:paraId="0C9BFF81" w14:textId="77777777" w:rsidR="00F2014C" w:rsidRPr="00F2014C" w:rsidRDefault="00F2014C" w:rsidP="002B0C8B">
            <w:pPr>
              <w:spacing w:after="0" w:line="240" w:lineRule="auto"/>
              <w:jc w:val="center"/>
              <w:rPr>
                <w:rFonts w:ascii="Aptos Narrow" w:eastAsia="Times New Roman" w:hAnsi="Aptos Narrow" w:cs="Times New Roman"/>
                <w:b/>
                <w:bCs/>
                <w:color w:val="000000"/>
                <w:kern w:val="0"/>
                <w:lang w:eastAsia="en-GB"/>
                <w14:ligatures w14:val="none"/>
              </w:rPr>
            </w:pPr>
            <w:r w:rsidRPr="00F2014C">
              <w:rPr>
                <w:rFonts w:ascii="Aptos Narrow" w:eastAsia="Times New Roman" w:hAnsi="Aptos Narrow" w:cs="Times New Roman"/>
                <w:b/>
                <w:bCs/>
                <w:color w:val="000000"/>
                <w:kern w:val="0"/>
                <w:lang w:eastAsia="en-GB"/>
                <w14:ligatures w14:val="none"/>
              </w:rPr>
              <w:t>Very Unlikely</w:t>
            </w:r>
          </w:p>
        </w:tc>
        <w:tc>
          <w:tcPr>
            <w:tcW w:w="1131" w:type="dxa"/>
            <w:tcBorders>
              <w:top w:val="nil"/>
              <w:left w:val="nil"/>
              <w:bottom w:val="single" w:sz="8" w:space="0" w:color="auto"/>
              <w:right w:val="single" w:sz="4" w:space="0" w:color="auto"/>
            </w:tcBorders>
            <w:shd w:val="clear" w:color="000000" w:fill="00B050"/>
            <w:noWrap/>
            <w:vAlign w:val="bottom"/>
            <w:hideMark/>
          </w:tcPr>
          <w:p w14:paraId="57A5BED2"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 xml:space="preserve">Low </w:t>
            </w:r>
          </w:p>
        </w:tc>
        <w:tc>
          <w:tcPr>
            <w:tcW w:w="929" w:type="dxa"/>
            <w:tcBorders>
              <w:top w:val="single" w:sz="8" w:space="0" w:color="auto"/>
              <w:left w:val="nil"/>
              <w:bottom w:val="single" w:sz="8" w:space="0" w:color="auto"/>
              <w:right w:val="single" w:sz="8" w:space="0" w:color="auto"/>
            </w:tcBorders>
            <w:shd w:val="clear" w:color="000000" w:fill="00B050"/>
            <w:noWrap/>
            <w:vAlign w:val="bottom"/>
            <w:hideMark/>
          </w:tcPr>
          <w:p w14:paraId="0C9658A8"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 xml:space="preserve">Low </w:t>
            </w:r>
          </w:p>
        </w:tc>
        <w:tc>
          <w:tcPr>
            <w:tcW w:w="1085" w:type="dxa"/>
            <w:tcBorders>
              <w:top w:val="nil"/>
              <w:left w:val="nil"/>
              <w:bottom w:val="single" w:sz="8" w:space="0" w:color="auto"/>
              <w:right w:val="single" w:sz="8" w:space="0" w:color="auto"/>
            </w:tcBorders>
            <w:shd w:val="clear" w:color="000000" w:fill="8ED973"/>
            <w:noWrap/>
            <w:vAlign w:val="bottom"/>
            <w:hideMark/>
          </w:tcPr>
          <w:p w14:paraId="7ED3DAC0"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Low Med</w:t>
            </w:r>
          </w:p>
        </w:tc>
        <w:tc>
          <w:tcPr>
            <w:tcW w:w="1189" w:type="dxa"/>
            <w:tcBorders>
              <w:top w:val="nil"/>
              <w:left w:val="nil"/>
              <w:bottom w:val="single" w:sz="8" w:space="0" w:color="auto"/>
              <w:right w:val="single" w:sz="4" w:space="0" w:color="auto"/>
            </w:tcBorders>
            <w:shd w:val="clear" w:color="000000" w:fill="FFFF00"/>
            <w:noWrap/>
            <w:vAlign w:val="bottom"/>
            <w:hideMark/>
          </w:tcPr>
          <w:p w14:paraId="207C0105"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Medium</w:t>
            </w:r>
          </w:p>
        </w:tc>
        <w:tc>
          <w:tcPr>
            <w:tcW w:w="929" w:type="dxa"/>
            <w:tcBorders>
              <w:top w:val="single" w:sz="8" w:space="0" w:color="auto"/>
              <w:left w:val="nil"/>
              <w:bottom w:val="single" w:sz="8" w:space="0" w:color="auto"/>
              <w:right w:val="single" w:sz="8" w:space="0" w:color="auto"/>
            </w:tcBorders>
            <w:shd w:val="clear" w:color="000000" w:fill="FFFF00"/>
            <w:noWrap/>
            <w:vAlign w:val="bottom"/>
            <w:hideMark/>
          </w:tcPr>
          <w:p w14:paraId="503FEDAA" w14:textId="77777777" w:rsidR="00F2014C" w:rsidRPr="00F2014C" w:rsidRDefault="00F2014C" w:rsidP="002B0C8B">
            <w:pPr>
              <w:spacing w:after="0" w:line="240" w:lineRule="auto"/>
              <w:jc w:val="center"/>
              <w:rPr>
                <w:rFonts w:ascii="Aptos Narrow" w:eastAsia="Times New Roman" w:hAnsi="Aptos Narrow" w:cs="Times New Roman"/>
                <w:color w:val="000000"/>
                <w:kern w:val="0"/>
                <w:lang w:eastAsia="en-GB"/>
                <w14:ligatures w14:val="none"/>
              </w:rPr>
            </w:pPr>
            <w:r w:rsidRPr="00F2014C">
              <w:rPr>
                <w:rFonts w:ascii="Aptos Narrow" w:eastAsia="Times New Roman" w:hAnsi="Aptos Narrow" w:cs="Times New Roman"/>
                <w:color w:val="000000"/>
                <w:kern w:val="0"/>
                <w:lang w:eastAsia="en-GB"/>
                <w14:ligatures w14:val="none"/>
              </w:rPr>
              <w:t>Medium</w:t>
            </w:r>
          </w:p>
        </w:tc>
      </w:tr>
    </w:tbl>
    <w:p w14:paraId="777FCF25" w14:textId="77777777" w:rsidR="00F2014C" w:rsidRDefault="00F2014C"/>
    <w:tbl>
      <w:tblPr>
        <w:tblW w:w="5960"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240"/>
        <w:gridCol w:w="1000"/>
        <w:gridCol w:w="840"/>
        <w:gridCol w:w="960"/>
        <w:gridCol w:w="1040"/>
        <w:gridCol w:w="880"/>
      </w:tblGrid>
      <w:tr w:rsidR="00DF1808" w:rsidRPr="00DF1808" w14:paraId="4C7834D2" w14:textId="77777777" w:rsidTr="00DF1808">
        <w:trPr>
          <w:trHeight w:val="315"/>
          <w:jc w:val="center"/>
        </w:trPr>
        <w:tc>
          <w:tcPr>
            <w:tcW w:w="1240" w:type="dxa"/>
            <w:shd w:val="clear" w:color="auto" w:fill="auto"/>
            <w:noWrap/>
            <w:vAlign w:val="bottom"/>
            <w:hideMark/>
          </w:tcPr>
          <w:p w14:paraId="1B445242" w14:textId="77777777" w:rsidR="00DF1808" w:rsidRPr="00DF1808" w:rsidRDefault="00DF1808" w:rsidP="00DF1808">
            <w:pPr>
              <w:spacing w:after="0" w:line="240" w:lineRule="auto"/>
              <w:jc w:val="center"/>
              <w:rPr>
                <w:rFonts w:ascii="Aptos Narrow" w:eastAsia="Times New Roman" w:hAnsi="Aptos Narrow" w:cs="Times New Roman"/>
                <w:b/>
                <w:bCs/>
                <w:color w:val="000000"/>
                <w:kern w:val="0"/>
                <w:lang w:eastAsia="en-GB"/>
                <w14:ligatures w14:val="none"/>
              </w:rPr>
            </w:pPr>
            <w:r w:rsidRPr="00DF1808">
              <w:rPr>
                <w:rFonts w:ascii="Aptos Narrow" w:eastAsia="Times New Roman" w:hAnsi="Aptos Narrow" w:cs="Times New Roman"/>
                <w:b/>
                <w:bCs/>
                <w:color w:val="000000"/>
                <w:kern w:val="0"/>
                <w:lang w:eastAsia="en-GB"/>
                <w14:ligatures w14:val="none"/>
              </w:rPr>
              <w:t>Risk Class</w:t>
            </w:r>
          </w:p>
        </w:tc>
        <w:tc>
          <w:tcPr>
            <w:tcW w:w="1000" w:type="dxa"/>
            <w:shd w:val="clear" w:color="000000" w:fill="00B050"/>
            <w:noWrap/>
            <w:vAlign w:val="bottom"/>
            <w:hideMark/>
          </w:tcPr>
          <w:p w14:paraId="27145D1C" w14:textId="77777777" w:rsidR="00DF1808" w:rsidRPr="00DF1808" w:rsidRDefault="00DF1808" w:rsidP="00DF1808">
            <w:pPr>
              <w:spacing w:after="0" w:line="240" w:lineRule="auto"/>
              <w:jc w:val="center"/>
              <w:rPr>
                <w:rFonts w:ascii="Aptos Narrow" w:eastAsia="Times New Roman" w:hAnsi="Aptos Narrow" w:cs="Times New Roman"/>
                <w:color w:val="000000"/>
                <w:kern w:val="0"/>
                <w:lang w:eastAsia="en-GB"/>
                <w14:ligatures w14:val="none"/>
              </w:rPr>
            </w:pPr>
            <w:r w:rsidRPr="00DF1808">
              <w:rPr>
                <w:rFonts w:ascii="Aptos Narrow" w:eastAsia="Times New Roman" w:hAnsi="Aptos Narrow" w:cs="Times New Roman"/>
                <w:color w:val="000000"/>
                <w:kern w:val="0"/>
                <w:lang w:eastAsia="en-GB"/>
                <w14:ligatures w14:val="none"/>
              </w:rPr>
              <w:t>A</w:t>
            </w:r>
          </w:p>
        </w:tc>
        <w:tc>
          <w:tcPr>
            <w:tcW w:w="840" w:type="dxa"/>
            <w:shd w:val="clear" w:color="000000" w:fill="8ED973"/>
            <w:noWrap/>
            <w:vAlign w:val="bottom"/>
            <w:hideMark/>
          </w:tcPr>
          <w:p w14:paraId="5344B850" w14:textId="77777777" w:rsidR="00DF1808" w:rsidRPr="00DF1808" w:rsidRDefault="00DF1808" w:rsidP="00DF1808">
            <w:pPr>
              <w:spacing w:after="0" w:line="240" w:lineRule="auto"/>
              <w:jc w:val="center"/>
              <w:rPr>
                <w:rFonts w:ascii="Aptos Narrow" w:eastAsia="Times New Roman" w:hAnsi="Aptos Narrow" w:cs="Times New Roman"/>
                <w:color w:val="000000"/>
                <w:kern w:val="0"/>
                <w:lang w:eastAsia="en-GB"/>
                <w14:ligatures w14:val="none"/>
              </w:rPr>
            </w:pPr>
            <w:r w:rsidRPr="00DF1808">
              <w:rPr>
                <w:rFonts w:ascii="Aptos Narrow" w:eastAsia="Times New Roman" w:hAnsi="Aptos Narrow" w:cs="Times New Roman"/>
                <w:color w:val="000000"/>
                <w:kern w:val="0"/>
                <w:lang w:eastAsia="en-GB"/>
                <w14:ligatures w14:val="none"/>
              </w:rPr>
              <w:t>B</w:t>
            </w:r>
          </w:p>
        </w:tc>
        <w:tc>
          <w:tcPr>
            <w:tcW w:w="960" w:type="dxa"/>
            <w:shd w:val="clear" w:color="000000" w:fill="FFFF00"/>
            <w:noWrap/>
            <w:vAlign w:val="bottom"/>
            <w:hideMark/>
          </w:tcPr>
          <w:p w14:paraId="0E5FB74C" w14:textId="77777777" w:rsidR="00DF1808" w:rsidRPr="00DF1808" w:rsidRDefault="00DF1808" w:rsidP="00DF1808">
            <w:pPr>
              <w:spacing w:after="0" w:line="240" w:lineRule="auto"/>
              <w:jc w:val="center"/>
              <w:rPr>
                <w:rFonts w:ascii="Aptos Narrow" w:eastAsia="Times New Roman" w:hAnsi="Aptos Narrow" w:cs="Times New Roman"/>
                <w:color w:val="000000"/>
                <w:kern w:val="0"/>
                <w:lang w:eastAsia="en-GB"/>
                <w14:ligatures w14:val="none"/>
              </w:rPr>
            </w:pPr>
            <w:r w:rsidRPr="00DF1808">
              <w:rPr>
                <w:rFonts w:ascii="Aptos Narrow" w:eastAsia="Times New Roman" w:hAnsi="Aptos Narrow" w:cs="Times New Roman"/>
                <w:color w:val="000000"/>
                <w:kern w:val="0"/>
                <w:lang w:eastAsia="en-GB"/>
                <w14:ligatures w14:val="none"/>
              </w:rPr>
              <w:t>C</w:t>
            </w:r>
          </w:p>
        </w:tc>
        <w:tc>
          <w:tcPr>
            <w:tcW w:w="1040" w:type="dxa"/>
            <w:shd w:val="clear" w:color="000000" w:fill="FFC000"/>
            <w:noWrap/>
            <w:vAlign w:val="bottom"/>
            <w:hideMark/>
          </w:tcPr>
          <w:p w14:paraId="0907971C" w14:textId="77777777" w:rsidR="00DF1808" w:rsidRPr="00DF1808" w:rsidRDefault="00DF1808" w:rsidP="00DF1808">
            <w:pPr>
              <w:spacing w:after="0" w:line="240" w:lineRule="auto"/>
              <w:jc w:val="center"/>
              <w:rPr>
                <w:rFonts w:ascii="Aptos Narrow" w:eastAsia="Times New Roman" w:hAnsi="Aptos Narrow" w:cs="Times New Roman"/>
                <w:color w:val="000000"/>
                <w:kern w:val="0"/>
                <w:lang w:eastAsia="en-GB"/>
                <w14:ligatures w14:val="none"/>
              </w:rPr>
            </w:pPr>
            <w:r w:rsidRPr="00DF1808">
              <w:rPr>
                <w:rFonts w:ascii="Aptos Narrow" w:eastAsia="Times New Roman" w:hAnsi="Aptos Narrow" w:cs="Times New Roman"/>
                <w:color w:val="000000"/>
                <w:kern w:val="0"/>
                <w:lang w:eastAsia="en-GB"/>
                <w14:ligatures w14:val="none"/>
              </w:rPr>
              <w:t>D</w:t>
            </w:r>
          </w:p>
        </w:tc>
        <w:tc>
          <w:tcPr>
            <w:tcW w:w="880" w:type="dxa"/>
            <w:shd w:val="clear" w:color="000000" w:fill="FF0000"/>
            <w:noWrap/>
            <w:vAlign w:val="bottom"/>
            <w:hideMark/>
          </w:tcPr>
          <w:p w14:paraId="033CBF01" w14:textId="77777777" w:rsidR="00DF1808" w:rsidRPr="00DF1808" w:rsidRDefault="00DF1808" w:rsidP="00DF1808">
            <w:pPr>
              <w:spacing w:after="0" w:line="240" w:lineRule="auto"/>
              <w:jc w:val="center"/>
              <w:rPr>
                <w:rFonts w:ascii="Aptos Narrow" w:eastAsia="Times New Roman" w:hAnsi="Aptos Narrow" w:cs="Times New Roman"/>
                <w:color w:val="000000"/>
                <w:kern w:val="0"/>
                <w:lang w:eastAsia="en-GB"/>
                <w14:ligatures w14:val="none"/>
              </w:rPr>
            </w:pPr>
            <w:r w:rsidRPr="00DF1808">
              <w:rPr>
                <w:rFonts w:ascii="Aptos Narrow" w:eastAsia="Times New Roman" w:hAnsi="Aptos Narrow" w:cs="Times New Roman"/>
                <w:color w:val="000000"/>
                <w:kern w:val="0"/>
                <w:lang w:eastAsia="en-GB"/>
                <w14:ligatures w14:val="none"/>
              </w:rPr>
              <w:t>E</w:t>
            </w:r>
          </w:p>
        </w:tc>
      </w:tr>
    </w:tbl>
    <w:p w14:paraId="2CD04CE1" w14:textId="77777777" w:rsidR="00F93E80" w:rsidRDefault="00F93E80">
      <w:pPr>
        <w:rPr>
          <w:sz w:val="24"/>
          <w:szCs w:val="24"/>
        </w:rPr>
      </w:pPr>
    </w:p>
    <w:p w14:paraId="2177CD47" w14:textId="4D8DA2F2" w:rsidR="00697160" w:rsidRDefault="00697160" w:rsidP="00697160">
      <w:pPr>
        <w:pStyle w:val="Caption"/>
        <w:keepNext/>
        <w:jc w:val="center"/>
      </w:pPr>
      <w:r>
        <w:t xml:space="preserve">Table </w:t>
      </w:r>
      <w:fldSimple w:instr=" SEQ Table \* ARABIC ">
        <w:r>
          <w:rPr>
            <w:noProof/>
          </w:rPr>
          <w:t>2</w:t>
        </w:r>
      </w:fldSimple>
      <w:r>
        <w:t xml:space="preserve"> - Severity</w:t>
      </w:r>
    </w:p>
    <w:tbl>
      <w:tblPr>
        <w:tblStyle w:val="ListTable2"/>
        <w:tblW w:w="6023" w:type="dxa"/>
        <w:jc w:val="center"/>
        <w:tblLook w:val="0480" w:firstRow="0" w:lastRow="0" w:firstColumn="1" w:lastColumn="0" w:noHBand="0" w:noVBand="1"/>
      </w:tblPr>
      <w:tblGrid>
        <w:gridCol w:w="1189"/>
        <w:gridCol w:w="5030"/>
      </w:tblGrid>
      <w:tr w:rsidR="009B1013" w:rsidRPr="009B1013" w14:paraId="5468157C" w14:textId="77777777" w:rsidTr="00A072D6">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993" w:type="dxa"/>
            <w:noWrap/>
            <w:hideMark/>
          </w:tcPr>
          <w:p w14:paraId="3E0BFD77"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Severe</w:t>
            </w:r>
          </w:p>
        </w:tc>
        <w:tc>
          <w:tcPr>
            <w:tcW w:w="5030" w:type="dxa"/>
            <w:noWrap/>
            <w:hideMark/>
          </w:tcPr>
          <w:p w14:paraId="6D078437" w14:textId="77777777" w:rsidR="009B1013" w:rsidRPr="009B1013" w:rsidRDefault="009B1013" w:rsidP="009B1013">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Multiple Deaths/Serious Injuries</w:t>
            </w:r>
          </w:p>
        </w:tc>
      </w:tr>
      <w:tr w:rsidR="009B1013" w:rsidRPr="009B1013" w14:paraId="04FBF0DD" w14:textId="77777777" w:rsidTr="00A072D6">
        <w:trPr>
          <w:trHeight w:val="330"/>
          <w:jc w:val="center"/>
        </w:trPr>
        <w:tc>
          <w:tcPr>
            <w:cnfStyle w:val="001000000000" w:firstRow="0" w:lastRow="0" w:firstColumn="1" w:lastColumn="0" w:oddVBand="0" w:evenVBand="0" w:oddHBand="0" w:evenHBand="0" w:firstRowFirstColumn="0" w:firstRowLastColumn="0" w:lastRowFirstColumn="0" w:lastRowLastColumn="0"/>
            <w:tcW w:w="993" w:type="dxa"/>
            <w:noWrap/>
            <w:hideMark/>
          </w:tcPr>
          <w:p w14:paraId="380D1847"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Significant</w:t>
            </w:r>
          </w:p>
        </w:tc>
        <w:tc>
          <w:tcPr>
            <w:tcW w:w="5030" w:type="dxa"/>
            <w:noWrap/>
            <w:hideMark/>
          </w:tcPr>
          <w:p w14:paraId="69693AA6" w14:textId="77777777" w:rsidR="009B1013" w:rsidRPr="009B1013" w:rsidRDefault="009B1013" w:rsidP="009B1013">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Few Deaths/Serious injuries or illnesses (life changing)</w:t>
            </w:r>
          </w:p>
        </w:tc>
      </w:tr>
      <w:tr w:rsidR="009B1013" w:rsidRPr="009B1013" w14:paraId="7525A3AD" w14:textId="77777777" w:rsidTr="00A072D6">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993" w:type="dxa"/>
            <w:noWrap/>
            <w:hideMark/>
          </w:tcPr>
          <w:p w14:paraId="5053F9BE"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Moderate</w:t>
            </w:r>
          </w:p>
        </w:tc>
        <w:tc>
          <w:tcPr>
            <w:tcW w:w="5030" w:type="dxa"/>
            <w:noWrap/>
            <w:hideMark/>
          </w:tcPr>
          <w:p w14:paraId="40A0D55A" w14:textId="77777777" w:rsidR="009B1013" w:rsidRPr="009B1013" w:rsidRDefault="009B1013" w:rsidP="009B1013">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Broken bones, short term illness and burns</w:t>
            </w:r>
          </w:p>
        </w:tc>
      </w:tr>
      <w:tr w:rsidR="009B1013" w:rsidRPr="009B1013" w14:paraId="5F3BB369" w14:textId="77777777" w:rsidTr="00A072D6">
        <w:trPr>
          <w:trHeight w:val="330"/>
          <w:jc w:val="center"/>
        </w:trPr>
        <w:tc>
          <w:tcPr>
            <w:cnfStyle w:val="001000000000" w:firstRow="0" w:lastRow="0" w:firstColumn="1" w:lastColumn="0" w:oddVBand="0" w:evenVBand="0" w:oddHBand="0" w:evenHBand="0" w:firstRowFirstColumn="0" w:firstRowLastColumn="0" w:lastRowFirstColumn="0" w:lastRowLastColumn="0"/>
            <w:tcW w:w="993" w:type="dxa"/>
            <w:noWrap/>
            <w:hideMark/>
          </w:tcPr>
          <w:p w14:paraId="400516B7"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Minor</w:t>
            </w:r>
          </w:p>
        </w:tc>
        <w:tc>
          <w:tcPr>
            <w:tcW w:w="5030" w:type="dxa"/>
            <w:noWrap/>
            <w:hideMark/>
          </w:tcPr>
          <w:p w14:paraId="1E452F7E" w14:textId="77777777" w:rsidR="009B1013" w:rsidRPr="009B1013" w:rsidRDefault="009B1013" w:rsidP="009B1013">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Cuts, bruises, sprains and minor burns</w:t>
            </w:r>
          </w:p>
        </w:tc>
      </w:tr>
      <w:tr w:rsidR="009B1013" w:rsidRPr="009B1013" w14:paraId="65F4330F" w14:textId="77777777" w:rsidTr="00A072D6">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993" w:type="dxa"/>
            <w:noWrap/>
            <w:hideMark/>
          </w:tcPr>
          <w:p w14:paraId="105EBDA8"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Negligible</w:t>
            </w:r>
          </w:p>
        </w:tc>
        <w:tc>
          <w:tcPr>
            <w:tcW w:w="5030" w:type="dxa"/>
            <w:noWrap/>
            <w:hideMark/>
          </w:tcPr>
          <w:p w14:paraId="1D9E88D6" w14:textId="77777777" w:rsidR="009B1013" w:rsidRPr="009B1013" w:rsidRDefault="009B1013" w:rsidP="009B1013">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Grazes and small cuts</w:t>
            </w:r>
          </w:p>
        </w:tc>
      </w:tr>
    </w:tbl>
    <w:p w14:paraId="059EDDE0" w14:textId="77777777" w:rsidR="00C40020" w:rsidRDefault="00C40020">
      <w:pPr>
        <w:rPr>
          <w:sz w:val="24"/>
          <w:szCs w:val="24"/>
        </w:rPr>
      </w:pPr>
    </w:p>
    <w:p w14:paraId="14843662" w14:textId="093A3529" w:rsidR="00697160" w:rsidRDefault="00697160" w:rsidP="00697160">
      <w:pPr>
        <w:pStyle w:val="Caption"/>
        <w:keepNext/>
        <w:jc w:val="center"/>
      </w:pPr>
      <w:r>
        <w:t xml:space="preserve">Table </w:t>
      </w:r>
      <w:fldSimple w:instr=" SEQ Table \* ARABIC ">
        <w:r>
          <w:rPr>
            <w:noProof/>
          </w:rPr>
          <w:t>3</w:t>
        </w:r>
      </w:fldSimple>
      <w:r>
        <w:t xml:space="preserve"> - Likelihood</w:t>
      </w:r>
    </w:p>
    <w:tbl>
      <w:tblPr>
        <w:tblStyle w:val="ListTable2"/>
        <w:tblW w:w="5960" w:type="dxa"/>
        <w:jc w:val="center"/>
        <w:tblLook w:val="0480" w:firstRow="0" w:lastRow="0" w:firstColumn="1" w:lastColumn="0" w:noHBand="0" w:noVBand="1"/>
      </w:tblPr>
      <w:tblGrid>
        <w:gridCol w:w="1560"/>
        <w:gridCol w:w="4400"/>
      </w:tblGrid>
      <w:tr w:rsidR="009B1013" w:rsidRPr="009B1013" w14:paraId="5EA1EBC3" w14:textId="77777777" w:rsidTr="00A072D6">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1560" w:type="dxa"/>
            <w:noWrap/>
            <w:hideMark/>
          </w:tcPr>
          <w:p w14:paraId="2EFBEB25"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Very Likely</w:t>
            </w:r>
          </w:p>
        </w:tc>
        <w:tc>
          <w:tcPr>
            <w:tcW w:w="4400" w:type="dxa"/>
            <w:noWrap/>
            <w:hideMark/>
          </w:tcPr>
          <w:p w14:paraId="1178B419" w14:textId="77777777" w:rsidR="009B1013" w:rsidRPr="009B1013" w:rsidRDefault="009B1013" w:rsidP="009B1013">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between x10^-1 and x10^-2</w:t>
            </w:r>
          </w:p>
        </w:tc>
      </w:tr>
      <w:tr w:rsidR="009B1013" w:rsidRPr="009B1013" w14:paraId="502FCDC6" w14:textId="77777777" w:rsidTr="00A072D6">
        <w:trPr>
          <w:trHeight w:val="315"/>
          <w:jc w:val="center"/>
        </w:trPr>
        <w:tc>
          <w:tcPr>
            <w:cnfStyle w:val="001000000000" w:firstRow="0" w:lastRow="0" w:firstColumn="1" w:lastColumn="0" w:oddVBand="0" w:evenVBand="0" w:oddHBand="0" w:evenHBand="0" w:firstRowFirstColumn="0" w:firstRowLastColumn="0" w:lastRowFirstColumn="0" w:lastRowLastColumn="0"/>
            <w:tcW w:w="1560" w:type="dxa"/>
            <w:noWrap/>
            <w:hideMark/>
          </w:tcPr>
          <w:p w14:paraId="04DE7907"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Likely</w:t>
            </w:r>
          </w:p>
        </w:tc>
        <w:tc>
          <w:tcPr>
            <w:tcW w:w="4400" w:type="dxa"/>
            <w:noWrap/>
            <w:hideMark/>
          </w:tcPr>
          <w:p w14:paraId="65D5A535" w14:textId="77777777" w:rsidR="009B1013" w:rsidRPr="009B1013" w:rsidRDefault="009B1013" w:rsidP="009B1013">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between x10^-2 and x10^-3</w:t>
            </w:r>
          </w:p>
        </w:tc>
      </w:tr>
      <w:tr w:rsidR="009B1013" w:rsidRPr="009B1013" w14:paraId="643097EB" w14:textId="77777777" w:rsidTr="00A072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60" w:type="dxa"/>
            <w:noWrap/>
            <w:hideMark/>
          </w:tcPr>
          <w:p w14:paraId="54F617DE"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Probable</w:t>
            </w:r>
          </w:p>
        </w:tc>
        <w:tc>
          <w:tcPr>
            <w:tcW w:w="4400" w:type="dxa"/>
            <w:noWrap/>
            <w:hideMark/>
          </w:tcPr>
          <w:p w14:paraId="7FFE91E9" w14:textId="77777777" w:rsidR="009B1013" w:rsidRPr="009B1013" w:rsidRDefault="009B1013" w:rsidP="009B1013">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between x10^-3 and x10^-4</w:t>
            </w:r>
          </w:p>
        </w:tc>
      </w:tr>
      <w:tr w:rsidR="009B1013" w:rsidRPr="009B1013" w14:paraId="18E90B0B" w14:textId="77777777" w:rsidTr="00A072D6">
        <w:trPr>
          <w:trHeight w:val="300"/>
          <w:jc w:val="center"/>
        </w:trPr>
        <w:tc>
          <w:tcPr>
            <w:cnfStyle w:val="001000000000" w:firstRow="0" w:lastRow="0" w:firstColumn="1" w:lastColumn="0" w:oddVBand="0" w:evenVBand="0" w:oddHBand="0" w:evenHBand="0" w:firstRowFirstColumn="0" w:firstRowLastColumn="0" w:lastRowFirstColumn="0" w:lastRowLastColumn="0"/>
            <w:tcW w:w="1560" w:type="dxa"/>
            <w:noWrap/>
            <w:hideMark/>
          </w:tcPr>
          <w:p w14:paraId="37411160"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Unlikely</w:t>
            </w:r>
          </w:p>
        </w:tc>
        <w:tc>
          <w:tcPr>
            <w:tcW w:w="4400" w:type="dxa"/>
            <w:noWrap/>
            <w:hideMark/>
          </w:tcPr>
          <w:p w14:paraId="56446524" w14:textId="77777777" w:rsidR="009B1013" w:rsidRPr="009B1013" w:rsidRDefault="009B1013" w:rsidP="009B1013">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between x10^-4 and x10^-5</w:t>
            </w:r>
          </w:p>
        </w:tc>
      </w:tr>
      <w:tr w:rsidR="009B1013" w:rsidRPr="009B1013" w14:paraId="3AC3EC98" w14:textId="77777777" w:rsidTr="00A072D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60" w:type="dxa"/>
            <w:noWrap/>
            <w:hideMark/>
          </w:tcPr>
          <w:p w14:paraId="3F596D3A" w14:textId="77777777" w:rsidR="009B1013" w:rsidRPr="009B1013" w:rsidRDefault="009B1013" w:rsidP="009B1013">
            <w:pPr>
              <w:jc w:val="center"/>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Very Unlikely</w:t>
            </w:r>
          </w:p>
        </w:tc>
        <w:tc>
          <w:tcPr>
            <w:tcW w:w="4400" w:type="dxa"/>
            <w:noWrap/>
            <w:vAlign w:val="center"/>
            <w:hideMark/>
          </w:tcPr>
          <w:p w14:paraId="64C027CE" w14:textId="77777777" w:rsidR="009B1013" w:rsidRPr="009B1013" w:rsidRDefault="009B1013" w:rsidP="00416C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9B1013">
              <w:rPr>
                <w:rFonts w:ascii="Aptos Narrow" w:eastAsia="Times New Roman" w:hAnsi="Aptos Narrow" w:cs="Times New Roman"/>
                <w:color w:val="000000"/>
                <w:kern w:val="0"/>
                <w:lang w:eastAsia="en-GB"/>
                <w14:ligatures w14:val="none"/>
              </w:rPr>
              <w:t>less than x10^-5</w:t>
            </w:r>
          </w:p>
        </w:tc>
      </w:tr>
    </w:tbl>
    <w:p w14:paraId="535CECCF" w14:textId="77777777" w:rsidR="009B1013" w:rsidRDefault="009B1013">
      <w:pPr>
        <w:rPr>
          <w:sz w:val="24"/>
          <w:szCs w:val="24"/>
        </w:rPr>
      </w:pPr>
    </w:p>
    <w:p w14:paraId="65E3B4A6" w14:textId="7A13231E" w:rsidR="00697160" w:rsidRDefault="00697160" w:rsidP="00697160">
      <w:pPr>
        <w:pStyle w:val="Caption"/>
        <w:keepNext/>
        <w:jc w:val="center"/>
      </w:pPr>
      <w:r>
        <w:t xml:space="preserve">Table </w:t>
      </w:r>
      <w:fldSimple w:instr=" SEQ Table \* ARABIC ">
        <w:r>
          <w:rPr>
            <w:noProof/>
          </w:rPr>
          <w:t>4</w:t>
        </w:r>
      </w:fldSimple>
      <w:r>
        <w:t xml:space="preserve"> - Risk Definition</w:t>
      </w:r>
    </w:p>
    <w:tbl>
      <w:tblPr>
        <w:tblStyle w:val="ListTable2"/>
        <w:tblW w:w="5960" w:type="dxa"/>
        <w:jc w:val="center"/>
        <w:tblLook w:val="0480" w:firstRow="0" w:lastRow="0" w:firstColumn="1" w:lastColumn="0" w:noHBand="0" w:noVBand="1"/>
      </w:tblPr>
      <w:tblGrid>
        <w:gridCol w:w="1240"/>
        <w:gridCol w:w="4720"/>
      </w:tblGrid>
      <w:tr w:rsidR="00FC6382" w:rsidRPr="00FC6382" w14:paraId="62EC3175" w14:textId="77777777" w:rsidTr="00FC6382">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40" w:type="dxa"/>
            <w:noWrap/>
            <w:hideMark/>
          </w:tcPr>
          <w:p w14:paraId="5087A467" w14:textId="77777777" w:rsidR="00FC6382" w:rsidRPr="00FC6382" w:rsidRDefault="00FC6382" w:rsidP="00FC6382">
            <w:pPr>
              <w:jc w:val="center"/>
              <w:rPr>
                <w:rFonts w:ascii="Aptos Narrow" w:eastAsia="Times New Roman" w:hAnsi="Aptos Narrow" w:cs="Times New Roman"/>
                <w:color w:val="000000"/>
                <w:kern w:val="0"/>
                <w:lang w:eastAsia="en-GB"/>
                <w14:ligatures w14:val="none"/>
              </w:rPr>
            </w:pPr>
            <w:r w:rsidRPr="00FC6382">
              <w:rPr>
                <w:rFonts w:ascii="Aptos Narrow" w:eastAsia="Times New Roman" w:hAnsi="Aptos Narrow" w:cs="Times New Roman"/>
                <w:color w:val="000000"/>
                <w:kern w:val="0"/>
                <w:lang w:eastAsia="en-GB"/>
                <w14:ligatures w14:val="none"/>
              </w:rPr>
              <w:t>Risk</w:t>
            </w:r>
          </w:p>
        </w:tc>
        <w:tc>
          <w:tcPr>
            <w:tcW w:w="4720" w:type="dxa"/>
            <w:noWrap/>
            <w:hideMark/>
          </w:tcPr>
          <w:p w14:paraId="7EBAE4E5" w14:textId="77777777" w:rsidR="00FC6382" w:rsidRPr="00FC6382" w:rsidRDefault="00FC6382" w:rsidP="00FC6382">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C6382">
              <w:rPr>
                <w:rFonts w:ascii="Aptos Narrow" w:eastAsia="Times New Roman" w:hAnsi="Aptos Narrow" w:cs="Times New Roman"/>
                <w:color w:val="000000"/>
                <w:kern w:val="0"/>
                <w:lang w:eastAsia="en-GB"/>
                <w14:ligatures w14:val="none"/>
              </w:rPr>
              <w:t>Likelihood x Severity</w:t>
            </w:r>
          </w:p>
        </w:tc>
      </w:tr>
    </w:tbl>
    <w:p w14:paraId="6EFE528E" w14:textId="77777777" w:rsidR="009B1013" w:rsidRDefault="009B1013">
      <w:pPr>
        <w:rPr>
          <w:sz w:val="24"/>
          <w:szCs w:val="24"/>
        </w:rPr>
      </w:pPr>
    </w:p>
    <w:p w14:paraId="670B6A8A" w14:textId="0FBB0AD6" w:rsidR="00D71429" w:rsidRDefault="00D71429">
      <w:pPr>
        <w:rPr>
          <w:sz w:val="24"/>
          <w:szCs w:val="24"/>
        </w:rPr>
      </w:pPr>
    </w:p>
    <w:p w14:paraId="73FA8768" w14:textId="77777777" w:rsidR="00EA594C" w:rsidRDefault="00AF4E7B" w:rsidP="00AF4E7B">
      <w:pPr>
        <w:pStyle w:val="ListParagraph"/>
        <w:numPr>
          <w:ilvl w:val="0"/>
          <w:numId w:val="2"/>
        </w:numPr>
        <w:sectPr w:rsidR="00EA594C" w:rsidSect="00590741">
          <w:pgSz w:w="11906" w:h="16838"/>
          <w:pgMar w:top="1440" w:right="1440" w:bottom="1440" w:left="1440" w:header="708" w:footer="708" w:gutter="0"/>
          <w:pgNumType w:start="0"/>
          <w:cols w:space="708"/>
          <w:titlePg/>
          <w:docGrid w:linePitch="360"/>
        </w:sectPr>
      </w:pPr>
      <w:r>
        <w:br w:type="page"/>
      </w:r>
    </w:p>
    <w:p w14:paraId="33ACCB16" w14:textId="77777777" w:rsidR="00D21F29" w:rsidRDefault="00D21F29" w:rsidP="00D21F29">
      <w:pPr>
        <w:pStyle w:val="Heading1"/>
        <w:numPr>
          <w:ilvl w:val="0"/>
          <w:numId w:val="6"/>
        </w:numPr>
      </w:pPr>
      <w:r>
        <w:lastRenderedPageBreak/>
        <w:t>Risk Assessment</w:t>
      </w:r>
    </w:p>
    <w:p w14:paraId="72C006E2" w14:textId="77777777" w:rsidR="00E30F27" w:rsidRDefault="00E30F27" w:rsidP="00E30F27"/>
    <w:p w14:paraId="46E7026D" w14:textId="6E497226" w:rsidR="00E30F27" w:rsidRDefault="00F4620E" w:rsidP="00F4620E">
      <w:pPr>
        <w:pStyle w:val="Heading2"/>
        <w:numPr>
          <w:ilvl w:val="1"/>
          <w:numId w:val="6"/>
        </w:numPr>
      </w:pPr>
      <w:r>
        <w:t>System Overview</w:t>
      </w:r>
    </w:p>
    <w:p w14:paraId="11472208" w14:textId="7CD0456B" w:rsidR="00F4620E" w:rsidRDefault="00F4620E" w:rsidP="00F4620E"/>
    <w:p w14:paraId="139205FB" w14:textId="15755FB2" w:rsidR="00F4620E" w:rsidRDefault="00F4620E" w:rsidP="00F4620E">
      <w:r>
        <w:t>The System</w:t>
      </w:r>
      <w:r w:rsidR="001308EB">
        <w:t xml:space="preserve">/Weapon </w:t>
      </w:r>
      <w:r w:rsidR="0053288D">
        <w:t>being assessed is the SA-80 Assault Rifle.</w:t>
      </w:r>
      <w:r w:rsidR="008B6173">
        <w:t xml:space="preserve">  It has been the standard issue rifle of the British Army</w:t>
      </w:r>
      <w:r w:rsidR="00DB4365">
        <w:t xml:space="preserve"> for over 30 years</w:t>
      </w:r>
      <w:r w:rsidR="00FE2FD6">
        <w:t>.  The rounds for this weapon are standard NATO 5.56 x 45mm rounds.</w:t>
      </w:r>
      <w:r w:rsidR="001C6048">
        <w:t xml:space="preserve">  The SA80 weighs </w:t>
      </w:r>
      <w:r w:rsidR="002761E0">
        <w:t>just under</w:t>
      </w:r>
      <w:r w:rsidR="001C6048">
        <w:t xml:space="preserve"> 5kg, </w:t>
      </w:r>
      <w:r w:rsidR="007B1C4E">
        <w:t xml:space="preserve">is 785mm long, </w:t>
      </w:r>
      <w:r w:rsidR="001C6048">
        <w:t>has a muzzle velocity of around 940 ms</w:t>
      </w:r>
      <w:r w:rsidR="001C6048">
        <w:rPr>
          <w:vertAlign w:val="superscript"/>
        </w:rPr>
        <w:t>-1</w:t>
      </w:r>
      <w:r w:rsidR="001C6048">
        <w:t xml:space="preserve"> and a r</w:t>
      </w:r>
      <w:r w:rsidR="007B1C4E">
        <w:t>ange</w:t>
      </w:r>
      <w:r w:rsidR="001C6048">
        <w:t xml:space="preserve"> of around 400 metres</w:t>
      </w:r>
      <w:sdt>
        <w:sdtPr>
          <w:id w:val="1090043368"/>
          <w:citation/>
        </w:sdtPr>
        <w:sdtEndPr/>
        <w:sdtContent>
          <w:r w:rsidR="00403CDB">
            <w:fldChar w:fldCharType="begin"/>
          </w:r>
          <w:r w:rsidR="00403CDB">
            <w:instrText xml:space="preserve"> CITATION Bri25 \l 2057 </w:instrText>
          </w:r>
          <w:r w:rsidR="00403CDB">
            <w:fldChar w:fldCharType="separate"/>
          </w:r>
          <w:r w:rsidR="00403CDB">
            <w:rPr>
              <w:noProof/>
            </w:rPr>
            <w:t xml:space="preserve"> </w:t>
          </w:r>
          <w:r w:rsidR="00403CDB" w:rsidRPr="00403CDB">
            <w:rPr>
              <w:noProof/>
            </w:rPr>
            <w:t>[1]</w:t>
          </w:r>
          <w:r w:rsidR="00403CDB">
            <w:fldChar w:fldCharType="end"/>
          </w:r>
        </w:sdtContent>
      </w:sdt>
      <w:r w:rsidR="001C6048">
        <w:t>.</w:t>
      </w:r>
      <w:r w:rsidR="00FE2FD6">
        <w:t xml:space="preserve">  </w:t>
      </w:r>
    </w:p>
    <w:p w14:paraId="4E897D67" w14:textId="3942C954" w:rsidR="00F4620E" w:rsidRDefault="00F4620E" w:rsidP="00F4620E">
      <w:pPr>
        <w:pStyle w:val="Heading2"/>
        <w:numPr>
          <w:ilvl w:val="1"/>
          <w:numId w:val="6"/>
        </w:numPr>
      </w:pPr>
      <w:r>
        <w:t>Risk Assessment</w:t>
      </w:r>
    </w:p>
    <w:p w14:paraId="6BA2F89F" w14:textId="3F79BEF0" w:rsidR="00D21F29" w:rsidRDefault="006B2B2A" w:rsidP="00D21F29">
      <w:pPr>
        <w:pStyle w:val="Heading1"/>
      </w:pPr>
      <w:r>
        <w:rPr>
          <w:noProof/>
        </w:rPr>
        <w:drawing>
          <wp:inline distT="0" distB="0" distL="0" distR="0" wp14:anchorId="13E94417" wp14:editId="36964FA2">
            <wp:extent cx="8863330" cy="2696845"/>
            <wp:effectExtent l="0" t="0" r="0" b="8255"/>
            <wp:docPr id="12539549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54967" name="Picture 1" descr="A screenshot of a computer&#10;&#10;AI-generated content may be incorrect."/>
                    <pic:cNvPicPr/>
                  </pic:nvPicPr>
                  <pic:blipFill>
                    <a:blip r:embed="rId17"/>
                    <a:stretch>
                      <a:fillRect/>
                    </a:stretch>
                  </pic:blipFill>
                  <pic:spPr>
                    <a:xfrm>
                      <a:off x="0" y="0"/>
                      <a:ext cx="8863330" cy="2696845"/>
                    </a:xfrm>
                    <a:prstGeom prst="rect">
                      <a:avLst/>
                    </a:prstGeom>
                  </pic:spPr>
                </pic:pic>
              </a:graphicData>
            </a:graphic>
          </wp:inline>
        </w:drawing>
      </w:r>
    </w:p>
    <w:p w14:paraId="19C2B2BD" w14:textId="092A2D2F" w:rsidR="00404AE0" w:rsidRPr="00404AE0" w:rsidRDefault="00404AE0" w:rsidP="00404AE0"/>
    <w:p w14:paraId="4A223DCA" w14:textId="782B5781" w:rsidR="00D21F29" w:rsidRDefault="006B2B2A" w:rsidP="00D21F29">
      <w:pPr>
        <w:pStyle w:val="Heading1"/>
      </w:pPr>
      <w:r>
        <w:rPr>
          <w:noProof/>
        </w:rPr>
        <w:lastRenderedPageBreak/>
        <w:drawing>
          <wp:inline distT="0" distB="0" distL="0" distR="0" wp14:anchorId="31C8D71E" wp14:editId="6B602DC7">
            <wp:extent cx="8863330" cy="2691130"/>
            <wp:effectExtent l="0" t="0" r="0" b="0"/>
            <wp:docPr id="15964103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10308" name="Picture 1" descr="A screenshot of a computer&#10;&#10;AI-generated content may be incorrect."/>
                    <pic:cNvPicPr/>
                  </pic:nvPicPr>
                  <pic:blipFill>
                    <a:blip r:embed="rId18"/>
                    <a:stretch>
                      <a:fillRect/>
                    </a:stretch>
                  </pic:blipFill>
                  <pic:spPr>
                    <a:xfrm>
                      <a:off x="0" y="0"/>
                      <a:ext cx="8863330" cy="2691130"/>
                    </a:xfrm>
                    <a:prstGeom prst="rect">
                      <a:avLst/>
                    </a:prstGeom>
                  </pic:spPr>
                </pic:pic>
              </a:graphicData>
            </a:graphic>
          </wp:inline>
        </w:drawing>
      </w:r>
    </w:p>
    <w:p w14:paraId="34A52E53" w14:textId="77777777" w:rsidR="00403CDB" w:rsidRPr="00403CDB" w:rsidRDefault="00403CDB" w:rsidP="00403CDB"/>
    <w:p w14:paraId="6894135E" w14:textId="7A6F442C" w:rsidR="005B2539" w:rsidRPr="005B2539" w:rsidRDefault="008C595E" w:rsidP="005B2539">
      <w:r w:rsidRPr="008C595E">
        <w:rPr>
          <w:noProof/>
        </w:rPr>
        <w:drawing>
          <wp:inline distT="0" distB="0" distL="0" distR="0" wp14:anchorId="199740BA" wp14:editId="7190D332">
            <wp:extent cx="8863330" cy="2413635"/>
            <wp:effectExtent l="0" t="0" r="0" b="5715"/>
            <wp:docPr id="15372827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82714" name="Picture 1" descr="A screenshot of a computer&#10;&#10;AI-generated content may be incorrect."/>
                    <pic:cNvPicPr/>
                  </pic:nvPicPr>
                  <pic:blipFill>
                    <a:blip r:embed="rId19"/>
                    <a:stretch>
                      <a:fillRect/>
                    </a:stretch>
                  </pic:blipFill>
                  <pic:spPr>
                    <a:xfrm>
                      <a:off x="0" y="0"/>
                      <a:ext cx="8863330" cy="2413635"/>
                    </a:xfrm>
                    <a:prstGeom prst="rect">
                      <a:avLst/>
                    </a:prstGeom>
                  </pic:spPr>
                </pic:pic>
              </a:graphicData>
            </a:graphic>
          </wp:inline>
        </w:drawing>
      </w:r>
    </w:p>
    <w:p w14:paraId="5EB7AAB7" w14:textId="7AA2E0BA" w:rsidR="00D21F29" w:rsidRDefault="00D21F29">
      <w:pPr>
        <w:rPr>
          <w:rFonts w:asciiTheme="majorHAnsi" w:eastAsiaTheme="majorEastAsia" w:hAnsiTheme="majorHAnsi" w:cstheme="majorBidi"/>
          <w:color w:val="864EA8" w:themeColor="accent1" w:themeShade="BF"/>
          <w:sz w:val="32"/>
          <w:szCs w:val="32"/>
        </w:rPr>
      </w:pPr>
    </w:p>
    <w:p w14:paraId="4147D2C7" w14:textId="2772A97D" w:rsidR="00D21F29" w:rsidRDefault="00E30F27" w:rsidP="00D21F29">
      <w:pPr>
        <w:pStyle w:val="Heading1"/>
      </w:pPr>
      <w:r w:rsidRPr="00E30F27">
        <w:rPr>
          <w:noProof/>
        </w:rPr>
        <w:drawing>
          <wp:inline distT="0" distB="0" distL="0" distR="0" wp14:anchorId="74DCEB8F" wp14:editId="755CE8D4">
            <wp:extent cx="8863330" cy="2760980"/>
            <wp:effectExtent l="0" t="0" r="0" b="1270"/>
            <wp:docPr id="957093237" name="Picture 1"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3237" name="Picture 1" descr="A close-up of a book&#10;&#10;AI-generated content may be incorrect."/>
                    <pic:cNvPicPr/>
                  </pic:nvPicPr>
                  <pic:blipFill>
                    <a:blip r:embed="rId20"/>
                    <a:stretch>
                      <a:fillRect/>
                    </a:stretch>
                  </pic:blipFill>
                  <pic:spPr>
                    <a:xfrm>
                      <a:off x="0" y="0"/>
                      <a:ext cx="8863330" cy="2760980"/>
                    </a:xfrm>
                    <a:prstGeom prst="rect">
                      <a:avLst/>
                    </a:prstGeom>
                  </pic:spPr>
                </pic:pic>
              </a:graphicData>
            </a:graphic>
          </wp:inline>
        </w:drawing>
      </w:r>
    </w:p>
    <w:p w14:paraId="708D88EE" w14:textId="7BBB661E" w:rsidR="00997DB0" w:rsidRPr="00493B81" w:rsidRDefault="00997DB0" w:rsidP="00493B81">
      <w:pPr>
        <w:rPr>
          <w:rFonts w:asciiTheme="majorHAnsi" w:eastAsiaTheme="majorEastAsia" w:hAnsiTheme="majorHAnsi" w:cstheme="majorBidi"/>
          <w:color w:val="864EA8" w:themeColor="accent1" w:themeShade="BF"/>
          <w:sz w:val="32"/>
          <w:szCs w:val="32"/>
        </w:rPr>
      </w:pPr>
      <w:r>
        <w:br w:type="page"/>
      </w:r>
    </w:p>
    <w:p w14:paraId="5D6555D4" w14:textId="77777777" w:rsidR="00EA594C" w:rsidRDefault="00EA594C" w:rsidP="002B4F63">
      <w:pPr>
        <w:sectPr w:rsidR="00EA594C" w:rsidSect="00EA594C">
          <w:pgSz w:w="16838" w:h="11906" w:orient="landscape"/>
          <w:pgMar w:top="1440" w:right="1440" w:bottom="1440" w:left="1440" w:header="708" w:footer="708" w:gutter="0"/>
          <w:pgNumType w:start="0"/>
          <w:cols w:space="708"/>
          <w:titlePg/>
          <w:docGrid w:linePitch="360"/>
        </w:sectPr>
      </w:pPr>
    </w:p>
    <w:p w14:paraId="1B502EC1" w14:textId="7934C89C" w:rsidR="002B4F63" w:rsidRDefault="00E6649C" w:rsidP="00493B81">
      <w:pPr>
        <w:pStyle w:val="Heading1"/>
        <w:numPr>
          <w:ilvl w:val="0"/>
          <w:numId w:val="6"/>
        </w:numPr>
      </w:pPr>
      <w:r>
        <w:lastRenderedPageBreak/>
        <w:t xml:space="preserve">Inadvertent Discharge </w:t>
      </w:r>
      <w:r w:rsidR="00493B81">
        <w:t>ALARP Justification</w:t>
      </w:r>
    </w:p>
    <w:p w14:paraId="044F878B" w14:textId="77777777" w:rsidR="0015504D" w:rsidRDefault="0015504D" w:rsidP="0015504D"/>
    <w:p w14:paraId="602A5BEC" w14:textId="2617DF2B" w:rsidR="00524879" w:rsidRDefault="005D4093" w:rsidP="0015504D">
      <w:r>
        <w:t xml:space="preserve">The Ministry of Defence (MoD), as the duty holder for in-service weapons in the military, are responsible for assessing and mitigating risk to As Low </w:t>
      </w:r>
      <w:r w:rsidR="001B433D">
        <w:t>a</w:t>
      </w:r>
      <w:r>
        <w:t>s Reasonably Practicable (ALARP).  This means they must minimise the risk of work-related injury, illness or death and adverse effects on the environment to ALARP</w:t>
      </w:r>
      <w:sdt>
        <w:sdtPr>
          <w:id w:val="-263689318"/>
          <w:citation/>
        </w:sdtPr>
        <w:sdtEndPr/>
        <w:sdtContent>
          <w:r w:rsidR="001B433D">
            <w:fldChar w:fldCharType="begin"/>
          </w:r>
          <w:r w:rsidR="001B433D">
            <w:instrText xml:space="preserve"> CITATION Min24 \l 2057 </w:instrText>
          </w:r>
          <w:r w:rsidR="001B433D">
            <w:fldChar w:fldCharType="separate"/>
          </w:r>
          <w:r w:rsidR="001B433D">
            <w:rPr>
              <w:noProof/>
            </w:rPr>
            <w:t xml:space="preserve"> </w:t>
          </w:r>
          <w:r w:rsidR="001B433D" w:rsidRPr="001B433D">
            <w:rPr>
              <w:noProof/>
            </w:rPr>
            <w:t>[2]</w:t>
          </w:r>
          <w:r w:rsidR="001B433D">
            <w:fldChar w:fldCharType="end"/>
          </w:r>
        </w:sdtContent>
      </w:sdt>
      <w:r>
        <w:t>.</w:t>
      </w:r>
      <w:r w:rsidR="001B433D">
        <w:t xml:space="preserve">  This safety justification will consider the hazard of ‘</w:t>
      </w:r>
      <w:r w:rsidR="001B433D">
        <w:rPr>
          <w:i/>
          <w:iCs/>
        </w:rPr>
        <w:t xml:space="preserve">Inadvertent Discharge’ </w:t>
      </w:r>
      <w:r w:rsidR="001B433D">
        <w:t xml:space="preserve">of the in-service weapon, the SA-80, and put mitigations in place to reduce the risk to ALARP. </w:t>
      </w:r>
    </w:p>
    <w:p w14:paraId="3522D361" w14:textId="77777777" w:rsidR="006F251F" w:rsidRPr="006F251F" w:rsidRDefault="006F251F" w:rsidP="0015504D">
      <w:pPr>
        <w:rPr>
          <w:i/>
          <w:iCs/>
        </w:rPr>
      </w:pPr>
    </w:p>
    <w:p w14:paraId="24D31A66" w14:textId="53B14123" w:rsidR="006F251F" w:rsidRDefault="006F251F" w:rsidP="006F251F">
      <w:pPr>
        <w:pStyle w:val="Heading2"/>
        <w:numPr>
          <w:ilvl w:val="1"/>
          <w:numId w:val="6"/>
        </w:numPr>
      </w:pPr>
      <w:r>
        <w:t>Risks</w:t>
      </w:r>
    </w:p>
    <w:p w14:paraId="1062802A" w14:textId="77777777" w:rsidR="006F251F" w:rsidRPr="006F251F" w:rsidRDefault="006F251F" w:rsidP="006F251F"/>
    <w:p w14:paraId="02D09FB1" w14:textId="77777777" w:rsidR="0026301C" w:rsidRDefault="005E14A5" w:rsidP="0015504D">
      <w:r>
        <w:t xml:space="preserve">Inadvertent Discharge is where a firearm or weapon discharges (fires) when not intended by the user.  This can be caused by </w:t>
      </w:r>
      <w:r w:rsidR="00684B1E">
        <w:t>numerous</w:t>
      </w:r>
      <w:r>
        <w:t xml:space="preserve"> different things.  </w:t>
      </w:r>
    </w:p>
    <w:p w14:paraId="4D4FC000" w14:textId="77777777" w:rsidR="0026301C" w:rsidRDefault="005E14A5" w:rsidP="0015504D">
      <w:r>
        <w:t>The first thing to consider is</w:t>
      </w:r>
      <w:r w:rsidR="00684B1E">
        <w:t xml:space="preserve"> the environment the weapon is being stored or operated in.  If the weapon is being used in a military theatre, it is most likely going to be a very hot and humid climate as well as being very sandy/gritty.  The heat and humidity can lead to corrosion of the weapon itself over time and the mechanisms within the weapon.  It could also cause overpressure in the barrel which could lead</w:t>
      </w:r>
      <w:r w:rsidR="0026301C">
        <w:t xml:space="preserve"> to weapon malfunctions and inadvertent discharge.  In general, heat can cause materials to expand which can lessen effectiveness and reliability of the weapon.  If the weapon is being used or stored in a cold climate, this can affect burn rates of the ammunition meaning the weapon would be unreliable.  Cold climates could make the weapon and internal mechanisms stiff or brittle which could lead to jamming or even breakage.  If moving between hot and cold climates this could cause a build-up of condensation which would lead to rusting and corrosion.  In addition, sand/dirt could find its way into the weapon and its mechanisms which, if not cleaned and maintained adequately, can cause build-up and lead to jamming.</w:t>
      </w:r>
    </w:p>
    <w:p w14:paraId="1A8DF15A" w14:textId="6914E41D" w:rsidR="00684B1E" w:rsidRDefault="0026301C" w:rsidP="00684B1E">
      <w:r>
        <w:t xml:space="preserve"> Another factor to consider is human interaction and errors.  The operator of the weapon may not have sufficient training to handle and maintain the weapon safely.  This could lead</w:t>
      </w:r>
      <w:r w:rsidR="00067838">
        <w:t xml:space="preserve"> to</w:t>
      </w:r>
      <w:r>
        <w:t xml:space="preserve"> damage to the weapon, the user and potentially other people.  As well as this, the operator could have personal circumstances affecting their performance.  The user may have training but could be fatigued from long days of working</w:t>
      </w:r>
      <w:r w:rsidR="000C5564">
        <w:t xml:space="preserve"> or </w:t>
      </w:r>
      <w:r>
        <w:t>they could be under stress from</w:t>
      </w:r>
      <w:r w:rsidR="000C5564">
        <w:t xml:space="preserve"> their job which could lead to making mistakes and missing things they normally wouldn’t.</w:t>
      </w:r>
    </w:p>
    <w:p w14:paraId="4C663804" w14:textId="04D2D0D0" w:rsidR="00684B1E" w:rsidRDefault="000C5564" w:rsidP="00684B1E">
      <w:r>
        <w:t>Improper maintenance is important to ensure the safety and reliability of any weapon system.  If not maintained properly, the weapon will become ineffective and unreliable in a short period of time.  It will decrease service life and increase the chance of the operator or someone else becoming injured or even dying as a result of negligence.</w:t>
      </w:r>
    </w:p>
    <w:p w14:paraId="1CA327FC" w14:textId="40DC7A3E" w:rsidR="000C5564" w:rsidRDefault="000C5564" w:rsidP="00684B1E">
      <w:r>
        <w:t xml:space="preserve">A fire was identified as being one of the ways that could lead to inadvertent discharge.  This is because the weapon could overheat leading to </w:t>
      </w:r>
      <w:r w:rsidR="00EC2CA3">
        <w:t>the ammunition firing or even exploding.  It could also affect the structural integrity of the weapon making it unreliable and hazardous to handle.</w:t>
      </w:r>
      <w:r w:rsidR="00C0700B">
        <w:t xml:space="preserve">  </w:t>
      </w:r>
    </w:p>
    <w:p w14:paraId="37F8E6DD" w14:textId="62BD7351" w:rsidR="004E3B6B" w:rsidRDefault="00C0700B" w:rsidP="00684B1E">
      <w:r>
        <w:t xml:space="preserve">Inadvertent discharge could also be cause by a drop or impact.  </w:t>
      </w:r>
      <w:r w:rsidR="004E3B6B">
        <w:t xml:space="preserve">Although modern firearms are designed to withstand this hazard, the risk still exists and should be taken into consideration.  Drop and impact could cause the weapon to unintentionally fire.  The most likely scenario is that it would cause damage to the weapon, such as, disrupt internal components, crack or damage components or loosen components.  If any of these occur, the weapon becomes unreliable and unpredictable.  A </w:t>
      </w:r>
      <w:r w:rsidR="004E3B6B">
        <w:lastRenderedPageBreak/>
        <w:t>drop or impact could cause misfires, sticking parts or jams.  It could also just be purely cosmetic damages such as scratches dents or chips, or damage to the grip.  Damage to the grip would increase the likelihood of human error as it would affect the comfort and usability of the weapon for a long period of time.</w:t>
      </w:r>
    </w:p>
    <w:p w14:paraId="5B7EA971" w14:textId="2DB22AF6" w:rsidR="004E3B6B" w:rsidRDefault="004E3B6B" w:rsidP="00684B1E">
      <w:r>
        <w:t>Finally, weapon malfunction could be a likely cause of inadvertent discharge.  If the weapon is not maintained according to the maintenance procedures or perhaps has been damaged in someway that isn’t obvious, this could affect the mechanical integrity of the weapon.</w:t>
      </w:r>
    </w:p>
    <w:p w14:paraId="6672B7C7" w14:textId="4B64BF1D" w:rsidR="004E3B6B" w:rsidRDefault="00982BBC" w:rsidP="00684B1E">
      <w:r>
        <w:t xml:space="preserve">Although weapons and their hazards are inherently dangerous, the risk is something that we must mitigate and accept.  Weapons are essential for deterrence and security on a national level.  Unfortunately, in the current political climate, weapons are an unavoidable risk.  This means that the duty holder must do everything they can to manage and mitigate the risks to a tolerable level.  All of the aforementioned hazards could cause an inadvertent discharge which could lead to serious injury or death.  </w:t>
      </w:r>
      <w:r w:rsidR="004E3B6B">
        <w:t xml:space="preserve">In order to reduce this risk to an ALARP position, suitable mitigations must be put in place.  </w:t>
      </w:r>
    </w:p>
    <w:p w14:paraId="34F3D684" w14:textId="77777777" w:rsidR="006F251F" w:rsidRDefault="006F251F" w:rsidP="00684B1E"/>
    <w:p w14:paraId="4EC82412" w14:textId="3962C007" w:rsidR="006F251F" w:rsidRDefault="006F251F" w:rsidP="006F251F">
      <w:pPr>
        <w:pStyle w:val="Heading2"/>
        <w:numPr>
          <w:ilvl w:val="1"/>
          <w:numId w:val="6"/>
        </w:numPr>
      </w:pPr>
      <w:r>
        <w:t>Mitigations</w:t>
      </w:r>
    </w:p>
    <w:p w14:paraId="272C2B80" w14:textId="77777777" w:rsidR="006F251F" w:rsidRPr="006F251F" w:rsidRDefault="006F251F" w:rsidP="006F251F"/>
    <w:p w14:paraId="3E0C86ED" w14:textId="29957801" w:rsidR="00744C9E" w:rsidRDefault="00744C9E" w:rsidP="00684B1E">
      <w:r>
        <w:t>The SA80 was designed with a safety switch.  This allows the user to select Safe (trigger is disabled), Semi-Automatic (fires one round per trigger pull), and Automatic (continuous firing while trigger is depressed).  The safety switch is a great feature in ensuring the safety of the user and others.  However, this safety mechanism is only effective if the user has adequate training in how to operate and maintain the weapon.  It is for this reason the following mitigations have been introduced.</w:t>
      </w:r>
    </w:p>
    <w:p w14:paraId="6B11D89D" w14:textId="4841F5D1" w:rsidR="00744C9E" w:rsidRDefault="00744C9E" w:rsidP="00684B1E">
      <w:r>
        <w:rPr>
          <w:b/>
          <w:bCs/>
        </w:rPr>
        <w:t xml:space="preserve">Training – </w:t>
      </w:r>
      <w:r>
        <w:t>All users of this weapon will be trained sufficiently in how to assemble and disassemble the weapon, how to load and unload the weapon, how to tell if there is a round in the chamber, how to safely and securely transport the weapon and how to properly maintain the weapon.  In addition to weapon training, the user will be trained in managing stress, conflict and mental illness.  Training in these areas will largely decrease the likelihood of human error when operating this weapon.</w:t>
      </w:r>
    </w:p>
    <w:p w14:paraId="2721E700" w14:textId="77777777" w:rsidR="00744C9E" w:rsidRDefault="00744C9E" w:rsidP="00684B1E">
      <w:r>
        <w:rPr>
          <w:b/>
          <w:bCs/>
        </w:rPr>
        <w:t xml:space="preserve">Robust Maintenance Procedure – </w:t>
      </w:r>
      <w:r>
        <w:t>The weapon will come with a robust maintenance procedure that all operators must follow.  This maintenance procedure will include routine inspections of the weapon, a regular cleaning schedule, and direction on when and how to replace components.</w:t>
      </w:r>
    </w:p>
    <w:p w14:paraId="5F82F68F" w14:textId="0E42AD3E" w:rsidR="006F251F" w:rsidRDefault="006F251F" w:rsidP="00684B1E">
      <w:r w:rsidRPr="00577563">
        <w:t>Another mitigation that was considered but discounted was a biometric smart trigger</w:t>
      </w:r>
      <w:r w:rsidR="00577563" w:rsidRPr="00577563">
        <w:t xml:space="preserve"> which </w:t>
      </w:r>
      <w:r w:rsidRPr="00577563">
        <w:t>would be designed into the weapon.  This would mean the weapon would only be compatible with the user as they would be required to place their fingerprint on the scanner before the weapon would operate.  While this is a good idea and would provide another layer of security, the</w:t>
      </w:r>
      <w:r w:rsidR="00013978" w:rsidRPr="00577563">
        <w:t xml:space="preserve"> hazards and risks </w:t>
      </w:r>
      <w:r w:rsidR="00577563" w:rsidRPr="00577563">
        <w:t>associated with</w:t>
      </w:r>
      <w:r w:rsidR="00013978" w:rsidRPr="00577563">
        <w:t xml:space="preserve"> the weapon would still exist</w:t>
      </w:r>
      <w:r w:rsidRPr="00577563">
        <w:t>.</w:t>
      </w:r>
      <w:r w:rsidR="00013978" w:rsidRPr="00577563">
        <w:t xml:space="preserve">  The cost of adding this feature to all service weapons would be </w:t>
      </w:r>
      <w:r w:rsidR="00013978" w:rsidRPr="00577563">
        <w:rPr>
          <w:i/>
          <w:iCs/>
        </w:rPr>
        <w:t xml:space="preserve">grossly disproportionate </w:t>
      </w:r>
      <w:r w:rsidR="00013978" w:rsidRPr="00577563">
        <w:t>to the overall benefit this feature would provide.</w:t>
      </w:r>
      <w:r w:rsidR="00013978">
        <w:t xml:space="preserve">  Therefore, this mitigation was discounted.</w:t>
      </w:r>
      <w:r>
        <w:t xml:space="preserve">  </w:t>
      </w:r>
    </w:p>
    <w:p w14:paraId="5F5A602D" w14:textId="77777777" w:rsidR="00013978" w:rsidRPr="00013978" w:rsidRDefault="00013978" w:rsidP="00013978">
      <w:pPr>
        <w:rPr>
          <w:i/>
          <w:iCs/>
        </w:rPr>
      </w:pPr>
      <w:r w:rsidRPr="00013978">
        <w:rPr>
          <w:i/>
          <w:iCs/>
        </w:rPr>
        <w:t xml:space="preserve">The mitigations identified will reduce the severity and likelihood of the risk associated with the inadvertent discharge of an SA80 service weapon.  Considering the hazards with these mitigations in place, the risk has been reduced from unacceptable to tolerable and is therefore in an ALARP position.  </w:t>
      </w:r>
    </w:p>
    <w:p w14:paraId="7873A604" w14:textId="435E8214" w:rsidR="00013978" w:rsidRPr="00013978" w:rsidRDefault="00013978" w:rsidP="00684B1E">
      <w:pPr>
        <w:rPr>
          <w:i/>
          <w:iCs/>
        </w:rPr>
      </w:pPr>
      <w:r w:rsidRPr="00013978">
        <w:rPr>
          <w:i/>
          <w:iCs/>
        </w:rPr>
        <w:t>Whilst the biometric smart trigger was disco</w:t>
      </w:r>
      <w:r w:rsidR="00D4178B">
        <w:rPr>
          <w:i/>
          <w:iCs/>
        </w:rPr>
        <w:t>unted</w:t>
      </w:r>
      <w:r w:rsidRPr="00013978">
        <w:rPr>
          <w:i/>
          <w:iCs/>
        </w:rPr>
        <w:t xml:space="preserve"> for being grossly disproportionate, the duty holder should remain diligent for new and emerging technologies that could further mitigate these risks.  </w:t>
      </w:r>
    </w:p>
    <w:p w14:paraId="5B937E5E" w14:textId="7A71FCA2" w:rsidR="00013978" w:rsidRDefault="00013978" w:rsidP="00013978">
      <w:pPr>
        <w:pStyle w:val="Heading2"/>
        <w:numPr>
          <w:ilvl w:val="1"/>
          <w:numId w:val="6"/>
        </w:numPr>
      </w:pPr>
      <w:r>
        <w:lastRenderedPageBreak/>
        <w:t>Relevant legislation considered</w:t>
      </w:r>
    </w:p>
    <w:p w14:paraId="4F74E8D5" w14:textId="77777777" w:rsidR="00013978" w:rsidRPr="00013978" w:rsidRDefault="00013978" w:rsidP="00013978"/>
    <w:p w14:paraId="5413DB37" w14:textId="77777777" w:rsidR="00BD3F01" w:rsidRDefault="00D36102" w:rsidP="00BD3F01">
      <w:pPr>
        <w:pStyle w:val="ListParagraph"/>
        <w:numPr>
          <w:ilvl w:val="0"/>
          <w:numId w:val="2"/>
        </w:numPr>
      </w:pPr>
      <w:r>
        <w:t>JSP 333: Services Textbook of Explosives</w:t>
      </w:r>
    </w:p>
    <w:p w14:paraId="7CF8CBF1" w14:textId="22CC2145" w:rsidR="005E05AF" w:rsidRDefault="00D36102" w:rsidP="00BD3F01">
      <w:pPr>
        <w:pStyle w:val="ListParagraph"/>
        <w:numPr>
          <w:ilvl w:val="0"/>
          <w:numId w:val="2"/>
        </w:numPr>
      </w:pPr>
      <w:r>
        <w:t>DSA 02 OME</w:t>
      </w:r>
      <w:r w:rsidR="007B1957">
        <w:t xml:space="preserve"> </w:t>
      </w:r>
      <w:sdt>
        <w:sdtPr>
          <w:id w:val="132915702"/>
          <w:citation/>
        </w:sdtPr>
        <w:sdtEndPr/>
        <w:sdtContent>
          <w:r w:rsidR="007B1957">
            <w:fldChar w:fldCharType="begin"/>
          </w:r>
          <w:r w:rsidR="007B1957">
            <w:instrText xml:space="preserve"> CITATION Def02 \l 2057 </w:instrText>
          </w:r>
          <w:r w:rsidR="007B1957">
            <w:fldChar w:fldCharType="separate"/>
          </w:r>
          <w:r w:rsidR="007B1957" w:rsidRPr="007B1957">
            <w:rPr>
              <w:noProof/>
            </w:rPr>
            <w:t>[3]</w:t>
          </w:r>
          <w:r w:rsidR="007B1957">
            <w:fldChar w:fldCharType="end"/>
          </w:r>
        </w:sdtContent>
      </w:sdt>
    </w:p>
    <w:p w14:paraId="48A2037F" w14:textId="412A1E34" w:rsidR="00BD3F01" w:rsidRDefault="00D36102" w:rsidP="00BD3F01">
      <w:pPr>
        <w:pStyle w:val="ListParagraph"/>
        <w:numPr>
          <w:ilvl w:val="0"/>
          <w:numId w:val="2"/>
        </w:numPr>
      </w:pPr>
      <w:r>
        <w:t>DSA 03 OME (for guidance)</w:t>
      </w:r>
      <w:r w:rsidR="007B1957">
        <w:t xml:space="preserve"> </w:t>
      </w:r>
      <w:sdt>
        <w:sdtPr>
          <w:id w:val="365336598"/>
          <w:citation/>
        </w:sdtPr>
        <w:sdtEndPr/>
        <w:sdtContent>
          <w:r w:rsidR="007B1957">
            <w:fldChar w:fldCharType="begin"/>
          </w:r>
          <w:r w:rsidR="007B1957">
            <w:instrText xml:space="preserve"> CITATION Def20 \l 2057 </w:instrText>
          </w:r>
          <w:r w:rsidR="007B1957">
            <w:fldChar w:fldCharType="separate"/>
          </w:r>
          <w:r w:rsidR="007B1957" w:rsidRPr="007B1957">
            <w:rPr>
              <w:noProof/>
            </w:rPr>
            <w:t>[4]</w:t>
          </w:r>
          <w:r w:rsidR="007B1957">
            <w:fldChar w:fldCharType="end"/>
          </w:r>
        </w:sdtContent>
      </w:sdt>
    </w:p>
    <w:p w14:paraId="6A93B9CD" w14:textId="2E0F6527" w:rsidR="00BD3F01" w:rsidRDefault="00BD3F01" w:rsidP="00BD3F01">
      <w:pPr>
        <w:pStyle w:val="ListParagraph"/>
        <w:numPr>
          <w:ilvl w:val="0"/>
          <w:numId w:val="2"/>
        </w:numPr>
      </w:pPr>
      <w:r>
        <w:t>Explosives Regulations 2014</w:t>
      </w:r>
      <w:r w:rsidR="007B1957">
        <w:t xml:space="preserve"> </w:t>
      </w:r>
      <w:sdt>
        <w:sdtPr>
          <w:id w:val="-2047365535"/>
          <w:citation/>
        </w:sdtPr>
        <w:sdtEndPr/>
        <w:sdtContent>
          <w:r w:rsidR="007B1957">
            <w:fldChar w:fldCharType="begin"/>
          </w:r>
          <w:r w:rsidR="007B1957">
            <w:instrText xml:space="preserve"> CITATION HSE14 \l 2057 </w:instrText>
          </w:r>
          <w:r w:rsidR="007B1957">
            <w:fldChar w:fldCharType="separate"/>
          </w:r>
          <w:r w:rsidR="007B1957" w:rsidRPr="007B1957">
            <w:rPr>
              <w:noProof/>
            </w:rPr>
            <w:t>[5]</w:t>
          </w:r>
          <w:r w:rsidR="007B1957">
            <w:fldChar w:fldCharType="end"/>
          </w:r>
        </w:sdtContent>
      </w:sdt>
    </w:p>
    <w:p w14:paraId="3E9A3C7D" w14:textId="4CC2DC8C" w:rsidR="00D36102" w:rsidRDefault="00BD3F01" w:rsidP="00BD3F01">
      <w:pPr>
        <w:pStyle w:val="ListParagraph"/>
        <w:numPr>
          <w:ilvl w:val="0"/>
          <w:numId w:val="2"/>
        </w:numPr>
      </w:pPr>
      <w:r>
        <w:t>JSP 762: Defence Ordnance, Munitions and Explosives Through-Life Management</w:t>
      </w:r>
    </w:p>
    <w:p w14:paraId="216307A0" w14:textId="5464E04F" w:rsidR="00BD3F01" w:rsidRDefault="00BD3F01" w:rsidP="00BD3F01">
      <w:pPr>
        <w:pStyle w:val="ListParagraph"/>
        <w:numPr>
          <w:ilvl w:val="0"/>
          <w:numId w:val="2"/>
        </w:numPr>
      </w:pPr>
      <w:r>
        <w:t>Def Stan 07-085 – Design Requirements for Weapons and Associated Systems</w:t>
      </w:r>
    </w:p>
    <w:p w14:paraId="5740C715" w14:textId="3A35AA7A" w:rsidR="00581741" w:rsidRDefault="00581741" w:rsidP="00C51ECE"/>
    <w:sdt>
      <w:sdtPr>
        <w:rPr>
          <w:rFonts w:asciiTheme="minorHAnsi" w:eastAsiaTheme="minorEastAsia" w:hAnsiTheme="minorHAnsi" w:cstheme="minorBidi"/>
          <w:color w:val="auto"/>
          <w:sz w:val="22"/>
          <w:szCs w:val="22"/>
        </w:rPr>
        <w:id w:val="1895316427"/>
        <w:docPartObj>
          <w:docPartGallery w:val="Bibliographies"/>
          <w:docPartUnique/>
        </w:docPartObj>
      </w:sdtPr>
      <w:sdtEndPr/>
      <w:sdtContent>
        <w:p w14:paraId="4B9B0B0E" w14:textId="006B893D" w:rsidR="00C51ECE" w:rsidRDefault="00C51ECE">
          <w:pPr>
            <w:pStyle w:val="Heading1"/>
          </w:pPr>
          <w:r>
            <w:t>References</w:t>
          </w:r>
        </w:p>
        <w:sdt>
          <w:sdtPr>
            <w:id w:val="-573587230"/>
            <w:bibliography/>
          </w:sdtPr>
          <w:sdtEndPr/>
          <w:sdtContent>
            <w:p w14:paraId="24BD3538" w14:textId="77777777" w:rsidR="00C51ECE" w:rsidRDefault="00C51ECE">
              <w:pPr>
                <w:rPr>
                  <w:noProof/>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C51ECE" w14:paraId="45A0369A" w14:textId="77777777" w:rsidTr="00C51ECE">
                <w:trPr>
                  <w:divId w:val="827862065"/>
                  <w:tblCellSpacing w:w="15" w:type="dxa"/>
                </w:trPr>
                <w:tc>
                  <w:tcPr>
                    <w:tcW w:w="211" w:type="pct"/>
                    <w:hideMark/>
                  </w:tcPr>
                  <w:p w14:paraId="6E73D74E" w14:textId="38A4C8EE" w:rsidR="00C51ECE" w:rsidRDefault="00C51ECE">
                    <w:pPr>
                      <w:pStyle w:val="Bibliography"/>
                      <w:rPr>
                        <w:noProof/>
                        <w:kern w:val="0"/>
                        <w:sz w:val="24"/>
                        <w:szCs w:val="24"/>
                        <w14:ligatures w14:val="none"/>
                      </w:rPr>
                    </w:pPr>
                    <w:r>
                      <w:rPr>
                        <w:noProof/>
                      </w:rPr>
                      <w:t xml:space="preserve">[1] </w:t>
                    </w:r>
                  </w:p>
                </w:tc>
                <w:tc>
                  <w:tcPr>
                    <w:tcW w:w="4739" w:type="pct"/>
                    <w:hideMark/>
                  </w:tcPr>
                  <w:p w14:paraId="6D17D055" w14:textId="77777777" w:rsidR="00C51ECE" w:rsidRDefault="00C51ECE">
                    <w:pPr>
                      <w:pStyle w:val="Bibliography"/>
                      <w:rPr>
                        <w:noProof/>
                      </w:rPr>
                    </w:pPr>
                    <w:r>
                      <w:rPr>
                        <w:noProof/>
                      </w:rPr>
                      <w:t>British Army, “SA80 Idividual Weapon,” [Online]. Available: https://www.army.mod.uk/learn-and-explore/equipment/small-arms-and-support-weapons/sa80-individual-weapon/#:~:text=SA80%20is%20the%20designation%20for,British%20Army's%20standard%20combat%20weapons.. [Accessed 15 03 2025].</w:t>
                    </w:r>
                  </w:p>
                </w:tc>
              </w:tr>
              <w:tr w:rsidR="00C51ECE" w14:paraId="03AE9213" w14:textId="77777777" w:rsidTr="00C51ECE">
                <w:trPr>
                  <w:divId w:val="827862065"/>
                  <w:tblCellSpacing w:w="15" w:type="dxa"/>
                </w:trPr>
                <w:tc>
                  <w:tcPr>
                    <w:tcW w:w="211" w:type="pct"/>
                    <w:hideMark/>
                  </w:tcPr>
                  <w:p w14:paraId="2E5B972D" w14:textId="77777777" w:rsidR="00C51ECE" w:rsidRDefault="00C51ECE">
                    <w:pPr>
                      <w:pStyle w:val="Bibliography"/>
                      <w:rPr>
                        <w:noProof/>
                      </w:rPr>
                    </w:pPr>
                    <w:r>
                      <w:rPr>
                        <w:noProof/>
                      </w:rPr>
                      <w:t xml:space="preserve">[2] </w:t>
                    </w:r>
                  </w:p>
                </w:tc>
                <w:tc>
                  <w:tcPr>
                    <w:tcW w:w="4739" w:type="pct"/>
                    <w:hideMark/>
                  </w:tcPr>
                  <w:p w14:paraId="0AC35C0A" w14:textId="77777777" w:rsidR="00C51ECE" w:rsidRDefault="00C51ECE">
                    <w:pPr>
                      <w:pStyle w:val="Bibliography"/>
                      <w:rPr>
                        <w:noProof/>
                      </w:rPr>
                    </w:pPr>
                    <w:r>
                      <w:rPr>
                        <w:noProof/>
                      </w:rPr>
                      <w:t xml:space="preserve">Ministry of Defence (MoD), </w:t>
                    </w:r>
                    <w:r>
                      <w:rPr>
                        <w:i/>
                        <w:iCs/>
                        <w:noProof/>
                      </w:rPr>
                      <w:t xml:space="preserve">Policy Statement by the Secretary of State for Defence, </w:t>
                    </w:r>
                    <w:r>
                      <w:rPr>
                        <w:noProof/>
                      </w:rPr>
                      <w:t xml:space="preserve">2024. </w:t>
                    </w:r>
                  </w:p>
                </w:tc>
              </w:tr>
              <w:tr w:rsidR="00C51ECE" w14:paraId="0B19B3DF" w14:textId="77777777" w:rsidTr="00C51ECE">
                <w:trPr>
                  <w:divId w:val="827862065"/>
                  <w:tblCellSpacing w:w="15" w:type="dxa"/>
                </w:trPr>
                <w:tc>
                  <w:tcPr>
                    <w:tcW w:w="211" w:type="pct"/>
                    <w:hideMark/>
                  </w:tcPr>
                  <w:p w14:paraId="5B269D58" w14:textId="77777777" w:rsidR="00C51ECE" w:rsidRDefault="00C51ECE">
                    <w:pPr>
                      <w:pStyle w:val="Bibliography"/>
                      <w:rPr>
                        <w:noProof/>
                      </w:rPr>
                    </w:pPr>
                    <w:r>
                      <w:rPr>
                        <w:noProof/>
                      </w:rPr>
                      <w:t xml:space="preserve">[3] </w:t>
                    </w:r>
                  </w:p>
                </w:tc>
                <w:tc>
                  <w:tcPr>
                    <w:tcW w:w="4739" w:type="pct"/>
                    <w:hideMark/>
                  </w:tcPr>
                  <w:p w14:paraId="736F2CE1" w14:textId="77777777" w:rsidR="00C51ECE" w:rsidRDefault="00C51ECE">
                    <w:pPr>
                      <w:pStyle w:val="Bibliography"/>
                      <w:rPr>
                        <w:noProof/>
                      </w:rPr>
                    </w:pPr>
                    <w:r>
                      <w:rPr>
                        <w:noProof/>
                      </w:rPr>
                      <w:t>Defence Safety Authority, “DSA 02. OME,” 18 June 202. [Online]. Available: https://assets.publishing.service.gov.uk/media/66e2bed04e4ac20112e6fbe0/DSA02.OME_regulations.pdf. [Accessed 15 March 2025].</w:t>
                    </w:r>
                  </w:p>
                </w:tc>
              </w:tr>
              <w:tr w:rsidR="00C51ECE" w14:paraId="17258B0A" w14:textId="77777777" w:rsidTr="00C51ECE">
                <w:trPr>
                  <w:divId w:val="827862065"/>
                  <w:tblCellSpacing w:w="15" w:type="dxa"/>
                </w:trPr>
                <w:tc>
                  <w:tcPr>
                    <w:tcW w:w="211" w:type="pct"/>
                    <w:hideMark/>
                  </w:tcPr>
                  <w:p w14:paraId="74161680" w14:textId="77777777" w:rsidR="00C51ECE" w:rsidRDefault="00C51ECE">
                    <w:pPr>
                      <w:pStyle w:val="Bibliography"/>
                      <w:rPr>
                        <w:noProof/>
                      </w:rPr>
                    </w:pPr>
                    <w:r>
                      <w:rPr>
                        <w:noProof/>
                      </w:rPr>
                      <w:t xml:space="preserve">[4] </w:t>
                    </w:r>
                  </w:p>
                </w:tc>
                <w:tc>
                  <w:tcPr>
                    <w:tcW w:w="4739" w:type="pct"/>
                    <w:hideMark/>
                  </w:tcPr>
                  <w:p w14:paraId="0E6A17F3" w14:textId="77777777" w:rsidR="00C51ECE" w:rsidRDefault="00C51ECE">
                    <w:pPr>
                      <w:pStyle w:val="Bibliography"/>
                      <w:rPr>
                        <w:noProof/>
                      </w:rPr>
                    </w:pPr>
                    <w:r>
                      <w:rPr>
                        <w:noProof/>
                      </w:rPr>
                      <w:t>Defence Safety Authority, “DSA 03 OME part 2: In-Service and Operational Safety Management of OME,” 18 June 2020. [Online]. Available: https://www.gov.uk/government/publications/dsa03-ome-part-2-in-service-and-operational-safety-management-of-ome. [Accessed 15 March 2025].</w:t>
                    </w:r>
                  </w:p>
                </w:tc>
              </w:tr>
              <w:tr w:rsidR="00C51ECE" w14:paraId="480ED0D8" w14:textId="77777777" w:rsidTr="00C51ECE">
                <w:trPr>
                  <w:divId w:val="827862065"/>
                  <w:tblCellSpacing w:w="15" w:type="dxa"/>
                </w:trPr>
                <w:tc>
                  <w:tcPr>
                    <w:tcW w:w="211" w:type="pct"/>
                    <w:hideMark/>
                  </w:tcPr>
                  <w:p w14:paraId="1653B63C" w14:textId="77777777" w:rsidR="00C51ECE" w:rsidRDefault="00C51ECE">
                    <w:pPr>
                      <w:pStyle w:val="Bibliography"/>
                      <w:rPr>
                        <w:noProof/>
                      </w:rPr>
                    </w:pPr>
                    <w:r>
                      <w:rPr>
                        <w:noProof/>
                      </w:rPr>
                      <w:t xml:space="preserve">[5] </w:t>
                    </w:r>
                  </w:p>
                </w:tc>
                <w:tc>
                  <w:tcPr>
                    <w:tcW w:w="4739" w:type="pct"/>
                    <w:hideMark/>
                  </w:tcPr>
                  <w:p w14:paraId="2482C6BC" w14:textId="77777777" w:rsidR="00C51ECE" w:rsidRDefault="00C51ECE">
                    <w:pPr>
                      <w:pStyle w:val="Bibliography"/>
                      <w:rPr>
                        <w:noProof/>
                      </w:rPr>
                    </w:pPr>
                    <w:r>
                      <w:rPr>
                        <w:noProof/>
                      </w:rPr>
                      <w:t>HSE, “The Explosives Regulations 2014,” 23 June 2014. [Online]. Available: https://www.legislation.gov.uk/uksi/2014/1638/made. [Accessed 15 March 2025].</w:t>
                    </w:r>
                  </w:p>
                </w:tc>
              </w:tr>
            </w:tbl>
            <w:p w14:paraId="7B6ED14C" w14:textId="77777777" w:rsidR="00C51ECE" w:rsidRDefault="00C51ECE">
              <w:pPr>
                <w:divId w:val="827862065"/>
                <w:rPr>
                  <w:rFonts w:eastAsia="Times New Roman"/>
                  <w:noProof/>
                </w:rPr>
              </w:pPr>
            </w:p>
            <w:p w14:paraId="1603FB12" w14:textId="293F6752" w:rsidR="00C51ECE" w:rsidRDefault="00C51ECE">
              <w:r>
                <w:rPr>
                  <w:b/>
                  <w:bCs/>
                </w:rPr>
                <w:fldChar w:fldCharType="end"/>
              </w:r>
            </w:p>
          </w:sdtContent>
        </w:sdt>
      </w:sdtContent>
    </w:sdt>
    <w:p w14:paraId="39ABD1C1" w14:textId="77777777" w:rsidR="00C51ECE" w:rsidRPr="00C51ECE" w:rsidRDefault="00C51ECE" w:rsidP="00C51ECE">
      <w:pPr>
        <w:rPr>
          <w:rFonts w:asciiTheme="majorHAnsi" w:eastAsiaTheme="majorEastAsia" w:hAnsiTheme="majorHAnsi" w:cstheme="majorBidi"/>
          <w:color w:val="8784C7" w:themeColor="accent2"/>
          <w:sz w:val="32"/>
          <w:szCs w:val="32"/>
        </w:rPr>
      </w:pPr>
    </w:p>
    <w:sectPr w:rsidR="00C51ECE" w:rsidRPr="00C51ECE" w:rsidSect="00EA594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1191D" w14:textId="77777777" w:rsidR="00BB6B81" w:rsidRDefault="00BB6B81" w:rsidP="00997DB0">
      <w:pPr>
        <w:spacing w:after="0" w:line="240" w:lineRule="auto"/>
      </w:pPr>
      <w:r>
        <w:separator/>
      </w:r>
    </w:p>
  </w:endnote>
  <w:endnote w:type="continuationSeparator" w:id="0">
    <w:p w14:paraId="22883FDD" w14:textId="77777777" w:rsidR="00BB6B81" w:rsidRDefault="00BB6B81" w:rsidP="00997DB0">
      <w:pPr>
        <w:spacing w:after="0" w:line="240" w:lineRule="auto"/>
      </w:pPr>
      <w:r>
        <w:continuationSeparator/>
      </w:r>
    </w:p>
  </w:endnote>
  <w:endnote w:type="continuationNotice" w:id="1">
    <w:p w14:paraId="002B6228" w14:textId="77777777" w:rsidR="00BB6B81" w:rsidRDefault="00BB6B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D47F1" w14:textId="4B497BB5" w:rsidR="00FE5509" w:rsidRDefault="00FE5509">
    <w:pPr>
      <w:pStyle w:val="Footer"/>
      <w:jc w:val="right"/>
    </w:pPr>
  </w:p>
  <w:p w14:paraId="171FBC1B" w14:textId="7C821AC8" w:rsidR="00997DB0" w:rsidRPr="00997DB0" w:rsidRDefault="00997DB0">
    <w:pPr>
      <w:pStyle w:val="Footer"/>
      <w:rPr>
        <w:color w:val="404040" w:themeColor="text1" w:themeTint="B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4092E" w14:textId="77777777" w:rsidR="00BB6B81" w:rsidRDefault="00BB6B81" w:rsidP="00997DB0">
      <w:pPr>
        <w:spacing w:after="0" w:line="240" w:lineRule="auto"/>
      </w:pPr>
      <w:r>
        <w:separator/>
      </w:r>
    </w:p>
  </w:footnote>
  <w:footnote w:type="continuationSeparator" w:id="0">
    <w:p w14:paraId="783C208A" w14:textId="77777777" w:rsidR="00BB6B81" w:rsidRDefault="00BB6B81" w:rsidP="00997DB0">
      <w:pPr>
        <w:spacing w:after="0" w:line="240" w:lineRule="auto"/>
      </w:pPr>
      <w:r>
        <w:continuationSeparator/>
      </w:r>
    </w:p>
  </w:footnote>
  <w:footnote w:type="continuationNotice" w:id="1">
    <w:p w14:paraId="20C58D94" w14:textId="77777777" w:rsidR="00BB6B81" w:rsidRDefault="00BB6B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F648D" w14:textId="3BE82D83" w:rsidR="00012E1D" w:rsidRDefault="00012E1D">
    <w:pPr>
      <w:pStyle w:val="Header"/>
    </w:pPr>
  </w:p>
  <w:p w14:paraId="3B5BE4F3" w14:textId="77777777" w:rsidR="004A71B2" w:rsidRDefault="004A71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236"/>
    <w:multiLevelType w:val="hybridMultilevel"/>
    <w:tmpl w:val="1610A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956FA"/>
    <w:multiLevelType w:val="hybridMultilevel"/>
    <w:tmpl w:val="05BC6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3511A"/>
    <w:multiLevelType w:val="hybridMultilevel"/>
    <w:tmpl w:val="0DA4B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313DE3"/>
    <w:multiLevelType w:val="hybridMultilevel"/>
    <w:tmpl w:val="D6EE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AC25CC"/>
    <w:multiLevelType w:val="multilevel"/>
    <w:tmpl w:val="A4CA53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37D5914"/>
    <w:multiLevelType w:val="hybridMultilevel"/>
    <w:tmpl w:val="AFC0C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64281958">
    <w:abstractNumId w:val="0"/>
  </w:num>
  <w:num w:numId="2" w16cid:durableId="1096287134">
    <w:abstractNumId w:val="5"/>
  </w:num>
  <w:num w:numId="3" w16cid:durableId="1593471934">
    <w:abstractNumId w:val="2"/>
  </w:num>
  <w:num w:numId="4" w16cid:durableId="2031100161">
    <w:abstractNumId w:val="3"/>
  </w:num>
  <w:num w:numId="5" w16cid:durableId="1481997907">
    <w:abstractNumId w:val="1"/>
  </w:num>
  <w:num w:numId="6" w16cid:durableId="8423537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f6fece,#fbffe7,#fcf7d0,#fdf9df"/>
      <o:colormenu v:ext="edit" fillcolor="#fdf9df"/>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DB0"/>
    <w:rsid w:val="000106D7"/>
    <w:rsid w:val="00012E1D"/>
    <w:rsid w:val="0001336C"/>
    <w:rsid w:val="00013978"/>
    <w:rsid w:val="000141F3"/>
    <w:rsid w:val="00014F59"/>
    <w:rsid w:val="00015B93"/>
    <w:rsid w:val="00016BC2"/>
    <w:rsid w:val="00021630"/>
    <w:rsid w:val="0002413C"/>
    <w:rsid w:val="00030B92"/>
    <w:rsid w:val="000329DE"/>
    <w:rsid w:val="00035111"/>
    <w:rsid w:val="00037395"/>
    <w:rsid w:val="00037F35"/>
    <w:rsid w:val="000408F5"/>
    <w:rsid w:val="00041EAD"/>
    <w:rsid w:val="000443F3"/>
    <w:rsid w:val="0005423F"/>
    <w:rsid w:val="0005782B"/>
    <w:rsid w:val="00064247"/>
    <w:rsid w:val="000657F4"/>
    <w:rsid w:val="000658D4"/>
    <w:rsid w:val="00067838"/>
    <w:rsid w:val="00072764"/>
    <w:rsid w:val="00073E35"/>
    <w:rsid w:val="00075E2E"/>
    <w:rsid w:val="00092763"/>
    <w:rsid w:val="000A014C"/>
    <w:rsid w:val="000A3E7B"/>
    <w:rsid w:val="000B002B"/>
    <w:rsid w:val="000B01BA"/>
    <w:rsid w:val="000B16A2"/>
    <w:rsid w:val="000B493B"/>
    <w:rsid w:val="000B59CD"/>
    <w:rsid w:val="000C3D32"/>
    <w:rsid w:val="000C5564"/>
    <w:rsid w:val="000C5931"/>
    <w:rsid w:val="000D27EC"/>
    <w:rsid w:val="000D61EE"/>
    <w:rsid w:val="000D7989"/>
    <w:rsid w:val="000E5C85"/>
    <w:rsid w:val="000E5D7A"/>
    <w:rsid w:val="000F603A"/>
    <w:rsid w:val="00107156"/>
    <w:rsid w:val="0011402C"/>
    <w:rsid w:val="0011431D"/>
    <w:rsid w:val="00116F13"/>
    <w:rsid w:val="00122F9B"/>
    <w:rsid w:val="00126BA3"/>
    <w:rsid w:val="001308EB"/>
    <w:rsid w:val="00131486"/>
    <w:rsid w:val="00133A88"/>
    <w:rsid w:val="00134006"/>
    <w:rsid w:val="0014394B"/>
    <w:rsid w:val="00146F02"/>
    <w:rsid w:val="001522C8"/>
    <w:rsid w:val="0015504D"/>
    <w:rsid w:val="00165DC1"/>
    <w:rsid w:val="001724E8"/>
    <w:rsid w:val="00173C9A"/>
    <w:rsid w:val="00177AC8"/>
    <w:rsid w:val="00181CF0"/>
    <w:rsid w:val="00182638"/>
    <w:rsid w:val="00183A21"/>
    <w:rsid w:val="00184569"/>
    <w:rsid w:val="00196EB7"/>
    <w:rsid w:val="001A01C7"/>
    <w:rsid w:val="001A2AA0"/>
    <w:rsid w:val="001A5F65"/>
    <w:rsid w:val="001B433D"/>
    <w:rsid w:val="001B5A9B"/>
    <w:rsid w:val="001B6759"/>
    <w:rsid w:val="001C196D"/>
    <w:rsid w:val="001C24E7"/>
    <w:rsid w:val="001C6048"/>
    <w:rsid w:val="001C60E8"/>
    <w:rsid w:val="001E0C24"/>
    <w:rsid w:val="001E1983"/>
    <w:rsid w:val="001F1F80"/>
    <w:rsid w:val="00210ED8"/>
    <w:rsid w:val="0021197E"/>
    <w:rsid w:val="00211B2C"/>
    <w:rsid w:val="0021306E"/>
    <w:rsid w:val="00214FB6"/>
    <w:rsid w:val="002178A8"/>
    <w:rsid w:val="002178E4"/>
    <w:rsid w:val="002244D3"/>
    <w:rsid w:val="00225293"/>
    <w:rsid w:val="00225C0D"/>
    <w:rsid w:val="00235499"/>
    <w:rsid w:val="0023654B"/>
    <w:rsid w:val="0023768F"/>
    <w:rsid w:val="00255C3B"/>
    <w:rsid w:val="00261CD1"/>
    <w:rsid w:val="0026301C"/>
    <w:rsid w:val="00270CFB"/>
    <w:rsid w:val="00270F80"/>
    <w:rsid w:val="00273BDF"/>
    <w:rsid w:val="002761E0"/>
    <w:rsid w:val="00283044"/>
    <w:rsid w:val="00283E58"/>
    <w:rsid w:val="0028631B"/>
    <w:rsid w:val="00292EE5"/>
    <w:rsid w:val="00295B31"/>
    <w:rsid w:val="002A162F"/>
    <w:rsid w:val="002A1E56"/>
    <w:rsid w:val="002B0727"/>
    <w:rsid w:val="002B2698"/>
    <w:rsid w:val="002B2FE0"/>
    <w:rsid w:val="002B4F63"/>
    <w:rsid w:val="002B5F20"/>
    <w:rsid w:val="002D5F6D"/>
    <w:rsid w:val="002F15BC"/>
    <w:rsid w:val="00304392"/>
    <w:rsid w:val="003044C6"/>
    <w:rsid w:val="0030580B"/>
    <w:rsid w:val="00306C80"/>
    <w:rsid w:val="00310AE7"/>
    <w:rsid w:val="003126FC"/>
    <w:rsid w:val="003141D4"/>
    <w:rsid w:val="00320A11"/>
    <w:rsid w:val="003332A5"/>
    <w:rsid w:val="00340233"/>
    <w:rsid w:val="00341856"/>
    <w:rsid w:val="00345850"/>
    <w:rsid w:val="00347665"/>
    <w:rsid w:val="003533B3"/>
    <w:rsid w:val="003610BB"/>
    <w:rsid w:val="003640C4"/>
    <w:rsid w:val="00364770"/>
    <w:rsid w:val="00367717"/>
    <w:rsid w:val="00371455"/>
    <w:rsid w:val="0037675D"/>
    <w:rsid w:val="00377720"/>
    <w:rsid w:val="0038053B"/>
    <w:rsid w:val="00380F84"/>
    <w:rsid w:val="00381621"/>
    <w:rsid w:val="0038377A"/>
    <w:rsid w:val="00385140"/>
    <w:rsid w:val="00385249"/>
    <w:rsid w:val="00385E02"/>
    <w:rsid w:val="00393516"/>
    <w:rsid w:val="003A670C"/>
    <w:rsid w:val="003A753A"/>
    <w:rsid w:val="003A7847"/>
    <w:rsid w:val="003B624E"/>
    <w:rsid w:val="003B7D76"/>
    <w:rsid w:val="003C1691"/>
    <w:rsid w:val="003C225F"/>
    <w:rsid w:val="003C45F5"/>
    <w:rsid w:val="003D2CA7"/>
    <w:rsid w:val="003D35AF"/>
    <w:rsid w:val="003D6CC7"/>
    <w:rsid w:val="003D75DD"/>
    <w:rsid w:val="003E0246"/>
    <w:rsid w:val="003E7EDB"/>
    <w:rsid w:val="003F27A3"/>
    <w:rsid w:val="003F3D0A"/>
    <w:rsid w:val="004011F9"/>
    <w:rsid w:val="00403CDB"/>
    <w:rsid w:val="00404AE0"/>
    <w:rsid w:val="00405583"/>
    <w:rsid w:val="00411CDE"/>
    <w:rsid w:val="004163E8"/>
    <w:rsid w:val="00416C3C"/>
    <w:rsid w:val="00420150"/>
    <w:rsid w:val="00424B22"/>
    <w:rsid w:val="00442EAB"/>
    <w:rsid w:val="00443669"/>
    <w:rsid w:val="00444F3E"/>
    <w:rsid w:val="00447C58"/>
    <w:rsid w:val="004517AB"/>
    <w:rsid w:val="004536FE"/>
    <w:rsid w:val="004557F3"/>
    <w:rsid w:val="00455A3A"/>
    <w:rsid w:val="00455AD9"/>
    <w:rsid w:val="00462144"/>
    <w:rsid w:val="00465C7F"/>
    <w:rsid w:val="0047276F"/>
    <w:rsid w:val="00482AEA"/>
    <w:rsid w:val="00487398"/>
    <w:rsid w:val="00493B81"/>
    <w:rsid w:val="004A5341"/>
    <w:rsid w:val="004A71B2"/>
    <w:rsid w:val="004B1180"/>
    <w:rsid w:val="004B65E7"/>
    <w:rsid w:val="004C30F7"/>
    <w:rsid w:val="004C5D11"/>
    <w:rsid w:val="004C634A"/>
    <w:rsid w:val="004D786A"/>
    <w:rsid w:val="004E3B6B"/>
    <w:rsid w:val="004E46F1"/>
    <w:rsid w:val="004E5196"/>
    <w:rsid w:val="004E58BC"/>
    <w:rsid w:val="004F42B3"/>
    <w:rsid w:val="004F5B37"/>
    <w:rsid w:val="00500774"/>
    <w:rsid w:val="00504B47"/>
    <w:rsid w:val="005105E7"/>
    <w:rsid w:val="00513D83"/>
    <w:rsid w:val="00523BC6"/>
    <w:rsid w:val="00523F7C"/>
    <w:rsid w:val="00524879"/>
    <w:rsid w:val="0053026B"/>
    <w:rsid w:val="00531F32"/>
    <w:rsid w:val="0053288D"/>
    <w:rsid w:val="00536B17"/>
    <w:rsid w:val="005443EF"/>
    <w:rsid w:val="00546002"/>
    <w:rsid w:val="005464FC"/>
    <w:rsid w:val="00557F47"/>
    <w:rsid w:val="0057028B"/>
    <w:rsid w:val="005705DA"/>
    <w:rsid w:val="005745E1"/>
    <w:rsid w:val="00577563"/>
    <w:rsid w:val="00581741"/>
    <w:rsid w:val="005842D1"/>
    <w:rsid w:val="00586D8D"/>
    <w:rsid w:val="00590741"/>
    <w:rsid w:val="00595B59"/>
    <w:rsid w:val="005963C4"/>
    <w:rsid w:val="0059721B"/>
    <w:rsid w:val="005A0063"/>
    <w:rsid w:val="005A2BC6"/>
    <w:rsid w:val="005B06AF"/>
    <w:rsid w:val="005B2539"/>
    <w:rsid w:val="005B47E1"/>
    <w:rsid w:val="005C0546"/>
    <w:rsid w:val="005C2367"/>
    <w:rsid w:val="005C3EFA"/>
    <w:rsid w:val="005C67AE"/>
    <w:rsid w:val="005D3EA7"/>
    <w:rsid w:val="005D4093"/>
    <w:rsid w:val="005D61CC"/>
    <w:rsid w:val="005E05AF"/>
    <w:rsid w:val="005E14A5"/>
    <w:rsid w:val="005E331F"/>
    <w:rsid w:val="005F6162"/>
    <w:rsid w:val="005F6C5B"/>
    <w:rsid w:val="00601981"/>
    <w:rsid w:val="00603A2B"/>
    <w:rsid w:val="0060581B"/>
    <w:rsid w:val="00605EC4"/>
    <w:rsid w:val="00613A55"/>
    <w:rsid w:val="006157CD"/>
    <w:rsid w:val="0061609E"/>
    <w:rsid w:val="0061736B"/>
    <w:rsid w:val="00620653"/>
    <w:rsid w:val="0063331C"/>
    <w:rsid w:val="00636583"/>
    <w:rsid w:val="00643B9C"/>
    <w:rsid w:val="0065071B"/>
    <w:rsid w:val="00656149"/>
    <w:rsid w:val="006763D5"/>
    <w:rsid w:val="00676430"/>
    <w:rsid w:val="00682CD7"/>
    <w:rsid w:val="00683CE2"/>
    <w:rsid w:val="00684B1E"/>
    <w:rsid w:val="00692265"/>
    <w:rsid w:val="006969C9"/>
    <w:rsid w:val="00697160"/>
    <w:rsid w:val="006A2170"/>
    <w:rsid w:val="006A4C83"/>
    <w:rsid w:val="006B2B2A"/>
    <w:rsid w:val="006C1BCA"/>
    <w:rsid w:val="006C3002"/>
    <w:rsid w:val="006D58A5"/>
    <w:rsid w:val="006D6CD7"/>
    <w:rsid w:val="006D7F64"/>
    <w:rsid w:val="006E1B89"/>
    <w:rsid w:val="006E487F"/>
    <w:rsid w:val="006F07EE"/>
    <w:rsid w:val="006F251F"/>
    <w:rsid w:val="006F5169"/>
    <w:rsid w:val="006F72B1"/>
    <w:rsid w:val="00705B56"/>
    <w:rsid w:val="00706F44"/>
    <w:rsid w:val="00712C77"/>
    <w:rsid w:val="0071402E"/>
    <w:rsid w:val="00714C85"/>
    <w:rsid w:val="00715237"/>
    <w:rsid w:val="0071598D"/>
    <w:rsid w:val="00717C30"/>
    <w:rsid w:val="0072182D"/>
    <w:rsid w:val="00722B8D"/>
    <w:rsid w:val="0072530C"/>
    <w:rsid w:val="00733E3A"/>
    <w:rsid w:val="00734199"/>
    <w:rsid w:val="00735D4B"/>
    <w:rsid w:val="00736AC6"/>
    <w:rsid w:val="00740A17"/>
    <w:rsid w:val="007411FD"/>
    <w:rsid w:val="00744C9E"/>
    <w:rsid w:val="00757AFA"/>
    <w:rsid w:val="007617D3"/>
    <w:rsid w:val="00762F68"/>
    <w:rsid w:val="00763785"/>
    <w:rsid w:val="00765AF3"/>
    <w:rsid w:val="00767804"/>
    <w:rsid w:val="007721D3"/>
    <w:rsid w:val="00773C08"/>
    <w:rsid w:val="00775A17"/>
    <w:rsid w:val="00780898"/>
    <w:rsid w:val="007822DF"/>
    <w:rsid w:val="0078600F"/>
    <w:rsid w:val="00786067"/>
    <w:rsid w:val="007900BD"/>
    <w:rsid w:val="007A21B4"/>
    <w:rsid w:val="007A29CD"/>
    <w:rsid w:val="007A3B01"/>
    <w:rsid w:val="007B06F1"/>
    <w:rsid w:val="007B1957"/>
    <w:rsid w:val="007B1C4E"/>
    <w:rsid w:val="007B2696"/>
    <w:rsid w:val="007B542D"/>
    <w:rsid w:val="007C2040"/>
    <w:rsid w:val="007C2A50"/>
    <w:rsid w:val="007C461E"/>
    <w:rsid w:val="007C4A89"/>
    <w:rsid w:val="007E31E0"/>
    <w:rsid w:val="007E50A8"/>
    <w:rsid w:val="007F1E0B"/>
    <w:rsid w:val="007F4E98"/>
    <w:rsid w:val="00810C14"/>
    <w:rsid w:val="0081708F"/>
    <w:rsid w:val="008202EE"/>
    <w:rsid w:val="00835DE2"/>
    <w:rsid w:val="008532BA"/>
    <w:rsid w:val="008577E4"/>
    <w:rsid w:val="00861942"/>
    <w:rsid w:val="00866B0E"/>
    <w:rsid w:val="00867E95"/>
    <w:rsid w:val="00886FCA"/>
    <w:rsid w:val="008A3477"/>
    <w:rsid w:val="008B06F0"/>
    <w:rsid w:val="008B46EC"/>
    <w:rsid w:val="008B5598"/>
    <w:rsid w:val="008B6173"/>
    <w:rsid w:val="008C03FA"/>
    <w:rsid w:val="008C595E"/>
    <w:rsid w:val="008D16E6"/>
    <w:rsid w:val="008D52DD"/>
    <w:rsid w:val="008E06A9"/>
    <w:rsid w:val="009044AB"/>
    <w:rsid w:val="0091462E"/>
    <w:rsid w:val="00914C34"/>
    <w:rsid w:val="00915E46"/>
    <w:rsid w:val="009218E2"/>
    <w:rsid w:val="00925FDD"/>
    <w:rsid w:val="00931522"/>
    <w:rsid w:val="009352C5"/>
    <w:rsid w:val="00942027"/>
    <w:rsid w:val="00961D3B"/>
    <w:rsid w:val="0097594F"/>
    <w:rsid w:val="009774E7"/>
    <w:rsid w:val="00982BBC"/>
    <w:rsid w:val="009854C4"/>
    <w:rsid w:val="00994DA8"/>
    <w:rsid w:val="00995FFD"/>
    <w:rsid w:val="00997DB0"/>
    <w:rsid w:val="009A6ED5"/>
    <w:rsid w:val="009B1013"/>
    <w:rsid w:val="009C1294"/>
    <w:rsid w:val="009C4E0F"/>
    <w:rsid w:val="009C54A3"/>
    <w:rsid w:val="009C6A9B"/>
    <w:rsid w:val="009D0D88"/>
    <w:rsid w:val="009D4A67"/>
    <w:rsid w:val="009E00AD"/>
    <w:rsid w:val="009E609B"/>
    <w:rsid w:val="009F41DE"/>
    <w:rsid w:val="009F4899"/>
    <w:rsid w:val="00A00396"/>
    <w:rsid w:val="00A04D6F"/>
    <w:rsid w:val="00A072D6"/>
    <w:rsid w:val="00A10576"/>
    <w:rsid w:val="00A13899"/>
    <w:rsid w:val="00A206A5"/>
    <w:rsid w:val="00A22C4B"/>
    <w:rsid w:val="00A255D8"/>
    <w:rsid w:val="00A3328E"/>
    <w:rsid w:val="00A33DDA"/>
    <w:rsid w:val="00A34F39"/>
    <w:rsid w:val="00A35F91"/>
    <w:rsid w:val="00A431E4"/>
    <w:rsid w:val="00A4537C"/>
    <w:rsid w:val="00A455AD"/>
    <w:rsid w:val="00A46400"/>
    <w:rsid w:val="00A55EE7"/>
    <w:rsid w:val="00A57D66"/>
    <w:rsid w:val="00A6011B"/>
    <w:rsid w:val="00A608F5"/>
    <w:rsid w:val="00A63ECC"/>
    <w:rsid w:val="00A63FB8"/>
    <w:rsid w:val="00A67AEB"/>
    <w:rsid w:val="00A72C16"/>
    <w:rsid w:val="00A73A62"/>
    <w:rsid w:val="00A80978"/>
    <w:rsid w:val="00A82CB2"/>
    <w:rsid w:val="00A9096A"/>
    <w:rsid w:val="00A92EA3"/>
    <w:rsid w:val="00AA11DE"/>
    <w:rsid w:val="00AA2E07"/>
    <w:rsid w:val="00AA5ADB"/>
    <w:rsid w:val="00AB45D8"/>
    <w:rsid w:val="00AC59E0"/>
    <w:rsid w:val="00AC781B"/>
    <w:rsid w:val="00AD116B"/>
    <w:rsid w:val="00AD2017"/>
    <w:rsid w:val="00AD2F68"/>
    <w:rsid w:val="00AD392A"/>
    <w:rsid w:val="00AD4636"/>
    <w:rsid w:val="00AD7D16"/>
    <w:rsid w:val="00AE0701"/>
    <w:rsid w:val="00AE4AE8"/>
    <w:rsid w:val="00AE4B7A"/>
    <w:rsid w:val="00AF213E"/>
    <w:rsid w:val="00AF4E7B"/>
    <w:rsid w:val="00B00B00"/>
    <w:rsid w:val="00B01D82"/>
    <w:rsid w:val="00B062EC"/>
    <w:rsid w:val="00B1077B"/>
    <w:rsid w:val="00B16448"/>
    <w:rsid w:val="00B23BC9"/>
    <w:rsid w:val="00B25213"/>
    <w:rsid w:val="00B2692C"/>
    <w:rsid w:val="00B326FF"/>
    <w:rsid w:val="00B336FF"/>
    <w:rsid w:val="00B41009"/>
    <w:rsid w:val="00B4463A"/>
    <w:rsid w:val="00B45B8A"/>
    <w:rsid w:val="00B63B29"/>
    <w:rsid w:val="00B659A5"/>
    <w:rsid w:val="00B67C6E"/>
    <w:rsid w:val="00B710B7"/>
    <w:rsid w:val="00B71EBE"/>
    <w:rsid w:val="00B81DD6"/>
    <w:rsid w:val="00B919B6"/>
    <w:rsid w:val="00BA4A1B"/>
    <w:rsid w:val="00BA4E77"/>
    <w:rsid w:val="00BA68B4"/>
    <w:rsid w:val="00BB342C"/>
    <w:rsid w:val="00BB4F51"/>
    <w:rsid w:val="00BB6B81"/>
    <w:rsid w:val="00BC0A84"/>
    <w:rsid w:val="00BC1FE9"/>
    <w:rsid w:val="00BC4548"/>
    <w:rsid w:val="00BC63C1"/>
    <w:rsid w:val="00BD03F9"/>
    <w:rsid w:val="00BD3F01"/>
    <w:rsid w:val="00BE10E9"/>
    <w:rsid w:val="00BE46EE"/>
    <w:rsid w:val="00BE5B5B"/>
    <w:rsid w:val="00BF26C5"/>
    <w:rsid w:val="00C00DA6"/>
    <w:rsid w:val="00C04E54"/>
    <w:rsid w:val="00C0700B"/>
    <w:rsid w:val="00C10A4A"/>
    <w:rsid w:val="00C12DD2"/>
    <w:rsid w:val="00C136A6"/>
    <w:rsid w:val="00C14F40"/>
    <w:rsid w:val="00C154AA"/>
    <w:rsid w:val="00C23CB7"/>
    <w:rsid w:val="00C34CA0"/>
    <w:rsid w:val="00C363FE"/>
    <w:rsid w:val="00C40020"/>
    <w:rsid w:val="00C419E9"/>
    <w:rsid w:val="00C50B3A"/>
    <w:rsid w:val="00C50DBF"/>
    <w:rsid w:val="00C51ECE"/>
    <w:rsid w:val="00C5301B"/>
    <w:rsid w:val="00C6204C"/>
    <w:rsid w:val="00C64A7D"/>
    <w:rsid w:val="00C70177"/>
    <w:rsid w:val="00C725DE"/>
    <w:rsid w:val="00C83640"/>
    <w:rsid w:val="00C90DF0"/>
    <w:rsid w:val="00C93A07"/>
    <w:rsid w:val="00C96BA1"/>
    <w:rsid w:val="00CA0931"/>
    <w:rsid w:val="00CA3796"/>
    <w:rsid w:val="00CA3A78"/>
    <w:rsid w:val="00CA4FC0"/>
    <w:rsid w:val="00CA56E2"/>
    <w:rsid w:val="00CA6BD1"/>
    <w:rsid w:val="00CC6581"/>
    <w:rsid w:val="00CD0301"/>
    <w:rsid w:val="00CD2CFD"/>
    <w:rsid w:val="00CD593C"/>
    <w:rsid w:val="00CE0B61"/>
    <w:rsid w:val="00CF0863"/>
    <w:rsid w:val="00CF0C49"/>
    <w:rsid w:val="00CF274D"/>
    <w:rsid w:val="00CF2861"/>
    <w:rsid w:val="00D04A1E"/>
    <w:rsid w:val="00D061A1"/>
    <w:rsid w:val="00D14090"/>
    <w:rsid w:val="00D17D7C"/>
    <w:rsid w:val="00D208A6"/>
    <w:rsid w:val="00D2119A"/>
    <w:rsid w:val="00D21F29"/>
    <w:rsid w:val="00D2225C"/>
    <w:rsid w:val="00D249F3"/>
    <w:rsid w:val="00D24D55"/>
    <w:rsid w:val="00D2789A"/>
    <w:rsid w:val="00D32A1B"/>
    <w:rsid w:val="00D36102"/>
    <w:rsid w:val="00D4178B"/>
    <w:rsid w:val="00D43971"/>
    <w:rsid w:val="00D47364"/>
    <w:rsid w:val="00D53B52"/>
    <w:rsid w:val="00D54945"/>
    <w:rsid w:val="00D602A9"/>
    <w:rsid w:val="00D60B8D"/>
    <w:rsid w:val="00D6113C"/>
    <w:rsid w:val="00D62575"/>
    <w:rsid w:val="00D71429"/>
    <w:rsid w:val="00D8615A"/>
    <w:rsid w:val="00D86882"/>
    <w:rsid w:val="00D872AA"/>
    <w:rsid w:val="00DB4365"/>
    <w:rsid w:val="00DB5267"/>
    <w:rsid w:val="00DB7EDC"/>
    <w:rsid w:val="00DC03E3"/>
    <w:rsid w:val="00DC18B8"/>
    <w:rsid w:val="00DC20F0"/>
    <w:rsid w:val="00DC7DA6"/>
    <w:rsid w:val="00DD0730"/>
    <w:rsid w:val="00DD72B3"/>
    <w:rsid w:val="00DE08CB"/>
    <w:rsid w:val="00DE1871"/>
    <w:rsid w:val="00DE44CC"/>
    <w:rsid w:val="00DE4CF6"/>
    <w:rsid w:val="00DE6F0F"/>
    <w:rsid w:val="00DF1808"/>
    <w:rsid w:val="00DF737F"/>
    <w:rsid w:val="00DF7B74"/>
    <w:rsid w:val="00E01C39"/>
    <w:rsid w:val="00E072E6"/>
    <w:rsid w:val="00E20E86"/>
    <w:rsid w:val="00E30F27"/>
    <w:rsid w:val="00E36FF7"/>
    <w:rsid w:val="00E428B8"/>
    <w:rsid w:val="00E5092F"/>
    <w:rsid w:val="00E50931"/>
    <w:rsid w:val="00E57A85"/>
    <w:rsid w:val="00E614AC"/>
    <w:rsid w:val="00E6649C"/>
    <w:rsid w:val="00E66F98"/>
    <w:rsid w:val="00E71FB3"/>
    <w:rsid w:val="00E84E22"/>
    <w:rsid w:val="00E939FD"/>
    <w:rsid w:val="00E950E3"/>
    <w:rsid w:val="00E972F5"/>
    <w:rsid w:val="00EA26CC"/>
    <w:rsid w:val="00EA4618"/>
    <w:rsid w:val="00EA594C"/>
    <w:rsid w:val="00EA5DFF"/>
    <w:rsid w:val="00EA7DF9"/>
    <w:rsid w:val="00EB462C"/>
    <w:rsid w:val="00EB46EB"/>
    <w:rsid w:val="00EB55AB"/>
    <w:rsid w:val="00EB5868"/>
    <w:rsid w:val="00EB5953"/>
    <w:rsid w:val="00EC19CB"/>
    <w:rsid w:val="00EC2B26"/>
    <w:rsid w:val="00EC2CA3"/>
    <w:rsid w:val="00EC5C75"/>
    <w:rsid w:val="00EE46DB"/>
    <w:rsid w:val="00EE6EDA"/>
    <w:rsid w:val="00EE7D73"/>
    <w:rsid w:val="00EF2B51"/>
    <w:rsid w:val="00EF7702"/>
    <w:rsid w:val="00F12F7F"/>
    <w:rsid w:val="00F2014C"/>
    <w:rsid w:val="00F26FBE"/>
    <w:rsid w:val="00F2701A"/>
    <w:rsid w:val="00F377F3"/>
    <w:rsid w:val="00F40FE2"/>
    <w:rsid w:val="00F41ACE"/>
    <w:rsid w:val="00F4620E"/>
    <w:rsid w:val="00F503C8"/>
    <w:rsid w:val="00F55DB8"/>
    <w:rsid w:val="00F771DB"/>
    <w:rsid w:val="00F778AC"/>
    <w:rsid w:val="00F8309F"/>
    <w:rsid w:val="00F907A2"/>
    <w:rsid w:val="00F93E80"/>
    <w:rsid w:val="00F9533F"/>
    <w:rsid w:val="00F97CD8"/>
    <w:rsid w:val="00FA0D01"/>
    <w:rsid w:val="00FA2D5D"/>
    <w:rsid w:val="00FB01C3"/>
    <w:rsid w:val="00FB04FB"/>
    <w:rsid w:val="00FC1149"/>
    <w:rsid w:val="00FC3042"/>
    <w:rsid w:val="00FC6382"/>
    <w:rsid w:val="00FD1922"/>
    <w:rsid w:val="00FD1D4F"/>
    <w:rsid w:val="00FD2541"/>
    <w:rsid w:val="00FE2FD6"/>
    <w:rsid w:val="00FE5509"/>
    <w:rsid w:val="00FF39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6fece,#fbffe7,#fcf7d0,#fdf9df"/>
      <o:colormenu v:ext="edit" fillcolor="#fdf9df"/>
    </o:shapedefaults>
    <o:shapelayout v:ext="edit">
      <o:idmap v:ext="edit" data="2"/>
    </o:shapelayout>
  </w:shapeDefaults>
  <w:decimalSymbol w:val="."/>
  <w:listSeparator w:val=","/>
  <w14:docId w14:val="59A1638C"/>
  <w15:chartTrackingRefBased/>
  <w15:docId w15:val="{98A42A69-8C2C-45C8-AE2F-101CC05AB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DB0"/>
    <w:pPr>
      <w:keepNext/>
      <w:keepLines/>
      <w:spacing w:before="240" w:after="0"/>
      <w:outlineLvl w:val="0"/>
    </w:pPr>
    <w:rPr>
      <w:rFonts w:asciiTheme="majorHAnsi" w:eastAsiaTheme="majorEastAsia" w:hAnsiTheme="majorHAnsi" w:cstheme="majorBidi"/>
      <w:color w:val="864EA8" w:themeColor="accent1" w:themeShade="BF"/>
      <w:sz w:val="32"/>
      <w:szCs w:val="32"/>
    </w:rPr>
  </w:style>
  <w:style w:type="paragraph" w:styleId="Heading2">
    <w:name w:val="heading 2"/>
    <w:basedOn w:val="Normal"/>
    <w:next w:val="Normal"/>
    <w:link w:val="Heading2Char"/>
    <w:uiPriority w:val="9"/>
    <w:unhideWhenUsed/>
    <w:qFormat/>
    <w:rsid w:val="00A22C4B"/>
    <w:pPr>
      <w:keepNext/>
      <w:keepLines/>
      <w:spacing w:before="40" w:after="0"/>
      <w:outlineLvl w:val="1"/>
    </w:pPr>
    <w:rPr>
      <w:rFonts w:asciiTheme="majorHAnsi" w:eastAsiaTheme="majorEastAsia" w:hAnsiTheme="majorHAnsi" w:cstheme="majorBidi"/>
      <w:color w:val="864EA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7DB0"/>
    <w:pPr>
      <w:spacing w:after="0" w:line="240" w:lineRule="auto"/>
    </w:pPr>
    <w:rPr>
      <w:kern w:val="0"/>
      <w:lang w:val="en-US"/>
      <w14:ligatures w14:val="none"/>
    </w:rPr>
  </w:style>
  <w:style w:type="character" w:customStyle="1" w:styleId="NoSpacingChar">
    <w:name w:val="No Spacing Char"/>
    <w:basedOn w:val="DefaultParagraphFont"/>
    <w:link w:val="NoSpacing"/>
    <w:uiPriority w:val="1"/>
    <w:rsid w:val="00997DB0"/>
    <w:rPr>
      <w:kern w:val="0"/>
      <w:lang w:val="en-US" w:eastAsia="en-US"/>
      <w14:ligatures w14:val="none"/>
    </w:rPr>
  </w:style>
  <w:style w:type="character" w:customStyle="1" w:styleId="Heading1Char">
    <w:name w:val="Heading 1 Char"/>
    <w:basedOn w:val="DefaultParagraphFont"/>
    <w:link w:val="Heading1"/>
    <w:uiPriority w:val="9"/>
    <w:rsid w:val="00997DB0"/>
    <w:rPr>
      <w:rFonts w:asciiTheme="majorHAnsi" w:eastAsiaTheme="majorEastAsia" w:hAnsiTheme="majorHAnsi" w:cstheme="majorBidi"/>
      <w:color w:val="864EA8" w:themeColor="accent1" w:themeShade="BF"/>
      <w:sz w:val="32"/>
      <w:szCs w:val="32"/>
    </w:rPr>
  </w:style>
  <w:style w:type="paragraph" w:styleId="TOCHeading">
    <w:name w:val="TOC Heading"/>
    <w:basedOn w:val="Heading1"/>
    <w:next w:val="Normal"/>
    <w:uiPriority w:val="39"/>
    <w:unhideWhenUsed/>
    <w:qFormat/>
    <w:rsid w:val="00997DB0"/>
    <w:pPr>
      <w:outlineLvl w:val="9"/>
    </w:pPr>
    <w:rPr>
      <w:kern w:val="0"/>
      <w14:ligatures w14:val="none"/>
    </w:rPr>
  </w:style>
  <w:style w:type="paragraph" w:styleId="TOC1">
    <w:name w:val="toc 1"/>
    <w:basedOn w:val="Normal"/>
    <w:next w:val="Normal"/>
    <w:autoRedefine/>
    <w:uiPriority w:val="39"/>
    <w:unhideWhenUsed/>
    <w:rsid w:val="00997DB0"/>
    <w:pPr>
      <w:spacing w:after="100"/>
    </w:pPr>
  </w:style>
  <w:style w:type="character" w:styleId="Hyperlink">
    <w:name w:val="Hyperlink"/>
    <w:basedOn w:val="DefaultParagraphFont"/>
    <w:uiPriority w:val="99"/>
    <w:unhideWhenUsed/>
    <w:rsid w:val="00997DB0"/>
    <w:rPr>
      <w:color w:val="69A020" w:themeColor="hyperlink"/>
      <w:u w:val="single"/>
    </w:rPr>
  </w:style>
  <w:style w:type="paragraph" w:styleId="Header">
    <w:name w:val="header"/>
    <w:basedOn w:val="Normal"/>
    <w:link w:val="HeaderChar"/>
    <w:uiPriority w:val="99"/>
    <w:unhideWhenUsed/>
    <w:rsid w:val="00997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DB0"/>
  </w:style>
  <w:style w:type="paragraph" w:styleId="Footer">
    <w:name w:val="footer"/>
    <w:basedOn w:val="Normal"/>
    <w:link w:val="FooterChar"/>
    <w:uiPriority w:val="99"/>
    <w:unhideWhenUsed/>
    <w:rsid w:val="00997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DB0"/>
  </w:style>
  <w:style w:type="paragraph" w:styleId="Subtitle">
    <w:name w:val="Subtitle"/>
    <w:basedOn w:val="Normal"/>
    <w:next w:val="Normal"/>
    <w:link w:val="SubtitleChar"/>
    <w:uiPriority w:val="11"/>
    <w:qFormat/>
    <w:rsid w:val="004A71B2"/>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A71B2"/>
    <w:rPr>
      <w:color w:val="5A5A5A" w:themeColor="text1" w:themeTint="A5"/>
      <w:spacing w:val="15"/>
    </w:rPr>
  </w:style>
  <w:style w:type="paragraph" w:styleId="ListParagraph">
    <w:name w:val="List Paragraph"/>
    <w:basedOn w:val="Normal"/>
    <w:uiPriority w:val="34"/>
    <w:qFormat/>
    <w:rsid w:val="004A71B2"/>
    <w:pPr>
      <w:ind w:left="720"/>
      <w:contextualSpacing/>
    </w:pPr>
  </w:style>
  <w:style w:type="character" w:customStyle="1" w:styleId="Heading2Char">
    <w:name w:val="Heading 2 Char"/>
    <w:basedOn w:val="DefaultParagraphFont"/>
    <w:link w:val="Heading2"/>
    <w:uiPriority w:val="9"/>
    <w:rsid w:val="00A22C4B"/>
    <w:rPr>
      <w:rFonts w:asciiTheme="majorHAnsi" w:eastAsiaTheme="majorEastAsia" w:hAnsiTheme="majorHAnsi" w:cstheme="majorBidi"/>
      <w:color w:val="864EA8" w:themeColor="accent1" w:themeShade="BF"/>
      <w:sz w:val="26"/>
      <w:szCs w:val="26"/>
    </w:rPr>
  </w:style>
  <w:style w:type="table" w:styleId="TableGrid">
    <w:name w:val="Table Grid"/>
    <w:basedOn w:val="TableNormal"/>
    <w:uiPriority w:val="39"/>
    <w:rsid w:val="00C96B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C96BA1"/>
    <w:pPr>
      <w:spacing w:after="0" w:line="240" w:lineRule="auto"/>
    </w:pPr>
    <w:tblPr>
      <w:tblStyleRowBandSize w:val="1"/>
      <w:tblStyleColBandSize w:val="1"/>
      <w:tblBorders>
        <w:top w:val="single" w:sz="4" w:space="0" w:color="BDC6D7" w:themeColor="accent3" w:themeTint="66"/>
        <w:left w:val="single" w:sz="4" w:space="0" w:color="BDC6D7" w:themeColor="accent3" w:themeTint="66"/>
        <w:bottom w:val="single" w:sz="4" w:space="0" w:color="BDC6D7" w:themeColor="accent3" w:themeTint="66"/>
        <w:right w:val="single" w:sz="4" w:space="0" w:color="BDC6D7" w:themeColor="accent3" w:themeTint="66"/>
        <w:insideH w:val="single" w:sz="4" w:space="0" w:color="BDC6D7" w:themeColor="accent3" w:themeTint="66"/>
        <w:insideV w:val="single" w:sz="4" w:space="0" w:color="BDC6D7" w:themeColor="accent3" w:themeTint="66"/>
      </w:tblBorders>
    </w:tblPr>
    <w:tblStylePr w:type="firstRow">
      <w:rPr>
        <w:b/>
        <w:bCs/>
      </w:rPr>
      <w:tblPr/>
      <w:tcPr>
        <w:tcBorders>
          <w:bottom w:val="single" w:sz="12" w:space="0" w:color="9CAAC3" w:themeColor="accent3" w:themeTint="99"/>
        </w:tcBorders>
      </w:tcPr>
    </w:tblStylePr>
    <w:tblStylePr w:type="lastRow">
      <w:rPr>
        <w:b/>
        <w:bCs/>
      </w:rPr>
      <w:tblPr/>
      <w:tcPr>
        <w:tcBorders>
          <w:top w:val="double" w:sz="2" w:space="0" w:color="9CAAC3" w:themeColor="accent3"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C96BA1"/>
    <w:pPr>
      <w:spacing w:after="0" w:line="240" w:lineRule="auto"/>
    </w:pPr>
    <w:tblPr>
      <w:tblStyleRowBandSize w:val="1"/>
      <w:tblStyleColBandSize w:val="1"/>
      <w:tblBorders>
        <w:top w:val="single" w:sz="2" w:space="0" w:color="9CAAC3" w:themeColor="accent3" w:themeTint="99"/>
        <w:bottom w:val="single" w:sz="2" w:space="0" w:color="9CAAC3" w:themeColor="accent3" w:themeTint="99"/>
        <w:insideH w:val="single" w:sz="2" w:space="0" w:color="9CAAC3" w:themeColor="accent3" w:themeTint="99"/>
        <w:insideV w:val="single" w:sz="2" w:space="0" w:color="9CAAC3" w:themeColor="accent3" w:themeTint="99"/>
      </w:tblBorders>
    </w:tblPr>
    <w:tblStylePr w:type="firstRow">
      <w:rPr>
        <w:b/>
        <w:bCs/>
      </w:rPr>
      <w:tblPr/>
      <w:tcPr>
        <w:tcBorders>
          <w:top w:val="nil"/>
          <w:bottom w:val="single" w:sz="12" w:space="0" w:color="9CAAC3" w:themeColor="accent3" w:themeTint="99"/>
          <w:insideH w:val="nil"/>
          <w:insideV w:val="nil"/>
        </w:tcBorders>
        <w:shd w:val="clear" w:color="auto" w:fill="FFFFFF" w:themeFill="background1"/>
      </w:tcPr>
    </w:tblStylePr>
    <w:tblStylePr w:type="lastRow">
      <w:rPr>
        <w:b/>
        <w:bCs/>
      </w:rPr>
      <w:tblPr/>
      <w:tcPr>
        <w:tcBorders>
          <w:top w:val="double" w:sz="2" w:space="0" w:color="9CAAC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2EB" w:themeFill="accent3" w:themeFillTint="33"/>
      </w:tcPr>
    </w:tblStylePr>
    <w:tblStylePr w:type="band1Horz">
      <w:tblPr/>
      <w:tcPr>
        <w:shd w:val="clear" w:color="auto" w:fill="DEE2EB" w:themeFill="accent3" w:themeFillTint="33"/>
      </w:tcPr>
    </w:tblStylePr>
  </w:style>
  <w:style w:type="table" w:styleId="GridTable2-Accent2">
    <w:name w:val="Grid Table 2 Accent 2"/>
    <w:basedOn w:val="TableNormal"/>
    <w:uiPriority w:val="47"/>
    <w:rsid w:val="00C96BA1"/>
    <w:pPr>
      <w:spacing w:after="0" w:line="240" w:lineRule="auto"/>
    </w:pPr>
    <w:tblPr>
      <w:tblStyleRowBandSize w:val="1"/>
      <w:tblStyleColBandSize w:val="1"/>
      <w:tblBorders>
        <w:top w:val="single" w:sz="2" w:space="0" w:color="B6B5DD" w:themeColor="accent2" w:themeTint="99"/>
        <w:bottom w:val="single" w:sz="2" w:space="0" w:color="B6B5DD" w:themeColor="accent2" w:themeTint="99"/>
        <w:insideH w:val="single" w:sz="2" w:space="0" w:color="B6B5DD" w:themeColor="accent2" w:themeTint="99"/>
        <w:insideV w:val="single" w:sz="2" w:space="0" w:color="B6B5DD" w:themeColor="accent2" w:themeTint="99"/>
      </w:tblBorders>
    </w:tblPr>
    <w:tblStylePr w:type="firstRow">
      <w:rPr>
        <w:b/>
        <w:bCs/>
      </w:rPr>
      <w:tblPr/>
      <w:tcPr>
        <w:tcBorders>
          <w:top w:val="nil"/>
          <w:bottom w:val="single" w:sz="12" w:space="0" w:color="B6B5DD" w:themeColor="accent2" w:themeTint="99"/>
          <w:insideH w:val="nil"/>
          <w:insideV w:val="nil"/>
        </w:tcBorders>
        <w:shd w:val="clear" w:color="auto" w:fill="FFFFFF" w:themeFill="background1"/>
      </w:tcPr>
    </w:tblStylePr>
    <w:tblStylePr w:type="lastRow">
      <w:rPr>
        <w:b/>
        <w:bCs/>
      </w:rPr>
      <w:tblPr/>
      <w:tcPr>
        <w:tcBorders>
          <w:top w:val="double" w:sz="2" w:space="0" w:color="B6B5DD"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E6F3" w:themeFill="accent2" w:themeFillTint="33"/>
      </w:tcPr>
    </w:tblStylePr>
    <w:tblStylePr w:type="band1Horz">
      <w:tblPr/>
      <w:tcPr>
        <w:shd w:val="clear" w:color="auto" w:fill="E6E6F3" w:themeFill="accent2" w:themeFillTint="33"/>
      </w:tcPr>
    </w:tblStylePr>
  </w:style>
  <w:style w:type="paragraph" w:styleId="Caption">
    <w:name w:val="caption"/>
    <w:basedOn w:val="Normal"/>
    <w:next w:val="Normal"/>
    <w:uiPriority w:val="35"/>
    <w:unhideWhenUsed/>
    <w:qFormat/>
    <w:rsid w:val="00B919B6"/>
    <w:pPr>
      <w:spacing w:after="200" w:line="240" w:lineRule="auto"/>
    </w:pPr>
    <w:rPr>
      <w:i/>
      <w:iCs/>
      <w:color w:val="373545" w:themeColor="text2"/>
      <w:sz w:val="18"/>
      <w:szCs w:val="18"/>
    </w:rPr>
  </w:style>
  <w:style w:type="table" w:styleId="PlainTable5">
    <w:name w:val="Plain Table 5"/>
    <w:basedOn w:val="TableNormal"/>
    <w:uiPriority w:val="45"/>
    <w:rsid w:val="00FC3042"/>
    <w:pPr>
      <w:spacing w:after="0" w:line="240" w:lineRule="auto"/>
    </w:pPr>
    <w:rPr>
      <w:lang w:eastAsia="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2">
    <w:name w:val="toc 2"/>
    <w:basedOn w:val="Normal"/>
    <w:next w:val="Normal"/>
    <w:autoRedefine/>
    <w:uiPriority w:val="39"/>
    <w:unhideWhenUsed/>
    <w:rsid w:val="0011431D"/>
    <w:pPr>
      <w:spacing w:after="100"/>
      <w:ind w:left="220"/>
    </w:pPr>
  </w:style>
  <w:style w:type="paragraph" w:styleId="Bibliography">
    <w:name w:val="Bibliography"/>
    <w:basedOn w:val="Normal"/>
    <w:next w:val="Normal"/>
    <w:uiPriority w:val="37"/>
    <w:unhideWhenUsed/>
    <w:rsid w:val="00581741"/>
  </w:style>
  <w:style w:type="table" w:styleId="ListTable2">
    <w:name w:val="List Table 2"/>
    <w:basedOn w:val="TableNormal"/>
    <w:uiPriority w:val="47"/>
    <w:rsid w:val="00FC638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2541">
      <w:bodyDiv w:val="1"/>
      <w:marLeft w:val="0"/>
      <w:marRight w:val="0"/>
      <w:marTop w:val="0"/>
      <w:marBottom w:val="0"/>
      <w:divBdr>
        <w:top w:val="none" w:sz="0" w:space="0" w:color="auto"/>
        <w:left w:val="none" w:sz="0" w:space="0" w:color="auto"/>
        <w:bottom w:val="none" w:sz="0" w:space="0" w:color="auto"/>
        <w:right w:val="none" w:sz="0" w:space="0" w:color="auto"/>
      </w:divBdr>
    </w:div>
    <w:div w:id="6955448">
      <w:bodyDiv w:val="1"/>
      <w:marLeft w:val="0"/>
      <w:marRight w:val="0"/>
      <w:marTop w:val="0"/>
      <w:marBottom w:val="0"/>
      <w:divBdr>
        <w:top w:val="none" w:sz="0" w:space="0" w:color="auto"/>
        <w:left w:val="none" w:sz="0" w:space="0" w:color="auto"/>
        <w:bottom w:val="none" w:sz="0" w:space="0" w:color="auto"/>
        <w:right w:val="none" w:sz="0" w:space="0" w:color="auto"/>
      </w:divBdr>
    </w:div>
    <w:div w:id="8719050">
      <w:bodyDiv w:val="1"/>
      <w:marLeft w:val="0"/>
      <w:marRight w:val="0"/>
      <w:marTop w:val="0"/>
      <w:marBottom w:val="0"/>
      <w:divBdr>
        <w:top w:val="none" w:sz="0" w:space="0" w:color="auto"/>
        <w:left w:val="none" w:sz="0" w:space="0" w:color="auto"/>
        <w:bottom w:val="none" w:sz="0" w:space="0" w:color="auto"/>
        <w:right w:val="none" w:sz="0" w:space="0" w:color="auto"/>
      </w:divBdr>
    </w:div>
    <w:div w:id="164175657">
      <w:bodyDiv w:val="1"/>
      <w:marLeft w:val="0"/>
      <w:marRight w:val="0"/>
      <w:marTop w:val="0"/>
      <w:marBottom w:val="0"/>
      <w:divBdr>
        <w:top w:val="none" w:sz="0" w:space="0" w:color="auto"/>
        <w:left w:val="none" w:sz="0" w:space="0" w:color="auto"/>
        <w:bottom w:val="none" w:sz="0" w:space="0" w:color="auto"/>
        <w:right w:val="none" w:sz="0" w:space="0" w:color="auto"/>
      </w:divBdr>
    </w:div>
    <w:div w:id="179396009">
      <w:bodyDiv w:val="1"/>
      <w:marLeft w:val="0"/>
      <w:marRight w:val="0"/>
      <w:marTop w:val="0"/>
      <w:marBottom w:val="0"/>
      <w:divBdr>
        <w:top w:val="none" w:sz="0" w:space="0" w:color="auto"/>
        <w:left w:val="none" w:sz="0" w:space="0" w:color="auto"/>
        <w:bottom w:val="none" w:sz="0" w:space="0" w:color="auto"/>
        <w:right w:val="none" w:sz="0" w:space="0" w:color="auto"/>
      </w:divBdr>
    </w:div>
    <w:div w:id="200015893">
      <w:bodyDiv w:val="1"/>
      <w:marLeft w:val="0"/>
      <w:marRight w:val="0"/>
      <w:marTop w:val="0"/>
      <w:marBottom w:val="0"/>
      <w:divBdr>
        <w:top w:val="none" w:sz="0" w:space="0" w:color="auto"/>
        <w:left w:val="none" w:sz="0" w:space="0" w:color="auto"/>
        <w:bottom w:val="none" w:sz="0" w:space="0" w:color="auto"/>
        <w:right w:val="none" w:sz="0" w:space="0" w:color="auto"/>
      </w:divBdr>
    </w:div>
    <w:div w:id="220529251">
      <w:bodyDiv w:val="1"/>
      <w:marLeft w:val="0"/>
      <w:marRight w:val="0"/>
      <w:marTop w:val="0"/>
      <w:marBottom w:val="0"/>
      <w:divBdr>
        <w:top w:val="none" w:sz="0" w:space="0" w:color="auto"/>
        <w:left w:val="none" w:sz="0" w:space="0" w:color="auto"/>
        <w:bottom w:val="none" w:sz="0" w:space="0" w:color="auto"/>
        <w:right w:val="none" w:sz="0" w:space="0" w:color="auto"/>
      </w:divBdr>
    </w:div>
    <w:div w:id="232159015">
      <w:bodyDiv w:val="1"/>
      <w:marLeft w:val="0"/>
      <w:marRight w:val="0"/>
      <w:marTop w:val="0"/>
      <w:marBottom w:val="0"/>
      <w:divBdr>
        <w:top w:val="none" w:sz="0" w:space="0" w:color="auto"/>
        <w:left w:val="none" w:sz="0" w:space="0" w:color="auto"/>
        <w:bottom w:val="none" w:sz="0" w:space="0" w:color="auto"/>
        <w:right w:val="none" w:sz="0" w:space="0" w:color="auto"/>
      </w:divBdr>
    </w:div>
    <w:div w:id="233324760">
      <w:bodyDiv w:val="1"/>
      <w:marLeft w:val="0"/>
      <w:marRight w:val="0"/>
      <w:marTop w:val="0"/>
      <w:marBottom w:val="0"/>
      <w:divBdr>
        <w:top w:val="none" w:sz="0" w:space="0" w:color="auto"/>
        <w:left w:val="none" w:sz="0" w:space="0" w:color="auto"/>
        <w:bottom w:val="none" w:sz="0" w:space="0" w:color="auto"/>
        <w:right w:val="none" w:sz="0" w:space="0" w:color="auto"/>
      </w:divBdr>
    </w:div>
    <w:div w:id="239562947">
      <w:bodyDiv w:val="1"/>
      <w:marLeft w:val="0"/>
      <w:marRight w:val="0"/>
      <w:marTop w:val="0"/>
      <w:marBottom w:val="0"/>
      <w:divBdr>
        <w:top w:val="none" w:sz="0" w:space="0" w:color="auto"/>
        <w:left w:val="none" w:sz="0" w:space="0" w:color="auto"/>
        <w:bottom w:val="none" w:sz="0" w:space="0" w:color="auto"/>
        <w:right w:val="none" w:sz="0" w:space="0" w:color="auto"/>
      </w:divBdr>
    </w:div>
    <w:div w:id="251672528">
      <w:bodyDiv w:val="1"/>
      <w:marLeft w:val="0"/>
      <w:marRight w:val="0"/>
      <w:marTop w:val="0"/>
      <w:marBottom w:val="0"/>
      <w:divBdr>
        <w:top w:val="none" w:sz="0" w:space="0" w:color="auto"/>
        <w:left w:val="none" w:sz="0" w:space="0" w:color="auto"/>
        <w:bottom w:val="none" w:sz="0" w:space="0" w:color="auto"/>
        <w:right w:val="none" w:sz="0" w:space="0" w:color="auto"/>
      </w:divBdr>
    </w:div>
    <w:div w:id="282081013">
      <w:bodyDiv w:val="1"/>
      <w:marLeft w:val="0"/>
      <w:marRight w:val="0"/>
      <w:marTop w:val="0"/>
      <w:marBottom w:val="0"/>
      <w:divBdr>
        <w:top w:val="none" w:sz="0" w:space="0" w:color="auto"/>
        <w:left w:val="none" w:sz="0" w:space="0" w:color="auto"/>
        <w:bottom w:val="none" w:sz="0" w:space="0" w:color="auto"/>
        <w:right w:val="none" w:sz="0" w:space="0" w:color="auto"/>
      </w:divBdr>
    </w:div>
    <w:div w:id="321205864">
      <w:bodyDiv w:val="1"/>
      <w:marLeft w:val="0"/>
      <w:marRight w:val="0"/>
      <w:marTop w:val="0"/>
      <w:marBottom w:val="0"/>
      <w:divBdr>
        <w:top w:val="none" w:sz="0" w:space="0" w:color="auto"/>
        <w:left w:val="none" w:sz="0" w:space="0" w:color="auto"/>
        <w:bottom w:val="none" w:sz="0" w:space="0" w:color="auto"/>
        <w:right w:val="none" w:sz="0" w:space="0" w:color="auto"/>
      </w:divBdr>
    </w:div>
    <w:div w:id="322858396">
      <w:bodyDiv w:val="1"/>
      <w:marLeft w:val="0"/>
      <w:marRight w:val="0"/>
      <w:marTop w:val="0"/>
      <w:marBottom w:val="0"/>
      <w:divBdr>
        <w:top w:val="none" w:sz="0" w:space="0" w:color="auto"/>
        <w:left w:val="none" w:sz="0" w:space="0" w:color="auto"/>
        <w:bottom w:val="none" w:sz="0" w:space="0" w:color="auto"/>
        <w:right w:val="none" w:sz="0" w:space="0" w:color="auto"/>
      </w:divBdr>
    </w:div>
    <w:div w:id="427241671">
      <w:bodyDiv w:val="1"/>
      <w:marLeft w:val="0"/>
      <w:marRight w:val="0"/>
      <w:marTop w:val="0"/>
      <w:marBottom w:val="0"/>
      <w:divBdr>
        <w:top w:val="none" w:sz="0" w:space="0" w:color="auto"/>
        <w:left w:val="none" w:sz="0" w:space="0" w:color="auto"/>
        <w:bottom w:val="none" w:sz="0" w:space="0" w:color="auto"/>
        <w:right w:val="none" w:sz="0" w:space="0" w:color="auto"/>
      </w:divBdr>
    </w:div>
    <w:div w:id="459735391">
      <w:bodyDiv w:val="1"/>
      <w:marLeft w:val="0"/>
      <w:marRight w:val="0"/>
      <w:marTop w:val="0"/>
      <w:marBottom w:val="0"/>
      <w:divBdr>
        <w:top w:val="none" w:sz="0" w:space="0" w:color="auto"/>
        <w:left w:val="none" w:sz="0" w:space="0" w:color="auto"/>
        <w:bottom w:val="none" w:sz="0" w:space="0" w:color="auto"/>
        <w:right w:val="none" w:sz="0" w:space="0" w:color="auto"/>
      </w:divBdr>
    </w:div>
    <w:div w:id="465437678">
      <w:bodyDiv w:val="1"/>
      <w:marLeft w:val="0"/>
      <w:marRight w:val="0"/>
      <w:marTop w:val="0"/>
      <w:marBottom w:val="0"/>
      <w:divBdr>
        <w:top w:val="none" w:sz="0" w:space="0" w:color="auto"/>
        <w:left w:val="none" w:sz="0" w:space="0" w:color="auto"/>
        <w:bottom w:val="none" w:sz="0" w:space="0" w:color="auto"/>
        <w:right w:val="none" w:sz="0" w:space="0" w:color="auto"/>
      </w:divBdr>
    </w:div>
    <w:div w:id="468087612">
      <w:bodyDiv w:val="1"/>
      <w:marLeft w:val="0"/>
      <w:marRight w:val="0"/>
      <w:marTop w:val="0"/>
      <w:marBottom w:val="0"/>
      <w:divBdr>
        <w:top w:val="none" w:sz="0" w:space="0" w:color="auto"/>
        <w:left w:val="none" w:sz="0" w:space="0" w:color="auto"/>
        <w:bottom w:val="none" w:sz="0" w:space="0" w:color="auto"/>
        <w:right w:val="none" w:sz="0" w:space="0" w:color="auto"/>
      </w:divBdr>
    </w:div>
    <w:div w:id="476342323">
      <w:bodyDiv w:val="1"/>
      <w:marLeft w:val="0"/>
      <w:marRight w:val="0"/>
      <w:marTop w:val="0"/>
      <w:marBottom w:val="0"/>
      <w:divBdr>
        <w:top w:val="none" w:sz="0" w:space="0" w:color="auto"/>
        <w:left w:val="none" w:sz="0" w:space="0" w:color="auto"/>
        <w:bottom w:val="none" w:sz="0" w:space="0" w:color="auto"/>
        <w:right w:val="none" w:sz="0" w:space="0" w:color="auto"/>
      </w:divBdr>
    </w:div>
    <w:div w:id="525751231">
      <w:bodyDiv w:val="1"/>
      <w:marLeft w:val="0"/>
      <w:marRight w:val="0"/>
      <w:marTop w:val="0"/>
      <w:marBottom w:val="0"/>
      <w:divBdr>
        <w:top w:val="none" w:sz="0" w:space="0" w:color="auto"/>
        <w:left w:val="none" w:sz="0" w:space="0" w:color="auto"/>
        <w:bottom w:val="none" w:sz="0" w:space="0" w:color="auto"/>
        <w:right w:val="none" w:sz="0" w:space="0" w:color="auto"/>
      </w:divBdr>
    </w:div>
    <w:div w:id="535854434">
      <w:bodyDiv w:val="1"/>
      <w:marLeft w:val="0"/>
      <w:marRight w:val="0"/>
      <w:marTop w:val="0"/>
      <w:marBottom w:val="0"/>
      <w:divBdr>
        <w:top w:val="none" w:sz="0" w:space="0" w:color="auto"/>
        <w:left w:val="none" w:sz="0" w:space="0" w:color="auto"/>
        <w:bottom w:val="none" w:sz="0" w:space="0" w:color="auto"/>
        <w:right w:val="none" w:sz="0" w:space="0" w:color="auto"/>
      </w:divBdr>
    </w:div>
    <w:div w:id="566115410">
      <w:bodyDiv w:val="1"/>
      <w:marLeft w:val="0"/>
      <w:marRight w:val="0"/>
      <w:marTop w:val="0"/>
      <w:marBottom w:val="0"/>
      <w:divBdr>
        <w:top w:val="none" w:sz="0" w:space="0" w:color="auto"/>
        <w:left w:val="none" w:sz="0" w:space="0" w:color="auto"/>
        <w:bottom w:val="none" w:sz="0" w:space="0" w:color="auto"/>
        <w:right w:val="none" w:sz="0" w:space="0" w:color="auto"/>
      </w:divBdr>
    </w:div>
    <w:div w:id="572282248">
      <w:bodyDiv w:val="1"/>
      <w:marLeft w:val="0"/>
      <w:marRight w:val="0"/>
      <w:marTop w:val="0"/>
      <w:marBottom w:val="0"/>
      <w:divBdr>
        <w:top w:val="none" w:sz="0" w:space="0" w:color="auto"/>
        <w:left w:val="none" w:sz="0" w:space="0" w:color="auto"/>
        <w:bottom w:val="none" w:sz="0" w:space="0" w:color="auto"/>
        <w:right w:val="none" w:sz="0" w:space="0" w:color="auto"/>
      </w:divBdr>
    </w:div>
    <w:div w:id="618151290">
      <w:bodyDiv w:val="1"/>
      <w:marLeft w:val="0"/>
      <w:marRight w:val="0"/>
      <w:marTop w:val="0"/>
      <w:marBottom w:val="0"/>
      <w:divBdr>
        <w:top w:val="none" w:sz="0" w:space="0" w:color="auto"/>
        <w:left w:val="none" w:sz="0" w:space="0" w:color="auto"/>
        <w:bottom w:val="none" w:sz="0" w:space="0" w:color="auto"/>
        <w:right w:val="none" w:sz="0" w:space="0" w:color="auto"/>
      </w:divBdr>
    </w:div>
    <w:div w:id="666983649">
      <w:bodyDiv w:val="1"/>
      <w:marLeft w:val="0"/>
      <w:marRight w:val="0"/>
      <w:marTop w:val="0"/>
      <w:marBottom w:val="0"/>
      <w:divBdr>
        <w:top w:val="none" w:sz="0" w:space="0" w:color="auto"/>
        <w:left w:val="none" w:sz="0" w:space="0" w:color="auto"/>
        <w:bottom w:val="none" w:sz="0" w:space="0" w:color="auto"/>
        <w:right w:val="none" w:sz="0" w:space="0" w:color="auto"/>
      </w:divBdr>
    </w:div>
    <w:div w:id="688068225">
      <w:bodyDiv w:val="1"/>
      <w:marLeft w:val="0"/>
      <w:marRight w:val="0"/>
      <w:marTop w:val="0"/>
      <w:marBottom w:val="0"/>
      <w:divBdr>
        <w:top w:val="none" w:sz="0" w:space="0" w:color="auto"/>
        <w:left w:val="none" w:sz="0" w:space="0" w:color="auto"/>
        <w:bottom w:val="none" w:sz="0" w:space="0" w:color="auto"/>
        <w:right w:val="none" w:sz="0" w:space="0" w:color="auto"/>
      </w:divBdr>
    </w:div>
    <w:div w:id="705570026">
      <w:bodyDiv w:val="1"/>
      <w:marLeft w:val="0"/>
      <w:marRight w:val="0"/>
      <w:marTop w:val="0"/>
      <w:marBottom w:val="0"/>
      <w:divBdr>
        <w:top w:val="none" w:sz="0" w:space="0" w:color="auto"/>
        <w:left w:val="none" w:sz="0" w:space="0" w:color="auto"/>
        <w:bottom w:val="none" w:sz="0" w:space="0" w:color="auto"/>
        <w:right w:val="none" w:sz="0" w:space="0" w:color="auto"/>
      </w:divBdr>
    </w:div>
    <w:div w:id="750926013">
      <w:bodyDiv w:val="1"/>
      <w:marLeft w:val="0"/>
      <w:marRight w:val="0"/>
      <w:marTop w:val="0"/>
      <w:marBottom w:val="0"/>
      <w:divBdr>
        <w:top w:val="none" w:sz="0" w:space="0" w:color="auto"/>
        <w:left w:val="none" w:sz="0" w:space="0" w:color="auto"/>
        <w:bottom w:val="none" w:sz="0" w:space="0" w:color="auto"/>
        <w:right w:val="none" w:sz="0" w:space="0" w:color="auto"/>
      </w:divBdr>
    </w:div>
    <w:div w:id="825977901">
      <w:bodyDiv w:val="1"/>
      <w:marLeft w:val="0"/>
      <w:marRight w:val="0"/>
      <w:marTop w:val="0"/>
      <w:marBottom w:val="0"/>
      <w:divBdr>
        <w:top w:val="none" w:sz="0" w:space="0" w:color="auto"/>
        <w:left w:val="none" w:sz="0" w:space="0" w:color="auto"/>
        <w:bottom w:val="none" w:sz="0" w:space="0" w:color="auto"/>
        <w:right w:val="none" w:sz="0" w:space="0" w:color="auto"/>
      </w:divBdr>
    </w:div>
    <w:div w:id="827862065">
      <w:bodyDiv w:val="1"/>
      <w:marLeft w:val="0"/>
      <w:marRight w:val="0"/>
      <w:marTop w:val="0"/>
      <w:marBottom w:val="0"/>
      <w:divBdr>
        <w:top w:val="none" w:sz="0" w:space="0" w:color="auto"/>
        <w:left w:val="none" w:sz="0" w:space="0" w:color="auto"/>
        <w:bottom w:val="none" w:sz="0" w:space="0" w:color="auto"/>
        <w:right w:val="none" w:sz="0" w:space="0" w:color="auto"/>
      </w:divBdr>
    </w:div>
    <w:div w:id="867109760">
      <w:bodyDiv w:val="1"/>
      <w:marLeft w:val="0"/>
      <w:marRight w:val="0"/>
      <w:marTop w:val="0"/>
      <w:marBottom w:val="0"/>
      <w:divBdr>
        <w:top w:val="none" w:sz="0" w:space="0" w:color="auto"/>
        <w:left w:val="none" w:sz="0" w:space="0" w:color="auto"/>
        <w:bottom w:val="none" w:sz="0" w:space="0" w:color="auto"/>
        <w:right w:val="none" w:sz="0" w:space="0" w:color="auto"/>
      </w:divBdr>
    </w:div>
    <w:div w:id="914628134">
      <w:bodyDiv w:val="1"/>
      <w:marLeft w:val="0"/>
      <w:marRight w:val="0"/>
      <w:marTop w:val="0"/>
      <w:marBottom w:val="0"/>
      <w:divBdr>
        <w:top w:val="none" w:sz="0" w:space="0" w:color="auto"/>
        <w:left w:val="none" w:sz="0" w:space="0" w:color="auto"/>
        <w:bottom w:val="none" w:sz="0" w:space="0" w:color="auto"/>
        <w:right w:val="none" w:sz="0" w:space="0" w:color="auto"/>
      </w:divBdr>
    </w:div>
    <w:div w:id="967854192">
      <w:bodyDiv w:val="1"/>
      <w:marLeft w:val="0"/>
      <w:marRight w:val="0"/>
      <w:marTop w:val="0"/>
      <w:marBottom w:val="0"/>
      <w:divBdr>
        <w:top w:val="none" w:sz="0" w:space="0" w:color="auto"/>
        <w:left w:val="none" w:sz="0" w:space="0" w:color="auto"/>
        <w:bottom w:val="none" w:sz="0" w:space="0" w:color="auto"/>
        <w:right w:val="none" w:sz="0" w:space="0" w:color="auto"/>
      </w:divBdr>
    </w:div>
    <w:div w:id="975644192">
      <w:bodyDiv w:val="1"/>
      <w:marLeft w:val="0"/>
      <w:marRight w:val="0"/>
      <w:marTop w:val="0"/>
      <w:marBottom w:val="0"/>
      <w:divBdr>
        <w:top w:val="none" w:sz="0" w:space="0" w:color="auto"/>
        <w:left w:val="none" w:sz="0" w:space="0" w:color="auto"/>
        <w:bottom w:val="none" w:sz="0" w:space="0" w:color="auto"/>
        <w:right w:val="none" w:sz="0" w:space="0" w:color="auto"/>
      </w:divBdr>
    </w:div>
    <w:div w:id="980157755">
      <w:bodyDiv w:val="1"/>
      <w:marLeft w:val="0"/>
      <w:marRight w:val="0"/>
      <w:marTop w:val="0"/>
      <w:marBottom w:val="0"/>
      <w:divBdr>
        <w:top w:val="none" w:sz="0" w:space="0" w:color="auto"/>
        <w:left w:val="none" w:sz="0" w:space="0" w:color="auto"/>
        <w:bottom w:val="none" w:sz="0" w:space="0" w:color="auto"/>
        <w:right w:val="none" w:sz="0" w:space="0" w:color="auto"/>
      </w:divBdr>
    </w:div>
    <w:div w:id="1040974362">
      <w:bodyDiv w:val="1"/>
      <w:marLeft w:val="0"/>
      <w:marRight w:val="0"/>
      <w:marTop w:val="0"/>
      <w:marBottom w:val="0"/>
      <w:divBdr>
        <w:top w:val="none" w:sz="0" w:space="0" w:color="auto"/>
        <w:left w:val="none" w:sz="0" w:space="0" w:color="auto"/>
        <w:bottom w:val="none" w:sz="0" w:space="0" w:color="auto"/>
        <w:right w:val="none" w:sz="0" w:space="0" w:color="auto"/>
      </w:divBdr>
    </w:div>
    <w:div w:id="1096249699">
      <w:bodyDiv w:val="1"/>
      <w:marLeft w:val="0"/>
      <w:marRight w:val="0"/>
      <w:marTop w:val="0"/>
      <w:marBottom w:val="0"/>
      <w:divBdr>
        <w:top w:val="none" w:sz="0" w:space="0" w:color="auto"/>
        <w:left w:val="none" w:sz="0" w:space="0" w:color="auto"/>
        <w:bottom w:val="none" w:sz="0" w:space="0" w:color="auto"/>
        <w:right w:val="none" w:sz="0" w:space="0" w:color="auto"/>
      </w:divBdr>
    </w:div>
    <w:div w:id="1114247660">
      <w:bodyDiv w:val="1"/>
      <w:marLeft w:val="0"/>
      <w:marRight w:val="0"/>
      <w:marTop w:val="0"/>
      <w:marBottom w:val="0"/>
      <w:divBdr>
        <w:top w:val="none" w:sz="0" w:space="0" w:color="auto"/>
        <w:left w:val="none" w:sz="0" w:space="0" w:color="auto"/>
        <w:bottom w:val="none" w:sz="0" w:space="0" w:color="auto"/>
        <w:right w:val="none" w:sz="0" w:space="0" w:color="auto"/>
      </w:divBdr>
    </w:div>
    <w:div w:id="1131558034">
      <w:bodyDiv w:val="1"/>
      <w:marLeft w:val="0"/>
      <w:marRight w:val="0"/>
      <w:marTop w:val="0"/>
      <w:marBottom w:val="0"/>
      <w:divBdr>
        <w:top w:val="none" w:sz="0" w:space="0" w:color="auto"/>
        <w:left w:val="none" w:sz="0" w:space="0" w:color="auto"/>
        <w:bottom w:val="none" w:sz="0" w:space="0" w:color="auto"/>
        <w:right w:val="none" w:sz="0" w:space="0" w:color="auto"/>
      </w:divBdr>
    </w:div>
    <w:div w:id="1138954424">
      <w:bodyDiv w:val="1"/>
      <w:marLeft w:val="0"/>
      <w:marRight w:val="0"/>
      <w:marTop w:val="0"/>
      <w:marBottom w:val="0"/>
      <w:divBdr>
        <w:top w:val="none" w:sz="0" w:space="0" w:color="auto"/>
        <w:left w:val="none" w:sz="0" w:space="0" w:color="auto"/>
        <w:bottom w:val="none" w:sz="0" w:space="0" w:color="auto"/>
        <w:right w:val="none" w:sz="0" w:space="0" w:color="auto"/>
      </w:divBdr>
    </w:div>
    <w:div w:id="1173644301">
      <w:bodyDiv w:val="1"/>
      <w:marLeft w:val="0"/>
      <w:marRight w:val="0"/>
      <w:marTop w:val="0"/>
      <w:marBottom w:val="0"/>
      <w:divBdr>
        <w:top w:val="none" w:sz="0" w:space="0" w:color="auto"/>
        <w:left w:val="none" w:sz="0" w:space="0" w:color="auto"/>
        <w:bottom w:val="none" w:sz="0" w:space="0" w:color="auto"/>
        <w:right w:val="none" w:sz="0" w:space="0" w:color="auto"/>
      </w:divBdr>
    </w:div>
    <w:div w:id="1175220782">
      <w:bodyDiv w:val="1"/>
      <w:marLeft w:val="0"/>
      <w:marRight w:val="0"/>
      <w:marTop w:val="0"/>
      <w:marBottom w:val="0"/>
      <w:divBdr>
        <w:top w:val="none" w:sz="0" w:space="0" w:color="auto"/>
        <w:left w:val="none" w:sz="0" w:space="0" w:color="auto"/>
        <w:bottom w:val="none" w:sz="0" w:space="0" w:color="auto"/>
        <w:right w:val="none" w:sz="0" w:space="0" w:color="auto"/>
      </w:divBdr>
    </w:div>
    <w:div w:id="1187062051">
      <w:bodyDiv w:val="1"/>
      <w:marLeft w:val="0"/>
      <w:marRight w:val="0"/>
      <w:marTop w:val="0"/>
      <w:marBottom w:val="0"/>
      <w:divBdr>
        <w:top w:val="none" w:sz="0" w:space="0" w:color="auto"/>
        <w:left w:val="none" w:sz="0" w:space="0" w:color="auto"/>
        <w:bottom w:val="none" w:sz="0" w:space="0" w:color="auto"/>
        <w:right w:val="none" w:sz="0" w:space="0" w:color="auto"/>
      </w:divBdr>
    </w:div>
    <w:div w:id="1203253512">
      <w:bodyDiv w:val="1"/>
      <w:marLeft w:val="0"/>
      <w:marRight w:val="0"/>
      <w:marTop w:val="0"/>
      <w:marBottom w:val="0"/>
      <w:divBdr>
        <w:top w:val="none" w:sz="0" w:space="0" w:color="auto"/>
        <w:left w:val="none" w:sz="0" w:space="0" w:color="auto"/>
        <w:bottom w:val="none" w:sz="0" w:space="0" w:color="auto"/>
        <w:right w:val="none" w:sz="0" w:space="0" w:color="auto"/>
      </w:divBdr>
    </w:div>
    <w:div w:id="1216773230">
      <w:bodyDiv w:val="1"/>
      <w:marLeft w:val="0"/>
      <w:marRight w:val="0"/>
      <w:marTop w:val="0"/>
      <w:marBottom w:val="0"/>
      <w:divBdr>
        <w:top w:val="none" w:sz="0" w:space="0" w:color="auto"/>
        <w:left w:val="none" w:sz="0" w:space="0" w:color="auto"/>
        <w:bottom w:val="none" w:sz="0" w:space="0" w:color="auto"/>
        <w:right w:val="none" w:sz="0" w:space="0" w:color="auto"/>
      </w:divBdr>
    </w:div>
    <w:div w:id="1240403596">
      <w:bodyDiv w:val="1"/>
      <w:marLeft w:val="0"/>
      <w:marRight w:val="0"/>
      <w:marTop w:val="0"/>
      <w:marBottom w:val="0"/>
      <w:divBdr>
        <w:top w:val="none" w:sz="0" w:space="0" w:color="auto"/>
        <w:left w:val="none" w:sz="0" w:space="0" w:color="auto"/>
        <w:bottom w:val="none" w:sz="0" w:space="0" w:color="auto"/>
        <w:right w:val="none" w:sz="0" w:space="0" w:color="auto"/>
      </w:divBdr>
    </w:div>
    <w:div w:id="1259098079">
      <w:bodyDiv w:val="1"/>
      <w:marLeft w:val="0"/>
      <w:marRight w:val="0"/>
      <w:marTop w:val="0"/>
      <w:marBottom w:val="0"/>
      <w:divBdr>
        <w:top w:val="none" w:sz="0" w:space="0" w:color="auto"/>
        <w:left w:val="none" w:sz="0" w:space="0" w:color="auto"/>
        <w:bottom w:val="none" w:sz="0" w:space="0" w:color="auto"/>
        <w:right w:val="none" w:sz="0" w:space="0" w:color="auto"/>
      </w:divBdr>
    </w:div>
    <w:div w:id="1273627776">
      <w:bodyDiv w:val="1"/>
      <w:marLeft w:val="0"/>
      <w:marRight w:val="0"/>
      <w:marTop w:val="0"/>
      <w:marBottom w:val="0"/>
      <w:divBdr>
        <w:top w:val="none" w:sz="0" w:space="0" w:color="auto"/>
        <w:left w:val="none" w:sz="0" w:space="0" w:color="auto"/>
        <w:bottom w:val="none" w:sz="0" w:space="0" w:color="auto"/>
        <w:right w:val="none" w:sz="0" w:space="0" w:color="auto"/>
      </w:divBdr>
    </w:div>
    <w:div w:id="1308124839">
      <w:bodyDiv w:val="1"/>
      <w:marLeft w:val="0"/>
      <w:marRight w:val="0"/>
      <w:marTop w:val="0"/>
      <w:marBottom w:val="0"/>
      <w:divBdr>
        <w:top w:val="none" w:sz="0" w:space="0" w:color="auto"/>
        <w:left w:val="none" w:sz="0" w:space="0" w:color="auto"/>
        <w:bottom w:val="none" w:sz="0" w:space="0" w:color="auto"/>
        <w:right w:val="none" w:sz="0" w:space="0" w:color="auto"/>
      </w:divBdr>
    </w:div>
    <w:div w:id="1308782058">
      <w:bodyDiv w:val="1"/>
      <w:marLeft w:val="0"/>
      <w:marRight w:val="0"/>
      <w:marTop w:val="0"/>
      <w:marBottom w:val="0"/>
      <w:divBdr>
        <w:top w:val="none" w:sz="0" w:space="0" w:color="auto"/>
        <w:left w:val="none" w:sz="0" w:space="0" w:color="auto"/>
        <w:bottom w:val="none" w:sz="0" w:space="0" w:color="auto"/>
        <w:right w:val="none" w:sz="0" w:space="0" w:color="auto"/>
      </w:divBdr>
    </w:div>
    <w:div w:id="1322733334">
      <w:bodyDiv w:val="1"/>
      <w:marLeft w:val="0"/>
      <w:marRight w:val="0"/>
      <w:marTop w:val="0"/>
      <w:marBottom w:val="0"/>
      <w:divBdr>
        <w:top w:val="none" w:sz="0" w:space="0" w:color="auto"/>
        <w:left w:val="none" w:sz="0" w:space="0" w:color="auto"/>
        <w:bottom w:val="none" w:sz="0" w:space="0" w:color="auto"/>
        <w:right w:val="none" w:sz="0" w:space="0" w:color="auto"/>
      </w:divBdr>
    </w:div>
    <w:div w:id="1401445783">
      <w:bodyDiv w:val="1"/>
      <w:marLeft w:val="0"/>
      <w:marRight w:val="0"/>
      <w:marTop w:val="0"/>
      <w:marBottom w:val="0"/>
      <w:divBdr>
        <w:top w:val="none" w:sz="0" w:space="0" w:color="auto"/>
        <w:left w:val="none" w:sz="0" w:space="0" w:color="auto"/>
        <w:bottom w:val="none" w:sz="0" w:space="0" w:color="auto"/>
        <w:right w:val="none" w:sz="0" w:space="0" w:color="auto"/>
      </w:divBdr>
    </w:div>
    <w:div w:id="1415977371">
      <w:bodyDiv w:val="1"/>
      <w:marLeft w:val="0"/>
      <w:marRight w:val="0"/>
      <w:marTop w:val="0"/>
      <w:marBottom w:val="0"/>
      <w:divBdr>
        <w:top w:val="none" w:sz="0" w:space="0" w:color="auto"/>
        <w:left w:val="none" w:sz="0" w:space="0" w:color="auto"/>
        <w:bottom w:val="none" w:sz="0" w:space="0" w:color="auto"/>
        <w:right w:val="none" w:sz="0" w:space="0" w:color="auto"/>
      </w:divBdr>
    </w:div>
    <w:div w:id="1516338194">
      <w:bodyDiv w:val="1"/>
      <w:marLeft w:val="0"/>
      <w:marRight w:val="0"/>
      <w:marTop w:val="0"/>
      <w:marBottom w:val="0"/>
      <w:divBdr>
        <w:top w:val="none" w:sz="0" w:space="0" w:color="auto"/>
        <w:left w:val="none" w:sz="0" w:space="0" w:color="auto"/>
        <w:bottom w:val="none" w:sz="0" w:space="0" w:color="auto"/>
        <w:right w:val="none" w:sz="0" w:space="0" w:color="auto"/>
      </w:divBdr>
    </w:div>
    <w:div w:id="1529638097">
      <w:bodyDiv w:val="1"/>
      <w:marLeft w:val="0"/>
      <w:marRight w:val="0"/>
      <w:marTop w:val="0"/>
      <w:marBottom w:val="0"/>
      <w:divBdr>
        <w:top w:val="none" w:sz="0" w:space="0" w:color="auto"/>
        <w:left w:val="none" w:sz="0" w:space="0" w:color="auto"/>
        <w:bottom w:val="none" w:sz="0" w:space="0" w:color="auto"/>
        <w:right w:val="none" w:sz="0" w:space="0" w:color="auto"/>
      </w:divBdr>
    </w:div>
    <w:div w:id="1546528805">
      <w:bodyDiv w:val="1"/>
      <w:marLeft w:val="0"/>
      <w:marRight w:val="0"/>
      <w:marTop w:val="0"/>
      <w:marBottom w:val="0"/>
      <w:divBdr>
        <w:top w:val="none" w:sz="0" w:space="0" w:color="auto"/>
        <w:left w:val="none" w:sz="0" w:space="0" w:color="auto"/>
        <w:bottom w:val="none" w:sz="0" w:space="0" w:color="auto"/>
        <w:right w:val="none" w:sz="0" w:space="0" w:color="auto"/>
      </w:divBdr>
    </w:div>
    <w:div w:id="1568689586">
      <w:bodyDiv w:val="1"/>
      <w:marLeft w:val="0"/>
      <w:marRight w:val="0"/>
      <w:marTop w:val="0"/>
      <w:marBottom w:val="0"/>
      <w:divBdr>
        <w:top w:val="none" w:sz="0" w:space="0" w:color="auto"/>
        <w:left w:val="none" w:sz="0" w:space="0" w:color="auto"/>
        <w:bottom w:val="none" w:sz="0" w:space="0" w:color="auto"/>
        <w:right w:val="none" w:sz="0" w:space="0" w:color="auto"/>
      </w:divBdr>
    </w:div>
    <w:div w:id="1649479197">
      <w:bodyDiv w:val="1"/>
      <w:marLeft w:val="0"/>
      <w:marRight w:val="0"/>
      <w:marTop w:val="0"/>
      <w:marBottom w:val="0"/>
      <w:divBdr>
        <w:top w:val="none" w:sz="0" w:space="0" w:color="auto"/>
        <w:left w:val="none" w:sz="0" w:space="0" w:color="auto"/>
        <w:bottom w:val="none" w:sz="0" w:space="0" w:color="auto"/>
        <w:right w:val="none" w:sz="0" w:space="0" w:color="auto"/>
      </w:divBdr>
    </w:div>
    <w:div w:id="1655521943">
      <w:bodyDiv w:val="1"/>
      <w:marLeft w:val="0"/>
      <w:marRight w:val="0"/>
      <w:marTop w:val="0"/>
      <w:marBottom w:val="0"/>
      <w:divBdr>
        <w:top w:val="none" w:sz="0" w:space="0" w:color="auto"/>
        <w:left w:val="none" w:sz="0" w:space="0" w:color="auto"/>
        <w:bottom w:val="none" w:sz="0" w:space="0" w:color="auto"/>
        <w:right w:val="none" w:sz="0" w:space="0" w:color="auto"/>
      </w:divBdr>
    </w:div>
    <w:div w:id="1656496672">
      <w:bodyDiv w:val="1"/>
      <w:marLeft w:val="0"/>
      <w:marRight w:val="0"/>
      <w:marTop w:val="0"/>
      <w:marBottom w:val="0"/>
      <w:divBdr>
        <w:top w:val="none" w:sz="0" w:space="0" w:color="auto"/>
        <w:left w:val="none" w:sz="0" w:space="0" w:color="auto"/>
        <w:bottom w:val="none" w:sz="0" w:space="0" w:color="auto"/>
        <w:right w:val="none" w:sz="0" w:space="0" w:color="auto"/>
      </w:divBdr>
    </w:div>
    <w:div w:id="1715931026">
      <w:bodyDiv w:val="1"/>
      <w:marLeft w:val="0"/>
      <w:marRight w:val="0"/>
      <w:marTop w:val="0"/>
      <w:marBottom w:val="0"/>
      <w:divBdr>
        <w:top w:val="none" w:sz="0" w:space="0" w:color="auto"/>
        <w:left w:val="none" w:sz="0" w:space="0" w:color="auto"/>
        <w:bottom w:val="none" w:sz="0" w:space="0" w:color="auto"/>
        <w:right w:val="none" w:sz="0" w:space="0" w:color="auto"/>
      </w:divBdr>
    </w:div>
    <w:div w:id="1731806411">
      <w:bodyDiv w:val="1"/>
      <w:marLeft w:val="0"/>
      <w:marRight w:val="0"/>
      <w:marTop w:val="0"/>
      <w:marBottom w:val="0"/>
      <w:divBdr>
        <w:top w:val="none" w:sz="0" w:space="0" w:color="auto"/>
        <w:left w:val="none" w:sz="0" w:space="0" w:color="auto"/>
        <w:bottom w:val="none" w:sz="0" w:space="0" w:color="auto"/>
        <w:right w:val="none" w:sz="0" w:space="0" w:color="auto"/>
      </w:divBdr>
    </w:div>
    <w:div w:id="1737891984">
      <w:bodyDiv w:val="1"/>
      <w:marLeft w:val="0"/>
      <w:marRight w:val="0"/>
      <w:marTop w:val="0"/>
      <w:marBottom w:val="0"/>
      <w:divBdr>
        <w:top w:val="none" w:sz="0" w:space="0" w:color="auto"/>
        <w:left w:val="none" w:sz="0" w:space="0" w:color="auto"/>
        <w:bottom w:val="none" w:sz="0" w:space="0" w:color="auto"/>
        <w:right w:val="none" w:sz="0" w:space="0" w:color="auto"/>
      </w:divBdr>
    </w:div>
    <w:div w:id="1764452459">
      <w:bodyDiv w:val="1"/>
      <w:marLeft w:val="0"/>
      <w:marRight w:val="0"/>
      <w:marTop w:val="0"/>
      <w:marBottom w:val="0"/>
      <w:divBdr>
        <w:top w:val="none" w:sz="0" w:space="0" w:color="auto"/>
        <w:left w:val="none" w:sz="0" w:space="0" w:color="auto"/>
        <w:bottom w:val="none" w:sz="0" w:space="0" w:color="auto"/>
        <w:right w:val="none" w:sz="0" w:space="0" w:color="auto"/>
      </w:divBdr>
    </w:div>
    <w:div w:id="1765104236">
      <w:bodyDiv w:val="1"/>
      <w:marLeft w:val="0"/>
      <w:marRight w:val="0"/>
      <w:marTop w:val="0"/>
      <w:marBottom w:val="0"/>
      <w:divBdr>
        <w:top w:val="none" w:sz="0" w:space="0" w:color="auto"/>
        <w:left w:val="none" w:sz="0" w:space="0" w:color="auto"/>
        <w:bottom w:val="none" w:sz="0" w:space="0" w:color="auto"/>
        <w:right w:val="none" w:sz="0" w:space="0" w:color="auto"/>
      </w:divBdr>
    </w:div>
    <w:div w:id="1787918744">
      <w:bodyDiv w:val="1"/>
      <w:marLeft w:val="0"/>
      <w:marRight w:val="0"/>
      <w:marTop w:val="0"/>
      <w:marBottom w:val="0"/>
      <w:divBdr>
        <w:top w:val="none" w:sz="0" w:space="0" w:color="auto"/>
        <w:left w:val="none" w:sz="0" w:space="0" w:color="auto"/>
        <w:bottom w:val="none" w:sz="0" w:space="0" w:color="auto"/>
        <w:right w:val="none" w:sz="0" w:space="0" w:color="auto"/>
      </w:divBdr>
    </w:div>
    <w:div w:id="1825974910">
      <w:bodyDiv w:val="1"/>
      <w:marLeft w:val="0"/>
      <w:marRight w:val="0"/>
      <w:marTop w:val="0"/>
      <w:marBottom w:val="0"/>
      <w:divBdr>
        <w:top w:val="none" w:sz="0" w:space="0" w:color="auto"/>
        <w:left w:val="none" w:sz="0" w:space="0" w:color="auto"/>
        <w:bottom w:val="none" w:sz="0" w:space="0" w:color="auto"/>
        <w:right w:val="none" w:sz="0" w:space="0" w:color="auto"/>
      </w:divBdr>
    </w:div>
    <w:div w:id="1842964619">
      <w:bodyDiv w:val="1"/>
      <w:marLeft w:val="0"/>
      <w:marRight w:val="0"/>
      <w:marTop w:val="0"/>
      <w:marBottom w:val="0"/>
      <w:divBdr>
        <w:top w:val="none" w:sz="0" w:space="0" w:color="auto"/>
        <w:left w:val="none" w:sz="0" w:space="0" w:color="auto"/>
        <w:bottom w:val="none" w:sz="0" w:space="0" w:color="auto"/>
        <w:right w:val="none" w:sz="0" w:space="0" w:color="auto"/>
      </w:divBdr>
    </w:div>
    <w:div w:id="1859587502">
      <w:bodyDiv w:val="1"/>
      <w:marLeft w:val="0"/>
      <w:marRight w:val="0"/>
      <w:marTop w:val="0"/>
      <w:marBottom w:val="0"/>
      <w:divBdr>
        <w:top w:val="none" w:sz="0" w:space="0" w:color="auto"/>
        <w:left w:val="none" w:sz="0" w:space="0" w:color="auto"/>
        <w:bottom w:val="none" w:sz="0" w:space="0" w:color="auto"/>
        <w:right w:val="none" w:sz="0" w:space="0" w:color="auto"/>
      </w:divBdr>
    </w:div>
    <w:div w:id="1896507402">
      <w:bodyDiv w:val="1"/>
      <w:marLeft w:val="0"/>
      <w:marRight w:val="0"/>
      <w:marTop w:val="0"/>
      <w:marBottom w:val="0"/>
      <w:divBdr>
        <w:top w:val="none" w:sz="0" w:space="0" w:color="auto"/>
        <w:left w:val="none" w:sz="0" w:space="0" w:color="auto"/>
        <w:bottom w:val="none" w:sz="0" w:space="0" w:color="auto"/>
        <w:right w:val="none" w:sz="0" w:space="0" w:color="auto"/>
      </w:divBdr>
    </w:div>
    <w:div w:id="1902059532">
      <w:bodyDiv w:val="1"/>
      <w:marLeft w:val="0"/>
      <w:marRight w:val="0"/>
      <w:marTop w:val="0"/>
      <w:marBottom w:val="0"/>
      <w:divBdr>
        <w:top w:val="none" w:sz="0" w:space="0" w:color="auto"/>
        <w:left w:val="none" w:sz="0" w:space="0" w:color="auto"/>
        <w:bottom w:val="none" w:sz="0" w:space="0" w:color="auto"/>
        <w:right w:val="none" w:sz="0" w:space="0" w:color="auto"/>
      </w:divBdr>
    </w:div>
    <w:div w:id="1908343853">
      <w:bodyDiv w:val="1"/>
      <w:marLeft w:val="0"/>
      <w:marRight w:val="0"/>
      <w:marTop w:val="0"/>
      <w:marBottom w:val="0"/>
      <w:divBdr>
        <w:top w:val="none" w:sz="0" w:space="0" w:color="auto"/>
        <w:left w:val="none" w:sz="0" w:space="0" w:color="auto"/>
        <w:bottom w:val="none" w:sz="0" w:space="0" w:color="auto"/>
        <w:right w:val="none" w:sz="0" w:space="0" w:color="auto"/>
      </w:divBdr>
    </w:div>
    <w:div w:id="1910458171">
      <w:bodyDiv w:val="1"/>
      <w:marLeft w:val="0"/>
      <w:marRight w:val="0"/>
      <w:marTop w:val="0"/>
      <w:marBottom w:val="0"/>
      <w:divBdr>
        <w:top w:val="none" w:sz="0" w:space="0" w:color="auto"/>
        <w:left w:val="none" w:sz="0" w:space="0" w:color="auto"/>
        <w:bottom w:val="none" w:sz="0" w:space="0" w:color="auto"/>
        <w:right w:val="none" w:sz="0" w:space="0" w:color="auto"/>
      </w:divBdr>
    </w:div>
    <w:div w:id="1954897859">
      <w:bodyDiv w:val="1"/>
      <w:marLeft w:val="0"/>
      <w:marRight w:val="0"/>
      <w:marTop w:val="0"/>
      <w:marBottom w:val="0"/>
      <w:divBdr>
        <w:top w:val="none" w:sz="0" w:space="0" w:color="auto"/>
        <w:left w:val="none" w:sz="0" w:space="0" w:color="auto"/>
        <w:bottom w:val="none" w:sz="0" w:space="0" w:color="auto"/>
        <w:right w:val="none" w:sz="0" w:space="0" w:color="auto"/>
      </w:divBdr>
    </w:div>
    <w:div w:id="1969896335">
      <w:bodyDiv w:val="1"/>
      <w:marLeft w:val="0"/>
      <w:marRight w:val="0"/>
      <w:marTop w:val="0"/>
      <w:marBottom w:val="0"/>
      <w:divBdr>
        <w:top w:val="none" w:sz="0" w:space="0" w:color="auto"/>
        <w:left w:val="none" w:sz="0" w:space="0" w:color="auto"/>
        <w:bottom w:val="none" w:sz="0" w:space="0" w:color="auto"/>
        <w:right w:val="none" w:sz="0" w:space="0" w:color="auto"/>
      </w:divBdr>
    </w:div>
    <w:div w:id="1986932122">
      <w:bodyDiv w:val="1"/>
      <w:marLeft w:val="0"/>
      <w:marRight w:val="0"/>
      <w:marTop w:val="0"/>
      <w:marBottom w:val="0"/>
      <w:divBdr>
        <w:top w:val="none" w:sz="0" w:space="0" w:color="auto"/>
        <w:left w:val="none" w:sz="0" w:space="0" w:color="auto"/>
        <w:bottom w:val="none" w:sz="0" w:space="0" w:color="auto"/>
        <w:right w:val="none" w:sz="0" w:space="0" w:color="auto"/>
      </w:divBdr>
    </w:div>
    <w:div w:id="2031682606">
      <w:bodyDiv w:val="1"/>
      <w:marLeft w:val="0"/>
      <w:marRight w:val="0"/>
      <w:marTop w:val="0"/>
      <w:marBottom w:val="0"/>
      <w:divBdr>
        <w:top w:val="none" w:sz="0" w:space="0" w:color="auto"/>
        <w:left w:val="none" w:sz="0" w:space="0" w:color="auto"/>
        <w:bottom w:val="none" w:sz="0" w:space="0" w:color="auto"/>
        <w:right w:val="none" w:sz="0" w:space="0" w:color="auto"/>
      </w:divBdr>
    </w:div>
    <w:div w:id="2034452280">
      <w:bodyDiv w:val="1"/>
      <w:marLeft w:val="0"/>
      <w:marRight w:val="0"/>
      <w:marTop w:val="0"/>
      <w:marBottom w:val="0"/>
      <w:divBdr>
        <w:top w:val="none" w:sz="0" w:space="0" w:color="auto"/>
        <w:left w:val="none" w:sz="0" w:space="0" w:color="auto"/>
        <w:bottom w:val="none" w:sz="0" w:space="0" w:color="auto"/>
        <w:right w:val="none" w:sz="0" w:space="0" w:color="auto"/>
      </w:divBdr>
    </w:div>
    <w:div w:id="2044208569">
      <w:bodyDiv w:val="1"/>
      <w:marLeft w:val="0"/>
      <w:marRight w:val="0"/>
      <w:marTop w:val="0"/>
      <w:marBottom w:val="0"/>
      <w:divBdr>
        <w:top w:val="none" w:sz="0" w:space="0" w:color="auto"/>
        <w:left w:val="none" w:sz="0" w:space="0" w:color="auto"/>
        <w:bottom w:val="none" w:sz="0" w:space="0" w:color="auto"/>
        <w:right w:val="none" w:sz="0" w:space="0" w:color="auto"/>
      </w:divBdr>
    </w:div>
    <w:div w:id="2054500867">
      <w:bodyDiv w:val="1"/>
      <w:marLeft w:val="0"/>
      <w:marRight w:val="0"/>
      <w:marTop w:val="0"/>
      <w:marBottom w:val="0"/>
      <w:divBdr>
        <w:top w:val="none" w:sz="0" w:space="0" w:color="auto"/>
        <w:left w:val="none" w:sz="0" w:space="0" w:color="auto"/>
        <w:bottom w:val="none" w:sz="0" w:space="0" w:color="auto"/>
        <w:right w:val="none" w:sz="0" w:space="0" w:color="auto"/>
      </w:divBdr>
    </w:div>
    <w:div w:id="2067409460">
      <w:bodyDiv w:val="1"/>
      <w:marLeft w:val="0"/>
      <w:marRight w:val="0"/>
      <w:marTop w:val="0"/>
      <w:marBottom w:val="0"/>
      <w:divBdr>
        <w:top w:val="none" w:sz="0" w:space="0" w:color="auto"/>
        <w:left w:val="none" w:sz="0" w:space="0" w:color="auto"/>
        <w:bottom w:val="none" w:sz="0" w:space="0" w:color="auto"/>
        <w:right w:val="none" w:sz="0" w:space="0" w:color="auto"/>
      </w:divBdr>
    </w:div>
    <w:div w:id="2092197523">
      <w:bodyDiv w:val="1"/>
      <w:marLeft w:val="0"/>
      <w:marRight w:val="0"/>
      <w:marTop w:val="0"/>
      <w:marBottom w:val="0"/>
      <w:divBdr>
        <w:top w:val="none" w:sz="0" w:space="0" w:color="auto"/>
        <w:left w:val="none" w:sz="0" w:space="0" w:color="auto"/>
        <w:bottom w:val="none" w:sz="0" w:space="0" w:color="auto"/>
        <w:right w:val="none" w:sz="0" w:space="0" w:color="auto"/>
      </w:divBdr>
    </w:div>
    <w:div w:id="2097751184">
      <w:bodyDiv w:val="1"/>
      <w:marLeft w:val="0"/>
      <w:marRight w:val="0"/>
      <w:marTop w:val="0"/>
      <w:marBottom w:val="0"/>
      <w:divBdr>
        <w:top w:val="none" w:sz="0" w:space="0" w:color="auto"/>
        <w:left w:val="none" w:sz="0" w:space="0" w:color="auto"/>
        <w:bottom w:val="none" w:sz="0" w:space="0" w:color="auto"/>
        <w:right w:val="none" w:sz="0" w:space="0" w:color="auto"/>
      </w:divBdr>
    </w:div>
    <w:div w:id="2102724960">
      <w:bodyDiv w:val="1"/>
      <w:marLeft w:val="0"/>
      <w:marRight w:val="0"/>
      <w:marTop w:val="0"/>
      <w:marBottom w:val="0"/>
      <w:divBdr>
        <w:top w:val="none" w:sz="0" w:space="0" w:color="auto"/>
        <w:left w:val="none" w:sz="0" w:space="0" w:color="auto"/>
        <w:bottom w:val="none" w:sz="0" w:space="0" w:color="auto"/>
        <w:right w:val="none" w:sz="0" w:space="0" w:color="auto"/>
      </w:divBdr>
    </w:div>
    <w:div w:id="2107655570">
      <w:bodyDiv w:val="1"/>
      <w:marLeft w:val="0"/>
      <w:marRight w:val="0"/>
      <w:marTop w:val="0"/>
      <w:marBottom w:val="0"/>
      <w:divBdr>
        <w:top w:val="none" w:sz="0" w:space="0" w:color="auto"/>
        <w:left w:val="none" w:sz="0" w:space="0" w:color="auto"/>
        <w:bottom w:val="none" w:sz="0" w:space="0" w:color="auto"/>
        <w:right w:val="none" w:sz="0" w:space="0" w:color="auto"/>
      </w:divBdr>
    </w:div>
    <w:div w:id="2111123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Insert text</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be46721a9c1ae8c6f46effe8d9323fd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0d1eba7f32fb5cb9abcb2156ff2723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Bri25</b:Tag>
    <b:SourceType>InternetSite</b:SourceType>
    <b:Guid>{1ACC9E8F-3B61-4651-A96D-32013D20FC04}</b:Guid>
    <b:Title>SA80 Idividual Weapon</b:Title>
    <b:YearAccessed>2025</b:YearAccessed>
    <b:MonthAccessed>03</b:MonthAccessed>
    <b:DayAccessed>15</b:DayAccessed>
    <b:URL>https://www.army.mod.uk/learn-and-explore/equipment/small-arms-and-support-weapons/sa80-individual-weapon/#:~:text=SA80%20is%20the%20designation%20for,British%20Army's%20standard%20combat%20weapons.</b:URL>
    <b:Author>
      <b:Author>
        <b:Corporate>British Army</b:Corporate>
      </b:Author>
    </b:Author>
    <b:InternetSiteTitle>www.army.mod.uk</b:InternetSiteTitle>
    <b:RefOrder>1</b:RefOrder>
  </b:Source>
  <b:Source>
    <b:Tag>Min24</b:Tag>
    <b:SourceType>Misc</b:SourceType>
    <b:Guid>{8EF205A3-F691-4B35-B0A1-5A95654D5D5D}</b:Guid>
    <b:Title>Policy Statement by the Secretary of State for Defence</b:Title>
    <b:Year>2024</b:Year>
    <b:YearAccessed>2025</b:YearAccessed>
    <b:MonthAccessed>03</b:MonthAccessed>
    <b:DayAccessed>15</b:DayAccessed>
    <b:URL>https://assets.publishing.service.gov.uk/media/6595330c01760d00135cf9d4/Sofs_HSE_in_Defence_Policy_Statement.pdf</b:URL>
    <b:Author>
      <b:Author>
        <b:Corporate>Ministry of Defence (MoD)</b:Corporate>
      </b:Author>
    </b:Author>
    <b:Month>January</b:Month>
    <b:Day>2</b:Day>
    <b:RefOrder>2</b:RefOrder>
  </b:Source>
  <b:Source>
    <b:Tag>Def02</b:Tag>
    <b:SourceType>DocumentFromInternetSite</b:SourceType>
    <b:Guid>{FCD0EE79-6BD8-41B5-9ED4-3A63C12A9C4B}</b:Guid>
    <b:Title>DSA 02. OME</b:Title>
    <b:Year>202</b:Year>
    <b:Month>June</b:Month>
    <b:Day>18</b:Day>
    <b:YearAccessed>2025</b:YearAccessed>
    <b:MonthAccessed>March</b:MonthAccessed>
    <b:DayAccessed>15</b:DayAccessed>
    <b:URL>https://assets.publishing.service.gov.uk/media/66e2bed04e4ac20112e6fbe0/DSA02.OME_regulations.pdf</b:URL>
    <b:Author>
      <b:Author>
        <b:Corporate>Defence Safety Authority</b:Corporate>
      </b:Author>
    </b:Author>
    <b:RefOrder>3</b:RefOrder>
  </b:Source>
  <b:Source>
    <b:Tag>Def20</b:Tag>
    <b:SourceType>DocumentFromInternetSite</b:SourceType>
    <b:Guid>{DFF6EFBD-D556-4DE7-8F2D-C630FC8DF6B9}</b:Guid>
    <b:Author>
      <b:Author>
        <b:Corporate>Defence Safety Authority</b:Corporate>
      </b:Author>
    </b:Author>
    <b:Title>DSA 03 OME part 2: In-Service and Operational Safety Management of OME</b:Title>
    <b:Year>2020</b:Year>
    <b:Month>June</b:Month>
    <b:Day>18</b:Day>
    <b:YearAccessed>2025</b:YearAccessed>
    <b:MonthAccessed>March</b:MonthAccessed>
    <b:DayAccessed>15</b:DayAccessed>
    <b:URL>https://www.gov.uk/government/publications/dsa03-ome-part-2-in-service-and-operational-safety-management-of-ome</b:URL>
    <b:RefOrder>4</b:RefOrder>
  </b:Source>
  <b:Source>
    <b:Tag>HSE14</b:Tag>
    <b:SourceType>DocumentFromInternetSite</b:SourceType>
    <b:Guid>{87862150-3402-437E-AF18-7475741AB4D3}</b:Guid>
    <b:Title>The Explosives Regulations 2014</b:Title>
    <b:Year>2014</b:Year>
    <b:Month>June</b:Month>
    <b:Day>23</b:Day>
    <b:YearAccessed>2025</b:YearAccessed>
    <b:MonthAccessed>March</b:MonthAccessed>
    <b:DayAccessed>15</b:DayAccessed>
    <b:URL>https://www.legislation.gov.uk/uksi/2014/1638/made</b:URL>
    <b:Author>
      <b:Author>
        <b:Corporate>HSE</b:Corporate>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491700-002D-4301-A8D2-9FEBE5F4A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0156C1-BF69-432F-98C5-CE8808D8D57A}">
  <ds:schemaRefs>
    <ds:schemaRef ds:uri="http://schemas.microsoft.com/sharepoint/v3/contenttype/forms"/>
  </ds:schemaRefs>
</ds:datastoreItem>
</file>

<file path=customXml/itemProps4.xml><?xml version="1.0" encoding="utf-8"?>
<ds:datastoreItem xmlns:ds="http://schemas.openxmlformats.org/officeDocument/2006/customXml" ds:itemID="{5A4FB494-F326-449F-8065-3FC5E8A30E51}">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72CC5A70-3B23-4977-A3D2-0C5187456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10</Pages>
  <Words>1485</Words>
  <Characters>8499</Characters>
  <Application>Microsoft Office Word</Application>
  <DocSecurity>0</DocSecurity>
  <Lines>242</Lines>
  <Paragraphs>131</Paragraphs>
  <ScaleCrop>false</ScaleCrop>
  <HeadingPairs>
    <vt:vector size="2" baseType="variant">
      <vt:variant>
        <vt:lpstr>Title</vt:lpstr>
      </vt:variant>
      <vt:variant>
        <vt:i4>1</vt:i4>
      </vt:variant>
    </vt:vector>
  </HeadingPairs>
  <TitlesOfParts>
    <vt:vector size="1" baseType="lpstr">
      <vt:lpstr>Safety justification</vt:lpstr>
    </vt:vector>
  </TitlesOfParts>
  <Company/>
  <LinksUpToDate>false</LinksUpToDate>
  <CharactersWithSpaces>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justification</dc:title>
  <dc:subject>Safety &amp; Hazard Assessment ACDB5013</dc:subject>
  <dc:creator>Rachel McColm</dc:creator>
  <cp:keywords/>
  <dc:description/>
  <cp:lastModifiedBy>Rachel McColm</cp:lastModifiedBy>
  <cp:revision>7</cp:revision>
  <dcterms:created xsi:type="dcterms:W3CDTF">2025-03-28T16:19:00Z</dcterms:created>
  <dcterms:modified xsi:type="dcterms:W3CDTF">2025-03-29T10:29:00Z</dcterms:modified>
  <cp:category>2223157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