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CD22D" w14:textId="77777777" w:rsidR="00E90A8C" w:rsidRPr="00D32F70" w:rsidRDefault="00E90A8C" w:rsidP="00973CC7">
      <w:pPr>
        <w:jc w:val="both"/>
        <w:rPr>
          <w:rFonts w:ascii="Arial" w:hAnsi="Arial" w:cs="Arial"/>
          <w:noProof/>
          <w:color w:val="000000" w:themeColor="text1"/>
        </w:rPr>
      </w:pPr>
    </w:p>
    <w:p w14:paraId="4917EE40" w14:textId="77777777" w:rsidR="00E90A8C" w:rsidRPr="00D32F70" w:rsidRDefault="00E90A8C" w:rsidP="00973CC7">
      <w:pPr>
        <w:jc w:val="both"/>
        <w:rPr>
          <w:rFonts w:ascii="Arial" w:hAnsi="Arial" w:cs="Arial"/>
        </w:rPr>
      </w:pPr>
      <w:r w:rsidRPr="00D32F70">
        <w:rPr>
          <w:rFonts w:ascii="Arial" w:hAnsi="Arial" w:cs="Arial"/>
          <w:noProof/>
          <w:color w:val="000000" w:themeColor="text1"/>
        </w:rPr>
        <w:drawing>
          <wp:inline distT="0" distB="0" distL="85723" distR="85723" wp14:anchorId="2F59358B" wp14:editId="0C67F362">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pic:cNvPicPr/>
                  </pic:nvPicPr>
                  <pic:blipFill>
                    <a:blip r:embed="rId5"/>
                    <a:stretch>
                      <a:fillRect/>
                    </a:stretch>
                  </pic:blipFill>
                  <pic:spPr>
                    <a:xfrm>
                      <a:off x="0" y="0"/>
                      <a:ext cx="2650417" cy="969560"/>
                    </a:xfrm>
                    <a:prstGeom prst="rect">
                      <a:avLst/>
                    </a:prstGeom>
                    <a:noFill/>
                    <a:ln w="12700" cap="flat" cmpd="sng">
                      <a:noFill/>
                      <a:prstDash val="solid"/>
                      <a:miter/>
                    </a:ln>
                  </pic:spPr>
                </pic:pic>
              </a:graphicData>
            </a:graphic>
          </wp:inline>
        </w:drawing>
      </w:r>
    </w:p>
    <w:p w14:paraId="361BE84A" w14:textId="77777777" w:rsidR="00E90A8C" w:rsidRPr="00D32F70" w:rsidRDefault="00E90A8C" w:rsidP="00973CC7">
      <w:pPr>
        <w:jc w:val="both"/>
        <w:rPr>
          <w:rFonts w:ascii="Arial" w:hAnsi="Arial" w:cs="Arial"/>
        </w:rPr>
      </w:pPr>
    </w:p>
    <w:p w14:paraId="67AB2CF5" w14:textId="77777777" w:rsidR="00E90A8C" w:rsidRPr="00D32F70" w:rsidRDefault="00E90A8C" w:rsidP="00973CC7">
      <w:pPr>
        <w:jc w:val="both"/>
        <w:rPr>
          <w:rFonts w:ascii="Arial" w:hAnsi="Arial" w:cs="Arial"/>
        </w:rPr>
      </w:pPr>
    </w:p>
    <w:p w14:paraId="2CE8972F" w14:textId="77777777" w:rsidR="00E90A8C" w:rsidRPr="00D32F70" w:rsidRDefault="00E90A8C" w:rsidP="00973CC7">
      <w:pPr>
        <w:jc w:val="both"/>
        <w:rPr>
          <w:rFonts w:ascii="Arial" w:hAnsi="Arial" w:cs="Arial"/>
        </w:rPr>
      </w:pPr>
    </w:p>
    <w:p w14:paraId="71FCBA4A" w14:textId="77777777" w:rsidR="00E90A8C" w:rsidRPr="00D32F70" w:rsidRDefault="00E90A8C" w:rsidP="00973CC7">
      <w:pPr>
        <w:jc w:val="both"/>
        <w:rPr>
          <w:rFonts w:ascii="Arial" w:hAnsi="Arial" w:cs="Arial"/>
        </w:rPr>
      </w:pPr>
    </w:p>
    <w:p w14:paraId="0783AF62" w14:textId="77777777" w:rsidR="00E90A8C" w:rsidRPr="00D32F70" w:rsidRDefault="00E90A8C" w:rsidP="00516D35">
      <w:pPr>
        <w:jc w:val="center"/>
        <w:rPr>
          <w:rFonts w:ascii="Arial" w:hAnsi="Arial" w:cs="Arial"/>
        </w:rPr>
      </w:pPr>
    </w:p>
    <w:p w14:paraId="61EBF7E0" w14:textId="63D74E47" w:rsidR="00E90A8C" w:rsidRPr="00D32F70" w:rsidRDefault="00E90A8C" w:rsidP="00516D35">
      <w:pPr>
        <w:spacing w:line="360" w:lineRule="auto"/>
        <w:jc w:val="center"/>
        <w:rPr>
          <w:rFonts w:ascii="Arial" w:hAnsi="Arial" w:cs="Arial"/>
          <w:b/>
          <w:bCs/>
          <w:color w:val="000000" w:themeColor="text1"/>
        </w:rPr>
      </w:pPr>
      <w:r w:rsidRPr="00D32F70">
        <w:rPr>
          <w:rFonts w:ascii="Arial" w:hAnsi="Arial" w:cs="Arial"/>
          <w:b/>
          <w:bCs/>
          <w:color w:val="000000" w:themeColor="text1"/>
        </w:rPr>
        <w:t xml:space="preserve">QUALITY ASSURANCE AND SERVICE IMPROVEMENT </w:t>
      </w:r>
    </w:p>
    <w:p w14:paraId="34912BD6" w14:textId="77777777" w:rsidR="00E90A8C" w:rsidRPr="00D32F70" w:rsidRDefault="00E90A8C" w:rsidP="00516D35">
      <w:pPr>
        <w:spacing w:line="360" w:lineRule="auto"/>
        <w:jc w:val="center"/>
        <w:rPr>
          <w:rFonts w:ascii="Arial" w:hAnsi="Arial" w:cs="Arial"/>
          <w:b/>
          <w:bCs/>
          <w:color w:val="000000" w:themeColor="text1"/>
        </w:rPr>
      </w:pPr>
      <w:r w:rsidRPr="00D32F70">
        <w:rPr>
          <w:rFonts w:ascii="Arial" w:hAnsi="Arial" w:cs="Arial"/>
          <w:b/>
          <w:bCs/>
          <w:color w:val="000000" w:themeColor="text1"/>
        </w:rPr>
        <w:t>SERVICE IMPROVEMENT REPORT</w:t>
      </w:r>
    </w:p>
    <w:p w14:paraId="404B73F4" w14:textId="77777777" w:rsidR="00E90A8C" w:rsidRPr="00D32F70" w:rsidRDefault="00E90A8C" w:rsidP="00516D35">
      <w:pPr>
        <w:spacing w:line="360" w:lineRule="auto"/>
        <w:jc w:val="center"/>
        <w:rPr>
          <w:rFonts w:ascii="Arial" w:hAnsi="Arial" w:cs="Arial"/>
          <w:b/>
          <w:bCs/>
          <w:color w:val="000000" w:themeColor="text1"/>
        </w:rPr>
      </w:pPr>
    </w:p>
    <w:p w14:paraId="0B84B084" w14:textId="77777777" w:rsidR="00516D35" w:rsidRPr="00D32F70" w:rsidRDefault="00E90A8C" w:rsidP="00516D35">
      <w:pPr>
        <w:jc w:val="center"/>
        <w:rPr>
          <w:rFonts w:ascii="Arial" w:hAnsi="Arial" w:cs="Arial"/>
          <w:lang w:val="en-US"/>
        </w:rPr>
      </w:pPr>
      <w:r w:rsidRPr="00D32F70">
        <w:rPr>
          <w:rFonts w:ascii="Arial" w:hAnsi="Arial" w:cs="Arial"/>
          <w:b/>
          <w:bCs/>
          <w:color w:val="000000" w:themeColor="text1"/>
        </w:rPr>
        <w:t xml:space="preserve">Topic: </w:t>
      </w:r>
      <w:r w:rsidR="00516D35" w:rsidRPr="00D32F70">
        <w:rPr>
          <w:rFonts w:ascii="Arial" w:hAnsi="Arial" w:cs="Arial"/>
          <w:lang w:val="en-US"/>
        </w:rPr>
        <w:t>Surgical Error in the UK NHS – Wrong-Site Surgery (Never Event)</w:t>
      </w:r>
    </w:p>
    <w:p w14:paraId="4D8E71E2" w14:textId="7C7480DB" w:rsidR="00E90A8C" w:rsidRPr="00D32F70" w:rsidRDefault="00E90A8C" w:rsidP="00516D35">
      <w:pPr>
        <w:spacing w:line="360" w:lineRule="auto"/>
        <w:jc w:val="center"/>
        <w:rPr>
          <w:rFonts w:ascii="Arial" w:hAnsi="Arial" w:cs="Arial"/>
          <w:color w:val="000000" w:themeColor="text1"/>
        </w:rPr>
      </w:pPr>
    </w:p>
    <w:p w14:paraId="6CB3BB46" w14:textId="77777777" w:rsidR="00E90A8C" w:rsidRPr="00D32F70" w:rsidRDefault="00E90A8C" w:rsidP="00973CC7">
      <w:pPr>
        <w:spacing w:line="360" w:lineRule="auto"/>
        <w:jc w:val="both"/>
        <w:rPr>
          <w:rFonts w:ascii="Arial" w:hAnsi="Arial" w:cs="Arial"/>
          <w:color w:val="000000" w:themeColor="text1"/>
        </w:rPr>
      </w:pPr>
    </w:p>
    <w:p w14:paraId="462453E8" w14:textId="77777777" w:rsidR="00E90A8C" w:rsidRPr="00D32F70" w:rsidRDefault="00E90A8C" w:rsidP="00973CC7">
      <w:pPr>
        <w:spacing w:line="360" w:lineRule="auto"/>
        <w:jc w:val="both"/>
        <w:rPr>
          <w:rFonts w:ascii="Arial" w:hAnsi="Arial" w:cs="Arial"/>
          <w:color w:val="000000" w:themeColor="text1"/>
        </w:rPr>
      </w:pPr>
    </w:p>
    <w:p w14:paraId="7AB3BF46" w14:textId="77777777" w:rsidR="00E90A8C" w:rsidRPr="00D32F70" w:rsidRDefault="00E90A8C" w:rsidP="00973CC7">
      <w:pPr>
        <w:spacing w:line="360" w:lineRule="auto"/>
        <w:jc w:val="both"/>
        <w:rPr>
          <w:rFonts w:ascii="Arial" w:hAnsi="Arial" w:cs="Arial"/>
          <w:color w:val="000000" w:themeColor="text1"/>
        </w:rPr>
      </w:pPr>
      <w:bookmarkStart w:id="0" w:name="_Hlk184973057"/>
      <w:r w:rsidRPr="00D32F70">
        <w:rPr>
          <w:rFonts w:ascii="Arial" w:hAnsi="Arial" w:cs="Arial"/>
          <w:b/>
          <w:bCs/>
          <w:color w:val="000000" w:themeColor="text1"/>
        </w:rPr>
        <w:t>Programme:</w:t>
      </w:r>
      <w:r w:rsidRPr="00D32F70">
        <w:rPr>
          <w:rFonts w:ascii="Arial" w:hAnsi="Arial" w:cs="Arial"/>
          <w:color w:val="000000" w:themeColor="text1"/>
        </w:rPr>
        <w:t xml:space="preserve"> MSc Public Health and Social Care in Practice</w:t>
      </w:r>
    </w:p>
    <w:p w14:paraId="5CBDD205" w14:textId="77777777" w:rsidR="00E90A8C" w:rsidRPr="00D32F70" w:rsidRDefault="00E90A8C" w:rsidP="00973CC7">
      <w:pPr>
        <w:spacing w:line="360" w:lineRule="auto"/>
        <w:jc w:val="both"/>
        <w:rPr>
          <w:rFonts w:ascii="Arial" w:hAnsi="Arial" w:cs="Arial"/>
          <w:color w:val="000000" w:themeColor="text1"/>
        </w:rPr>
      </w:pPr>
      <w:r w:rsidRPr="00D32F70">
        <w:rPr>
          <w:rFonts w:ascii="Arial" w:hAnsi="Arial" w:cs="Arial"/>
          <w:b/>
          <w:bCs/>
          <w:color w:val="000000" w:themeColor="text1"/>
        </w:rPr>
        <w:t>Module name:</w:t>
      </w:r>
      <w:r w:rsidRPr="00D32F70">
        <w:rPr>
          <w:rFonts w:ascii="Arial" w:hAnsi="Arial" w:cs="Arial"/>
          <w:color w:val="000000" w:themeColor="text1"/>
        </w:rPr>
        <w:t xml:space="preserve"> Quality Assurance and Service Improvement</w:t>
      </w:r>
    </w:p>
    <w:p w14:paraId="792EF1BD" w14:textId="77777777" w:rsidR="00E90A8C" w:rsidRPr="00D32F70" w:rsidRDefault="00E90A8C" w:rsidP="00973CC7">
      <w:pPr>
        <w:spacing w:line="360" w:lineRule="auto"/>
        <w:jc w:val="both"/>
        <w:rPr>
          <w:rFonts w:ascii="Arial" w:hAnsi="Arial" w:cs="Arial"/>
          <w:b/>
          <w:bCs/>
          <w:color w:val="000000" w:themeColor="text1"/>
        </w:rPr>
      </w:pPr>
      <w:r w:rsidRPr="00D32F70">
        <w:rPr>
          <w:rFonts w:ascii="Arial" w:hAnsi="Arial" w:cs="Arial"/>
          <w:b/>
          <w:bCs/>
          <w:color w:val="000000" w:themeColor="text1"/>
        </w:rPr>
        <w:t xml:space="preserve">Module code: </w:t>
      </w:r>
    </w:p>
    <w:p w14:paraId="18FCDD64" w14:textId="77777777" w:rsidR="00E90A8C" w:rsidRPr="00D32F70" w:rsidRDefault="00E90A8C" w:rsidP="00973CC7">
      <w:pPr>
        <w:spacing w:line="360" w:lineRule="auto"/>
        <w:jc w:val="both"/>
        <w:rPr>
          <w:rFonts w:ascii="Arial" w:hAnsi="Arial" w:cs="Arial"/>
          <w:b/>
          <w:bCs/>
          <w:color w:val="000000" w:themeColor="text1"/>
        </w:rPr>
      </w:pPr>
      <w:r w:rsidRPr="00D32F70">
        <w:rPr>
          <w:rFonts w:ascii="Arial" w:hAnsi="Arial" w:cs="Arial"/>
          <w:b/>
          <w:bCs/>
          <w:color w:val="000000" w:themeColor="text1"/>
        </w:rPr>
        <w:t xml:space="preserve">Student name: </w:t>
      </w:r>
    </w:p>
    <w:p w14:paraId="37C61760" w14:textId="77777777" w:rsidR="00E90A8C" w:rsidRPr="00D32F70" w:rsidRDefault="00E90A8C" w:rsidP="00973CC7">
      <w:pPr>
        <w:spacing w:line="360" w:lineRule="auto"/>
        <w:jc w:val="both"/>
        <w:rPr>
          <w:rFonts w:ascii="Arial" w:hAnsi="Arial" w:cs="Arial"/>
          <w:b/>
          <w:bCs/>
          <w:color w:val="000000" w:themeColor="text1"/>
        </w:rPr>
      </w:pPr>
      <w:r w:rsidRPr="00D32F70">
        <w:rPr>
          <w:rFonts w:ascii="Arial" w:hAnsi="Arial" w:cs="Arial"/>
          <w:b/>
          <w:bCs/>
          <w:color w:val="000000" w:themeColor="text1"/>
        </w:rPr>
        <w:t xml:space="preserve">Student ID: </w:t>
      </w:r>
    </w:p>
    <w:p w14:paraId="457B93BE" w14:textId="77777777" w:rsidR="00E90A8C" w:rsidRPr="00D32F70" w:rsidRDefault="00E90A8C" w:rsidP="00973CC7">
      <w:pPr>
        <w:spacing w:line="360" w:lineRule="auto"/>
        <w:jc w:val="both"/>
        <w:rPr>
          <w:rFonts w:ascii="Arial" w:hAnsi="Arial" w:cs="Arial"/>
          <w:b/>
          <w:bCs/>
          <w:color w:val="000000" w:themeColor="text1"/>
        </w:rPr>
      </w:pPr>
      <w:r w:rsidRPr="00D32F70">
        <w:rPr>
          <w:rFonts w:ascii="Arial" w:hAnsi="Arial" w:cs="Arial"/>
          <w:b/>
          <w:bCs/>
          <w:color w:val="000000" w:themeColor="text1"/>
        </w:rPr>
        <w:t xml:space="preserve">Lecturer: </w:t>
      </w:r>
    </w:p>
    <w:bookmarkEnd w:id="0"/>
    <w:p w14:paraId="30DFC002" w14:textId="77777777" w:rsidR="00E90A8C" w:rsidRPr="00D32F70" w:rsidRDefault="00E90A8C" w:rsidP="00973CC7">
      <w:pPr>
        <w:spacing w:line="360" w:lineRule="auto"/>
        <w:jc w:val="both"/>
        <w:rPr>
          <w:rFonts w:ascii="Arial" w:hAnsi="Arial" w:cs="Arial"/>
          <w:color w:val="000000" w:themeColor="text1"/>
        </w:rPr>
      </w:pPr>
    </w:p>
    <w:p w14:paraId="12D5DA5B" w14:textId="77777777" w:rsidR="00E90A8C" w:rsidRPr="00D32F70" w:rsidRDefault="00E90A8C" w:rsidP="00973CC7">
      <w:pPr>
        <w:spacing w:line="360" w:lineRule="auto"/>
        <w:jc w:val="both"/>
        <w:rPr>
          <w:rFonts w:ascii="Arial" w:hAnsi="Arial" w:cs="Arial"/>
          <w:color w:val="000000" w:themeColor="text1"/>
        </w:rPr>
      </w:pPr>
    </w:p>
    <w:p w14:paraId="4C0C9E9F" w14:textId="77777777" w:rsidR="00E90A8C" w:rsidRPr="00D32F70" w:rsidRDefault="00E90A8C" w:rsidP="00973CC7">
      <w:pPr>
        <w:spacing w:line="360" w:lineRule="auto"/>
        <w:jc w:val="both"/>
        <w:rPr>
          <w:rFonts w:ascii="Arial" w:hAnsi="Arial" w:cs="Arial"/>
          <w:color w:val="000000" w:themeColor="text1"/>
        </w:rPr>
      </w:pPr>
    </w:p>
    <w:p w14:paraId="320C53DC" w14:textId="268CD3C8" w:rsidR="00E90A8C" w:rsidRPr="00E90A8C" w:rsidRDefault="00E90A8C" w:rsidP="00973CC7">
      <w:pPr>
        <w:spacing w:line="360" w:lineRule="auto"/>
        <w:jc w:val="both"/>
        <w:rPr>
          <w:rFonts w:ascii="Arial" w:hAnsi="Arial" w:cs="Arial"/>
          <w:b/>
          <w:bCs/>
          <w:color w:val="000000" w:themeColor="text1"/>
        </w:rPr>
      </w:pPr>
      <w:r w:rsidRPr="00E90A8C">
        <w:rPr>
          <w:rFonts w:ascii="Arial" w:hAnsi="Arial" w:cs="Arial"/>
          <w:b/>
          <w:bCs/>
          <w:color w:val="000000" w:themeColor="text1"/>
        </w:rPr>
        <w:lastRenderedPageBreak/>
        <w:t xml:space="preserve">1. Introduction </w:t>
      </w:r>
    </w:p>
    <w:p w14:paraId="110D1F2C" w14:textId="2A6BBEC0" w:rsidR="005C2043" w:rsidRPr="005C2043" w:rsidRDefault="005C2043" w:rsidP="005C2043">
      <w:pPr>
        <w:spacing w:line="360" w:lineRule="auto"/>
        <w:jc w:val="both"/>
        <w:rPr>
          <w:rFonts w:ascii="Arial" w:hAnsi="Arial" w:cs="Arial"/>
          <w:color w:val="000000" w:themeColor="text1"/>
        </w:rPr>
      </w:pPr>
      <w:r w:rsidRPr="005C2043">
        <w:rPr>
          <w:rFonts w:ascii="Arial" w:hAnsi="Arial" w:cs="Arial"/>
          <w:color w:val="000000" w:themeColor="text1"/>
        </w:rPr>
        <w:t>Wrong-site and wrong-patient surgery are among the most serious preventable clinical errors reported within modern healthcare systems, and they are classified as "Never Events" because they should not occur if robust safety processes are in place</w:t>
      </w:r>
      <w:r w:rsidR="007E30F0" w:rsidRPr="00D32F70">
        <w:rPr>
          <w:rFonts w:ascii="Arial" w:hAnsi="Arial" w:cs="Arial"/>
          <w:color w:val="000000" w:themeColor="text1"/>
        </w:rPr>
        <w:t xml:space="preserve"> (</w:t>
      </w:r>
      <w:proofErr w:type="spellStart"/>
      <w:r w:rsidR="007E30F0" w:rsidRPr="00D32F70">
        <w:rPr>
          <w:rFonts w:ascii="Arial" w:hAnsi="Arial" w:cs="Arial"/>
          <w:color w:val="000000" w:themeColor="text1"/>
        </w:rPr>
        <w:t>Abosheisha</w:t>
      </w:r>
      <w:proofErr w:type="spellEnd"/>
      <w:r w:rsidR="007E30F0" w:rsidRPr="00D32F70">
        <w:rPr>
          <w:rFonts w:ascii="Arial" w:hAnsi="Arial" w:cs="Arial"/>
          <w:color w:val="000000" w:themeColor="text1"/>
        </w:rPr>
        <w:t xml:space="preserve"> et al, 2025)</w:t>
      </w:r>
      <w:r w:rsidRPr="005C2043">
        <w:rPr>
          <w:rFonts w:ascii="Arial" w:hAnsi="Arial" w:cs="Arial"/>
          <w:color w:val="000000" w:themeColor="text1"/>
        </w:rPr>
        <w:t>. In the UK National Health Service (NHS), wrong-site surgery remains one of the most frequently reported never events despite long-standing national safety standards and policy frameworks designed to prevent such incidents</w:t>
      </w:r>
      <w:r w:rsidR="00A1271A" w:rsidRPr="00D32F70">
        <w:rPr>
          <w:rFonts w:ascii="Arial" w:hAnsi="Arial" w:cs="Arial"/>
          <w:color w:val="000000" w:themeColor="text1"/>
        </w:rPr>
        <w:t xml:space="preserve"> </w:t>
      </w:r>
      <w:r w:rsidR="00A1271A" w:rsidRPr="00D32F70">
        <w:rPr>
          <w:rFonts w:ascii="Arial" w:hAnsi="Arial" w:cs="Arial"/>
        </w:rPr>
        <w:t>(</w:t>
      </w:r>
      <w:proofErr w:type="spellStart"/>
      <w:r w:rsidR="00A1271A" w:rsidRPr="00D32F70">
        <w:rPr>
          <w:rFonts w:ascii="Arial" w:hAnsi="Arial" w:cs="Arial"/>
        </w:rPr>
        <w:t>Erkmen</w:t>
      </w:r>
      <w:proofErr w:type="spellEnd"/>
      <w:r w:rsidR="00A1271A" w:rsidRPr="00D32F70">
        <w:rPr>
          <w:rFonts w:ascii="Arial" w:hAnsi="Arial" w:cs="Arial"/>
        </w:rPr>
        <w:t xml:space="preserve"> and </w:t>
      </w:r>
      <w:proofErr w:type="spellStart"/>
      <w:r w:rsidR="00A1271A" w:rsidRPr="00D32F70">
        <w:rPr>
          <w:rFonts w:ascii="Arial" w:hAnsi="Arial" w:cs="Arial"/>
        </w:rPr>
        <w:t>Frweeman</w:t>
      </w:r>
      <w:proofErr w:type="spellEnd"/>
      <w:r w:rsidR="00A1271A" w:rsidRPr="00D32F70">
        <w:rPr>
          <w:rFonts w:ascii="Arial" w:hAnsi="Arial" w:cs="Arial"/>
        </w:rPr>
        <w:t>, 2021)</w:t>
      </w:r>
      <w:r w:rsidRPr="005C2043">
        <w:rPr>
          <w:rFonts w:ascii="Arial" w:hAnsi="Arial" w:cs="Arial"/>
          <w:color w:val="000000" w:themeColor="text1"/>
        </w:rPr>
        <w:t>. The case explored in this report is based on the Healthcare Safety Investigation Branch (HSIB) investigation into a wrong-patient surgical procedure, where system and human failures led to a patient undergoing surgery intended for someone else</w:t>
      </w:r>
      <w:r w:rsidR="00810B58">
        <w:rPr>
          <w:rFonts w:ascii="Arial" w:hAnsi="Arial" w:cs="Arial"/>
          <w:color w:val="000000" w:themeColor="text1"/>
        </w:rPr>
        <w:t xml:space="preserve"> (</w:t>
      </w:r>
      <w:r w:rsidR="00810B58" w:rsidRPr="00810B58">
        <w:rPr>
          <w:rFonts w:ascii="Arial" w:hAnsi="Arial" w:cs="Arial"/>
          <w:color w:val="000000" w:themeColor="text1"/>
        </w:rPr>
        <w:t>Godwin</w:t>
      </w:r>
      <w:r w:rsidR="00810B58">
        <w:rPr>
          <w:rFonts w:ascii="Arial" w:hAnsi="Arial" w:cs="Arial"/>
          <w:color w:val="000000" w:themeColor="text1"/>
        </w:rPr>
        <w:t>, 2023)</w:t>
      </w:r>
      <w:r w:rsidRPr="005C2043">
        <w:rPr>
          <w:rFonts w:ascii="Arial" w:hAnsi="Arial" w:cs="Arial"/>
          <w:color w:val="000000" w:themeColor="text1"/>
        </w:rPr>
        <w:t>. This incident demonstrates that surgical error is not solely the result of individual actions but reflects deeper organisational weaknesses, communication failures, and breakdowns across multiple safety checkpoints (Omar et al., 2023). While rare, wrong-patient surgery</w:t>
      </w:r>
      <w:r w:rsidRPr="00D32F70">
        <w:rPr>
          <w:rFonts w:ascii="Arial" w:hAnsi="Arial" w:cs="Arial"/>
          <w:color w:val="000000" w:themeColor="text1"/>
        </w:rPr>
        <w:t xml:space="preserve">, </w:t>
      </w:r>
      <w:r w:rsidRPr="005C2043">
        <w:rPr>
          <w:rFonts w:ascii="Arial" w:hAnsi="Arial" w:cs="Arial"/>
          <w:color w:val="000000" w:themeColor="text1"/>
        </w:rPr>
        <w:t>estimated at between 1 in 50,000 to 1 in 100,000 procedures</w:t>
      </w:r>
      <w:r w:rsidR="00516D35" w:rsidRPr="00D32F70">
        <w:rPr>
          <w:rFonts w:ascii="Arial" w:hAnsi="Arial" w:cs="Arial"/>
          <w:color w:val="000000" w:themeColor="text1"/>
        </w:rPr>
        <w:t>,</w:t>
      </w:r>
      <w:r w:rsidRPr="00D32F70">
        <w:rPr>
          <w:rFonts w:ascii="Arial" w:hAnsi="Arial" w:cs="Arial"/>
          <w:color w:val="000000" w:themeColor="text1"/>
        </w:rPr>
        <w:t xml:space="preserve"> </w:t>
      </w:r>
      <w:r w:rsidRPr="005C2043">
        <w:rPr>
          <w:rFonts w:ascii="Arial" w:hAnsi="Arial" w:cs="Arial"/>
          <w:color w:val="000000" w:themeColor="text1"/>
        </w:rPr>
        <w:t>remains a critical concern because of the serious and preventable harm it can cause (Omar et al., 2023).</w:t>
      </w:r>
    </w:p>
    <w:p w14:paraId="3F71A7C9" w14:textId="5875DE0B" w:rsidR="005C2043" w:rsidRPr="005C2043" w:rsidRDefault="005C2043" w:rsidP="005C2043">
      <w:pPr>
        <w:spacing w:line="360" w:lineRule="auto"/>
        <w:jc w:val="both"/>
        <w:rPr>
          <w:rFonts w:ascii="Arial" w:hAnsi="Arial" w:cs="Arial"/>
          <w:color w:val="000000" w:themeColor="text1"/>
        </w:rPr>
      </w:pPr>
      <w:r w:rsidRPr="005C2043">
        <w:rPr>
          <w:rFonts w:ascii="Arial" w:hAnsi="Arial" w:cs="Arial"/>
          <w:color w:val="000000" w:themeColor="text1"/>
        </w:rPr>
        <w:t>National data reinforces the relevance of this issue, with wrong-site procedures accounting for nearly half of all Never Events reported in some NHS reporting periods (Omar et al., 2023). This suggests that although guidance, protocols, and safety governance structures exist, variability in compliance and implementation continues to expose patients to avoidable harm</w:t>
      </w:r>
      <w:r w:rsidR="00D32F70">
        <w:rPr>
          <w:rFonts w:ascii="Arial" w:hAnsi="Arial" w:cs="Arial"/>
          <w:color w:val="000000" w:themeColor="text1"/>
        </w:rPr>
        <w:t xml:space="preserve"> (</w:t>
      </w:r>
      <w:r w:rsidR="00D32F70" w:rsidRPr="00D32F70">
        <w:rPr>
          <w:rFonts w:ascii="Arial" w:hAnsi="Arial" w:cs="Arial"/>
          <w:color w:val="000000" w:themeColor="text1"/>
        </w:rPr>
        <w:t>George</w:t>
      </w:r>
      <w:r w:rsidR="00D32F70">
        <w:rPr>
          <w:rFonts w:ascii="Arial" w:hAnsi="Arial" w:cs="Arial"/>
          <w:color w:val="000000" w:themeColor="text1"/>
        </w:rPr>
        <w:t>, 2023)</w:t>
      </w:r>
      <w:r w:rsidRPr="005C2043">
        <w:rPr>
          <w:rFonts w:ascii="Arial" w:hAnsi="Arial" w:cs="Arial"/>
          <w:color w:val="000000" w:themeColor="text1"/>
        </w:rPr>
        <w:t>. The persistence of these events highlights weaknesses in operational consistency, communication, and safety culture across clinical teams and settings. The case also demonstrates how factors such as unclear documentation, inconsistent workflow adherence, and assumptions made during patient identity checks can contribute to procedural failure and result in serious clinical error</w:t>
      </w:r>
      <w:r w:rsidR="00096F57">
        <w:rPr>
          <w:rFonts w:ascii="Arial" w:hAnsi="Arial" w:cs="Arial"/>
          <w:color w:val="000000" w:themeColor="text1"/>
        </w:rPr>
        <w:t xml:space="preserve"> </w:t>
      </w:r>
      <w:r w:rsidR="00096F57">
        <w:rPr>
          <w:rFonts w:ascii="Arial" w:hAnsi="Arial" w:cs="Arial"/>
          <w:color w:val="000000" w:themeColor="text1"/>
        </w:rPr>
        <w:t>(</w:t>
      </w:r>
      <w:r w:rsidR="00096F57" w:rsidRPr="00810B58">
        <w:rPr>
          <w:rFonts w:ascii="Arial" w:hAnsi="Arial" w:cs="Arial"/>
          <w:color w:val="000000" w:themeColor="text1"/>
        </w:rPr>
        <w:t>Godwin</w:t>
      </w:r>
      <w:r w:rsidR="00096F57">
        <w:rPr>
          <w:rFonts w:ascii="Arial" w:hAnsi="Arial" w:cs="Arial"/>
          <w:color w:val="000000" w:themeColor="text1"/>
        </w:rPr>
        <w:t>, 2023)</w:t>
      </w:r>
      <w:r w:rsidRPr="005C2043">
        <w:rPr>
          <w:rFonts w:ascii="Arial" w:hAnsi="Arial" w:cs="Arial"/>
          <w:color w:val="000000" w:themeColor="text1"/>
        </w:rPr>
        <w:t>.</w:t>
      </w:r>
    </w:p>
    <w:p w14:paraId="063EAAD5" w14:textId="3099BBA8" w:rsidR="005C2043" w:rsidRPr="005C2043" w:rsidRDefault="005C2043" w:rsidP="005C2043">
      <w:pPr>
        <w:spacing w:line="360" w:lineRule="auto"/>
        <w:jc w:val="both"/>
        <w:rPr>
          <w:rFonts w:ascii="Arial" w:hAnsi="Arial" w:cs="Arial"/>
          <w:color w:val="000000" w:themeColor="text1"/>
        </w:rPr>
      </w:pPr>
      <w:r w:rsidRPr="005C2043">
        <w:rPr>
          <w:rFonts w:ascii="Arial" w:hAnsi="Arial" w:cs="Arial"/>
          <w:color w:val="000000" w:themeColor="text1"/>
        </w:rPr>
        <w:t>Wrong-site and wrong-patient surgery</w:t>
      </w:r>
      <w:r w:rsidRPr="00D32F70">
        <w:rPr>
          <w:rFonts w:ascii="Arial" w:hAnsi="Arial" w:cs="Arial"/>
          <w:color w:val="000000" w:themeColor="text1"/>
        </w:rPr>
        <w:t>,</w:t>
      </w:r>
      <w:r w:rsidRPr="005C2043">
        <w:rPr>
          <w:rFonts w:ascii="Arial" w:hAnsi="Arial" w:cs="Arial"/>
          <w:color w:val="000000" w:themeColor="text1"/>
        </w:rPr>
        <w:t xml:space="preserve"> therefore</w:t>
      </w:r>
      <w:r w:rsidRPr="00D32F70">
        <w:rPr>
          <w:rFonts w:ascii="Arial" w:hAnsi="Arial" w:cs="Arial"/>
          <w:color w:val="000000" w:themeColor="text1"/>
        </w:rPr>
        <w:t>,</w:t>
      </w:r>
      <w:r w:rsidRPr="005C2043">
        <w:rPr>
          <w:rFonts w:ascii="Arial" w:hAnsi="Arial" w:cs="Arial"/>
          <w:color w:val="000000" w:themeColor="text1"/>
        </w:rPr>
        <w:t xml:space="preserve"> represent not only clinical safety challenges but also broader organisational and policy concerns affecting service quality, equity, and public confidence</w:t>
      </w:r>
      <w:r w:rsidR="00096F57">
        <w:rPr>
          <w:rFonts w:ascii="Arial" w:hAnsi="Arial" w:cs="Arial"/>
          <w:color w:val="000000" w:themeColor="text1"/>
        </w:rPr>
        <w:t xml:space="preserve"> </w:t>
      </w:r>
      <w:r w:rsidR="00096F57">
        <w:rPr>
          <w:rFonts w:ascii="Arial" w:hAnsi="Arial" w:cs="Arial"/>
          <w:color w:val="000000" w:themeColor="text1"/>
        </w:rPr>
        <w:t>(</w:t>
      </w:r>
      <w:r w:rsidR="00096F57" w:rsidRPr="00D32F70">
        <w:rPr>
          <w:rFonts w:ascii="Arial" w:hAnsi="Arial" w:cs="Arial"/>
          <w:color w:val="000000" w:themeColor="text1"/>
        </w:rPr>
        <w:t>George</w:t>
      </w:r>
      <w:r w:rsidR="00096F57">
        <w:rPr>
          <w:rFonts w:ascii="Arial" w:hAnsi="Arial" w:cs="Arial"/>
          <w:color w:val="000000" w:themeColor="text1"/>
        </w:rPr>
        <w:t>, 2023)</w:t>
      </w:r>
      <w:r w:rsidRPr="005C2043">
        <w:rPr>
          <w:rFonts w:ascii="Arial" w:hAnsi="Arial" w:cs="Arial"/>
          <w:color w:val="000000" w:themeColor="text1"/>
        </w:rPr>
        <w:t>. This case highlights systemic weaknesses</w:t>
      </w:r>
      <w:r w:rsidRPr="00D32F70">
        <w:rPr>
          <w:rFonts w:ascii="Arial" w:hAnsi="Arial" w:cs="Arial"/>
          <w:color w:val="000000" w:themeColor="text1"/>
        </w:rPr>
        <w:t>,</w:t>
      </w:r>
      <w:r w:rsidRPr="005C2043">
        <w:rPr>
          <w:rFonts w:ascii="Arial" w:hAnsi="Arial" w:cs="Arial"/>
          <w:color w:val="000000" w:themeColor="text1"/>
        </w:rPr>
        <w:t xml:space="preserve"> including gaps in training, workload pressures, and inconsistent implementation of national guidance such as the National Safety Standards for Invasive Procedures (</w:t>
      </w:r>
      <w:proofErr w:type="spellStart"/>
      <w:r w:rsidRPr="005C2043">
        <w:rPr>
          <w:rFonts w:ascii="Arial" w:hAnsi="Arial" w:cs="Arial"/>
          <w:color w:val="000000" w:themeColor="text1"/>
        </w:rPr>
        <w:t>NatSSIPs</w:t>
      </w:r>
      <w:proofErr w:type="spellEnd"/>
      <w:r w:rsidRPr="005C2043">
        <w:rPr>
          <w:rFonts w:ascii="Arial" w:hAnsi="Arial" w:cs="Arial"/>
          <w:color w:val="000000" w:themeColor="text1"/>
        </w:rPr>
        <w:t xml:space="preserve">), as well as limited mechanisms for shared learning </w:t>
      </w:r>
      <w:r w:rsidRPr="005C2043">
        <w:rPr>
          <w:rFonts w:ascii="Arial" w:hAnsi="Arial" w:cs="Arial"/>
          <w:color w:val="000000" w:themeColor="text1"/>
        </w:rPr>
        <w:lastRenderedPageBreak/>
        <w:t>across NHS trusts (Underwood and Kilvington, 2024). For these reasons, applying structured quality improvement frameworks</w:t>
      </w:r>
      <w:r w:rsidRPr="00D32F70">
        <w:rPr>
          <w:rFonts w:ascii="Arial" w:hAnsi="Arial" w:cs="Arial"/>
          <w:color w:val="000000" w:themeColor="text1"/>
        </w:rPr>
        <w:t xml:space="preserve">, </w:t>
      </w:r>
      <w:r w:rsidRPr="005C2043">
        <w:rPr>
          <w:rFonts w:ascii="Arial" w:hAnsi="Arial" w:cs="Arial"/>
          <w:color w:val="000000" w:themeColor="text1"/>
        </w:rPr>
        <w:t>including Root Cause Analysis, Fishbone Analysis, the Donabedian Model, and the PDSA cycle</w:t>
      </w:r>
      <w:r w:rsidRPr="00D32F70">
        <w:rPr>
          <w:rFonts w:ascii="Arial" w:hAnsi="Arial" w:cs="Arial"/>
          <w:color w:val="000000" w:themeColor="text1"/>
        </w:rPr>
        <w:t xml:space="preserve">, </w:t>
      </w:r>
      <w:r w:rsidRPr="005C2043">
        <w:rPr>
          <w:rFonts w:ascii="Arial" w:hAnsi="Arial" w:cs="Arial"/>
          <w:color w:val="000000" w:themeColor="text1"/>
        </w:rPr>
        <w:t>provides a meaningful approach to understanding contributory factors and developing sustainable improvement strategies. By focusing on system learning rather than individual blame, this report aims to support improved patient safety and reduce the risk of recurrence in similar clinical contexts.</w:t>
      </w:r>
    </w:p>
    <w:p w14:paraId="2D2C5491" w14:textId="77777777" w:rsidR="005C2043" w:rsidRPr="005C2043" w:rsidRDefault="005C2043" w:rsidP="005C2043">
      <w:pPr>
        <w:spacing w:line="360" w:lineRule="auto"/>
        <w:jc w:val="both"/>
        <w:rPr>
          <w:rFonts w:ascii="Arial" w:hAnsi="Arial" w:cs="Arial"/>
          <w:vanish/>
          <w:color w:val="000000" w:themeColor="text1"/>
        </w:rPr>
      </w:pPr>
      <w:r w:rsidRPr="005C2043">
        <w:rPr>
          <w:rFonts w:ascii="Arial" w:hAnsi="Arial" w:cs="Arial"/>
          <w:vanish/>
          <w:color w:val="000000" w:themeColor="text1"/>
        </w:rPr>
        <w:t>Top of Form</w:t>
      </w:r>
    </w:p>
    <w:p w14:paraId="18B51871" w14:textId="77777777" w:rsidR="005C2043" w:rsidRPr="005C2043" w:rsidRDefault="005C2043" w:rsidP="005C2043">
      <w:pPr>
        <w:spacing w:line="360" w:lineRule="auto"/>
        <w:jc w:val="both"/>
        <w:rPr>
          <w:rFonts w:ascii="Arial" w:hAnsi="Arial" w:cs="Arial"/>
          <w:vanish/>
          <w:color w:val="000000" w:themeColor="text1"/>
        </w:rPr>
      </w:pPr>
      <w:r w:rsidRPr="005C2043">
        <w:rPr>
          <w:rFonts w:ascii="Arial" w:hAnsi="Arial" w:cs="Arial"/>
          <w:vanish/>
          <w:color w:val="000000" w:themeColor="text1"/>
        </w:rPr>
        <w:t>Bottom of Form</w:t>
      </w:r>
    </w:p>
    <w:p w14:paraId="2698E5C0" w14:textId="602C1D5B" w:rsidR="00973CC7" w:rsidRPr="00D32F70" w:rsidRDefault="00973CC7" w:rsidP="00973CC7">
      <w:pPr>
        <w:spacing w:line="360" w:lineRule="auto"/>
        <w:jc w:val="both"/>
        <w:rPr>
          <w:rFonts w:ascii="Arial" w:hAnsi="Arial" w:cs="Arial"/>
          <w:b/>
          <w:bCs/>
          <w:color w:val="000000" w:themeColor="text1"/>
        </w:rPr>
      </w:pPr>
      <w:r w:rsidRPr="00D32F70">
        <w:rPr>
          <w:rFonts w:ascii="Arial" w:hAnsi="Arial" w:cs="Arial"/>
          <w:b/>
          <w:bCs/>
          <w:color w:val="000000" w:themeColor="text1"/>
        </w:rPr>
        <w:t>MAIN BODY</w:t>
      </w:r>
    </w:p>
    <w:p w14:paraId="09E7DC00" w14:textId="75F2B226" w:rsidR="00973CC7" w:rsidRPr="00973CC7" w:rsidRDefault="00973CC7" w:rsidP="00973CC7">
      <w:pPr>
        <w:spacing w:line="360" w:lineRule="auto"/>
        <w:jc w:val="both"/>
        <w:rPr>
          <w:rFonts w:ascii="Arial" w:hAnsi="Arial" w:cs="Arial"/>
          <w:b/>
          <w:bCs/>
          <w:color w:val="000000" w:themeColor="text1"/>
        </w:rPr>
      </w:pPr>
      <w:r w:rsidRPr="00973CC7">
        <w:rPr>
          <w:rFonts w:ascii="Arial" w:hAnsi="Arial" w:cs="Arial"/>
          <w:b/>
          <w:bCs/>
          <w:color w:val="000000" w:themeColor="text1"/>
        </w:rPr>
        <w:t xml:space="preserve">Swiss Cheese Model </w:t>
      </w:r>
    </w:p>
    <w:p w14:paraId="1EEF9537" w14:textId="0B0100EF" w:rsidR="00973CC7" w:rsidRPr="00973CC7" w:rsidRDefault="00973CC7" w:rsidP="00973CC7">
      <w:pPr>
        <w:spacing w:line="360" w:lineRule="auto"/>
        <w:jc w:val="both"/>
        <w:rPr>
          <w:rFonts w:ascii="Arial" w:hAnsi="Arial" w:cs="Arial"/>
          <w:color w:val="000000" w:themeColor="text1"/>
        </w:rPr>
      </w:pPr>
      <w:r w:rsidRPr="00973CC7">
        <w:rPr>
          <w:rFonts w:ascii="Arial" w:hAnsi="Arial" w:cs="Arial"/>
          <w:color w:val="000000" w:themeColor="text1"/>
        </w:rPr>
        <w:t>The Swiss Cheese Model provides a useful theoretical framework to understand how the wrong-patient surgery occurred by illustrating how multiple failures aligned over time. The model emphasises that healthcare systems have multiple layers of defence</w:t>
      </w:r>
      <w:r w:rsidR="00DD4036" w:rsidRPr="00D32F70">
        <w:rPr>
          <w:rFonts w:ascii="Arial" w:hAnsi="Arial" w:cs="Arial"/>
          <w:color w:val="000000" w:themeColor="text1"/>
        </w:rPr>
        <w:t xml:space="preserve">, </w:t>
      </w:r>
      <w:r w:rsidRPr="00973CC7">
        <w:rPr>
          <w:rFonts w:ascii="Arial" w:hAnsi="Arial" w:cs="Arial"/>
          <w:color w:val="000000" w:themeColor="text1"/>
        </w:rPr>
        <w:t>such as checklists, consent procedures and verification protocols</w:t>
      </w:r>
      <w:r w:rsidR="00DD4036" w:rsidRPr="00D32F70">
        <w:rPr>
          <w:rFonts w:ascii="Arial" w:hAnsi="Arial" w:cs="Arial"/>
          <w:color w:val="000000" w:themeColor="text1"/>
        </w:rPr>
        <w:t xml:space="preserve">, </w:t>
      </w:r>
      <w:r w:rsidRPr="00973CC7">
        <w:rPr>
          <w:rFonts w:ascii="Arial" w:hAnsi="Arial" w:cs="Arial"/>
          <w:color w:val="000000" w:themeColor="text1"/>
        </w:rPr>
        <w:t>yet each layer contains weaknesses or “holes” (Khosla et al., 2021). In the investigated case, latent system issues such as unclear documentation, inconsistent safety protocols and limited standardisation across teams weakened the protective barriers (Brennan, 2023).</w:t>
      </w:r>
    </w:p>
    <w:p w14:paraId="683C0EB5" w14:textId="4B8C457C" w:rsidR="00973CC7" w:rsidRPr="00D32F70" w:rsidRDefault="00973CC7" w:rsidP="00973CC7">
      <w:pPr>
        <w:spacing w:line="360" w:lineRule="auto"/>
        <w:jc w:val="both"/>
        <w:rPr>
          <w:rFonts w:ascii="Arial" w:hAnsi="Arial" w:cs="Arial"/>
          <w:color w:val="000000" w:themeColor="text1"/>
        </w:rPr>
      </w:pPr>
      <w:r w:rsidRPr="00973CC7">
        <w:rPr>
          <w:rFonts w:ascii="Arial" w:hAnsi="Arial" w:cs="Arial"/>
          <w:color w:val="000000" w:themeColor="text1"/>
        </w:rPr>
        <w:t>Active failures also played a key role, including incorrect assumptions during patient identification, incomplete use of checklists and gaps in communication among staff (Khosla et al., 2021). Environmental pressures such as time constraints and workflow interruptions further contributed to the breakdown of safety processes</w:t>
      </w:r>
      <w:r w:rsidR="00DB52D1" w:rsidRPr="00D32F70">
        <w:rPr>
          <w:rFonts w:ascii="Arial" w:hAnsi="Arial" w:cs="Arial"/>
          <w:color w:val="000000" w:themeColor="text1"/>
        </w:rPr>
        <w:t xml:space="preserve"> </w:t>
      </w:r>
      <w:r w:rsidR="00DB52D1" w:rsidRPr="00973CC7">
        <w:rPr>
          <w:rFonts w:ascii="Arial" w:hAnsi="Arial" w:cs="Arial"/>
          <w:color w:val="000000" w:themeColor="text1"/>
        </w:rPr>
        <w:t>(Brennan, 2023)</w:t>
      </w:r>
      <w:r w:rsidRPr="00973CC7">
        <w:rPr>
          <w:rFonts w:ascii="Arial" w:hAnsi="Arial" w:cs="Arial"/>
          <w:color w:val="000000" w:themeColor="text1"/>
        </w:rPr>
        <w:t>. The model demonstrates that the error was not the result of a single failure but rather multiple interacting weaknesses across the system</w:t>
      </w:r>
      <w:r w:rsidR="00DD4036" w:rsidRPr="00D32F70">
        <w:rPr>
          <w:rFonts w:ascii="Arial" w:hAnsi="Arial" w:cs="Arial"/>
          <w:color w:val="000000" w:themeColor="text1"/>
        </w:rPr>
        <w:t>,</w:t>
      </w:r>
      <w:r w:rsidRPr="00973CC7">
        <w:rPr>
          <w:rFonts w:ascii="Arial" w:hAnsi="Arial" w:cs="Arial"/>
          <w:color w:val="000000" w:themeColor="text1"/>
        </w:rPr>
        <w:t xml:space="preserve"> aligning to permit the event</w:t>
      </w:r>
      <w:r w:rsidR="00DB52D1" w:rsidRPr="00D32F70">
        <w:rPr>
          <w:rFonts w:ascii="Arial" w:hAnsi="Arial" w:cs="Arial"/>
          <w:color w:val="000000" w:themeColor="text1"/>
        </w:rPr>
        <w:t xml:space="preserve"> </w:t>
      </w:r>
      <w:r w:rsidR="00DB52D1" w:rsidRPr="00973CC7">
        <w:rPr>
          <w:rFonts w:ascii="Arial" w:hAnsi="Arial" w:cs="Arial"/>
          <w:color w:val="000000" w:themeColor="text1"/>
        </w:rPr>
        <w:t>(Brennan, 2023)</w:t>
      </w:r>
      <w:r w:rsidRPr="00973CC7">
        <w:rPr>
          <w:rFonts w:ascii="Arial" w:hAnsi="Arial" w:cs="Arial"/>
          <w:color w:val="000000" w:themeColor="text1"/>
        </w:rPr>
        <w:t>.</w:t>
      </w:r>
    </w:p>
    <w:p w14:paraId="398311E8" w14:textId="2BFF231C" w:rsidR="00973CC7" w:rsidRPr="00973CC7" w:rsidRDefault="00973CC7" w:rsidP="00973CC7">
      <w:pPr>
        <w:spacing w:line="360" w:lineRule="auto"/>
        <w:jc w:val="both"/>
        <w:rPr>
          <w:rFonts w:ascii="Arial" w:hAnsi="Arial" w:cs="Arial"/>
          <w:b/>
          <w:bCs/>
          <w:color w:val="000000" w:themeColor="text1"/>
        </w:rPr>
      </w:pPr>
      <w:r w:rsidRPr="00973CC7">
        <w:rPr>
          <w:rFonts w:ascii="Arial" w:hAnsi="Arial" w:cs="Arial"/>
          <w:b/>
          <w:bCs/>
          <w:color w:val="000000" w:themeColor="text1"/>
        </w:rPr>
        <w:t xml:space="preserve">Root Cause Analysis </w:t>
      </w:r>
    </w:p>
    <w:p w14:paraId="264A4151" w14:textId="0F1D3397" w:rsidR="00973CC7" w:rsidRPr="00973CC7" w:rsidRDefault="00973CC7" w:rsidP="00973CC7">
      <w:pPr>
        <w:spacing w:line="360" w:lineRule="auto"/>
        <w:jc w:val="both"/>
        <w:rPr>
          <w:rFonts w:ascii="Arial" w:hAnsi="Arial" w:cs="Arial"/>
          <w:color w:val="000000" w:themeColor="text1"/>
        </w:rPr>
      </w:pPr>
      <w:r w:rsidRPr="00973CC7">
        <w:rPr>
          <w:rFonts w:ascii="Arial" w:hAnsi="Arial" w:cs="Arial"/>
          <w:color w:val="000000" w:themeColor="text1"/>
        </w:rPr>
        <w:t xml:space="preserve">Root Cause Analysis (RCA) revealed that the wrong-patient surgery resulted from a combination of procedural, communication and human factor failures rather than a single mistake. Using structured tools such as the 5-Whys demonstrated that assumptions made during patient identification and inconsistent compliance with mandatory safety protocols directly contributed to the event (Stretton, 2021). System pressure, unclear accountability and failure to escalate uncertainty further </w:t>
      </w:r>
      <w:r w:rsidRPr="00973CC7">
        <w:rPr>
          <w:rFonts w:ascii="Arial" w:hAnsi="Arial" w:cs="Arial"/>
          <w:color w:val="000000" w:themeColor="text1"/>
        </w:rPr>
        <w:lastRenderedPageBreak/>
        <w:t>compounded the situation. RCA therefore highlighted the need to strengthen multidimensional safety mechanisms, improve communication across the surgical team and reinforce consistent adherence to established verification procedures to prevent similar incidents in the future (Stretton, 2021).</w:t>
      </w:r>
    </w:p>
    <w:p w14:paraId="09B884FD" w14:textId="36C483C0" w:rsidR="00973CC7" w:rsidRPr="00973CC7" w:rsidRDefault="00973CC7" w:rsidP="00973CC7">
      <w:pPr>
        <w:spacing w:line="360" w:lineRule="auto"/>
        <w:jc w:val="both"/>
        <w:rPr>
          <w:rFonts w:ascii="Arial" w:hAnsi="Arial" w:cs="Arial"/>
          <w:b/>
          <w:bCs/>
          <w:color w:val="000000" w:themeColor="text1"/>
        </w:rPr>
      </w:pPr>
      <w:r w:rsidRPr="00973CC7">
        <w:rPr>
          <w:rFonts w:ascii="Arial" w:hAnsi="Arial" w:cs="Arial"/>
          <w:b/>
          <w:bCs/>
          <w:color w:val="000000" w:themeColor="text1"/>
        </w:rPr>
        <w:t xml:space="preserve">Fishbone Diagram Analysis </w:t>
      </w:r>
    </w:p>
    <w:p w14:paraId="06D2991B" w14:textId="2A639D59" w:rsidR="00973CC7" w:rsidRPr="00973CC7" w:rsidRDefault="00973CC7" w:rsidP="00973CC7">
      <w:pPr>
        <w:spacing w:line="360" w:lineRule="auto"/>
        <w:jc w:val="both"/>
        <w:rPr>
          <w:rFonts w:ascii="Arial" w:hAnsi="Arial" w:cs="Arial"/>
          <w:color w:val="000000" w:themeColor="text1"/>
        </w:rPr>
      </w:pPr>
      <w:r w:rsidRPr="00973CC7">
        <w:rPr>
          <w:rFonts w:ascii="Arial" w:hAnsi="Arial" w:cs="Arial"/>
          <w:color w:val="000000" w:themeColor="text1"/>
        </w:rPr>
        <w:t xml:space="preserve">The Fishbone Diagram demonstrates that the incident resulted from multiple contributing factors across organisational, individual and environmental domains rather than </w:t>
      </w:r>
      <w:r w:rsidR="00DD4036" w:rsidRPr="00D32F70">
        <w:rPr>
          <w:rFonts w:ascii="Arial" w:hAnsi="Arial" w:cs="Arial"/>
          <w:color w:val="000000" w:themeColor="text1"/>
        </w:rPr>
        <w:t xml:space="preserve">an </w:t>
      </w:r>
      <w:r w:rsidRPr="00973CC7">
        <w:rPr>
          <w:rFonts w:ascii="Arial" w:hAnsi="Arial" w:cs="Arial"/>
          <w:color w:val="000000" w:themeColor="text1"/>
        </w:rPr>
        <w:t>isolated error. The model helps categorise underlying causes and offers a structured way to identify failures across different dimensions affecting patient safety.</w:t>
      </w:r>
    </w:p>
    <w:p w14:paraId="58486751" w14:textId="77777777" w:rsidR="00973CC7" w:rsidRPr="00973CC7" w:rsidRDefault="00973CC7" w:rsidP="00973CC7">
      <w:pPr>
        <w:numPr>
          <w:ilvl w:val="0"/>
          <w:numId w:val="1"/>
        </w:numPr>
        <w:spacing w:line="360" w:lineRule="auto"/>
        <w:jc w:val="both"/>
        <w:rPr>
          <w:rFonts w:ascii="Arial" w:hAnsi="Arial" w:cs="Arial"/>
          <w:color w:val="000000" w:themeColor="text1"/>
        </w:rPr>
      </w:pPr>
      <w:r w:rsidRPr="00973CC7">
        <w:rPr>
          <w:rFonts w:ascii="Arial" w:hAnsi="Arial" w:cs="Arial"/>
          <w:b/>
          <w:bCs/>
          <w:color w:val="000000" w:themeColor="text1"/>
        </w:rPr>
        <w:t>People:</w:t>
      </w:r>
      <w:r w:rsidRPr="00973CC7">
        <w:rPr>
          <w:rFonts w:ascii="Arial" w:hAnsi="Arial" w:cs="Arial"/>
          <w:color w:val="000000" w:themeColor="text1"/>
        </w:rPr>
        <w:t xml:space="preserve"> Insufficient staff training and reliance on assumptions during patient identification contributed significantly to the error. Fatigue, workload pressure and limited confidence in challenging colleagues also increased vulnerability to mistakes (Moeng and </w:t>
      </w:r>
      <w:proofErr w:type="spellStart"/>
      <w:r w:rsidRPr="00973CC7">
        <w:rPr>
          <w:rFonts w:ascii="Arial" w:hAnsi="Arial" w:cs="Arial"/>
          <w:color w:val="000000" w:themeColor="text1"/>
        </w:rPr>
        <w:t>Luvhengo</w:t>
      </w:r>
      <w:proofErr w:type="spellEnd"/>
      <w:r w:rsidRPr="00973CC7">
        <w:rPr>
          <w:rFonts w:ascii="Arial" w:hAnsi="Arial" w:cs="Arial"/>
          <w:color w:val="000000" w:themeColor="text1"/>
        </w:rPr>
        <w:t>, 2022).</w:t>
      </w:r>
    </w:p>
    <w:p w14:paraId="6CB06557" w14:textId="71584CF9" w:rsidR="00973CC7" w:rsidRPr="00973CC7" w:rsidRDefault="00973CC7" w:rsidP="00973CC7">
      <w:pPr>
        <w:numPr>
          <w:ilvl w:val="0"/>
          <w:numId w:val="1"/>
        </w:numPr>
        <w:spacing w:line="360" w:lineRule="auto"/>
        <w:jc w:val="both"/>
        <w:rPr>
          <w:rFonts w:ascii="Arial" w:hAnsi="Arial" w:cs="Arial"/>
          <w:color w:val="000000" w:themeColor="text1"/>
        </w:rPr>
      </w:pPr>
      <w:r w:rsidRPr="00973CC7">
        <w:rPr>
          <w:rFonts w:ascii="Arial" w:hAnsi="Arial" w:cs="Arial"/>
          <w:b/>
          <w:bCs/>
          <w:color w:val="000000" w:themeColor="text1"/>
        </w:rPr>
        <w:t>Process:</w:t>
      </w:r>
      <w:r w:rsidRPr="00973CC7">
        <w:rPr>
          <w:rFonts w:ascii="Arial" w:hAnsi="Arial" w:cs="Arial"/>
          <w:color w:val="000000" w:themeColor="text1"/>
        </w:rPr>
        <w:t xml:space="preserve"> Inconsistent implementation of safety checklists and gaps in the identity-verification procedure created </w:t>
      </w:r>
      <w:r w:rsidR="00DD4036" w:rsidRPr="00D32F70">
        <w:rPr>
          <w:rFonts w:ascii="Arial" w:hAnsi="Arial" w:cs="Arial"/>
          <w:color w:val="000000" w:themeColor="text1"/>
        </w:rPr>
        <w:t xml:space="preserve">a </w:t>
      </w:r>
      <w:r w:rsidRPr="00973CC7">
        <w:rPr>
          <w:rFonts w:ascii="Arial" w:hAnsi="Arial" w:cs="Arial"/>
          <w:color w:val="000000" w:themeColor="text1"/>
        </w:rPr>
        <w:t>significant opportunity for errors. Failure to follow standardised steps meant that critical safeguards were bypassed rather than consistently executed (</w:t>
      </w:r>
      <w:proofErr w:type="spellStart"/>
      <w:r w:rsidRPr="00973CC7">
        <w:rPr>
          <w:rFonts w:ascii="Arial" w:hAnsi="Arial" w:cs="Arial"/>
          <w:color w:val="000000" w:themeColor="text1"/>
        </w:rPr>
        <w:t>Chwat</w:t>
      </w:r>
      <w:proofErr w:type="spellEnd"/>
      <w:r w:rsidRPr="00973CC7">
        <w:rPr>
          <w:rFonts w:ascii="Arial" w:hAnsi="Arial" w:cs="Arial"/>
          <w:color w:val="000000" w:themeColor="text1"/>
        </w:rPr>
        <w:t xml:space="preserve"> et al., 2022).</w:t>
      </w:r>
    </w:p>
    <w:p w14:paraId="462CAF6B" w14:textId="77777777" w:rsidR="00973CC7" w:rsidRPr="00973CC7" w:rsidRDefault="00973CC7" w:rsidP="00973CC7">
      <w:pPr>
        <w:numPr>
          <w:ilvl w:val="0"/>
          <w:numId w:val="1"/>
        </w:numPr>
        <w:spacing w:line="360" w:lineRule="auto"/>
        <w:jc w:val="both"/>
        <w:rPr>
          <w:rFonts w:ascii="Arial" w:hAnsi="Arial" w:cs="Arial"/>
          <w:color w:val="000000" w:themeColor="text1"/>
        </w:rPr>
      </w:pPr>
      <w:r w:rsidRPr="00973CC7">
        <w:rPr>
          <w:rFonts w:ascii="Arial" w:hAnsi="Arial" w:cs="Arial"/>
          <w:b/>
          <w:bCs/>
          <w:color w:val="000000" w:themeColor="text1"/>
        </w:rPr>
        <w:t>Environment:</w:t>
      </w:r>
      <w:r w:rsidRPr="00973CC7">
        <w:rPr>
          <w:rFonts w:ascii="Arial" w:hAnsi="Arial" w:cs="Arial"/>
          <w:color w:val="000000" w:themeColor="text1"/>
        </w:rPr>
        <w:t xml:space="preserve"> Frequent interruptions, high time pressure and theatre distractions reduced staff concentration and impaired decision-making, creating conditions where errors could progress unchecked (Moeng and </w:t>
      </w:r>
      <w:proofErr w:type="spellStart"/>
      <w:r w:rsidRPr="00973CC7">
        <w:rPr>
          <w:rFonts w:ascii="Arial" w:hAnsi="Arial" w:cs="Arial"/>
          <w:color w:val="000000" w:themeColor="text1"/>
        </w:rPr>
        <w:t>Luvhengo</w:t>
      </w:r>
      <w:proofErr w:type="spellEnd"/>
      <w:r w:rsidRPr="00973CC7">
        <w:rPr>
          <w:rFonts w:ascii="Arial" w:hAnsi="Arial" w:cs="Arial"/>
          <w:color w:val="000000" w:themeColor="text1"/>
        </w:rPr>
        <w:t>, 2022).</w:t>
      </w:r>
    </w:p>
    <w:p w14:paraId="3B527C9B" w14:textId="77777777" w:rsidR="00973CC7" w:rsidRPr="00973CC7" w:rsidRDefault="00973CC7" w:rsidP="00973CC7">
      <w:pPr>
        <w:numPr>
          <w:ilvl w:val="0"/>
          <w:numId w:val="1"/>
        </w:numPr>
        <w:spacing w:line="360" w:lineRule="auto"/>
        <w:jc w:val="both"/>
        <w:rPr>
          <w:rFonts w:ascii="Arial" w:hAnsi="Arial" w:cs="Arial"/>
          <w:color w:val="000000" w:themeColor="text1"/>
        </w:rPr>
      </w:pPr>
      <w:r w:rsidRPr="00973CC7">
        <w:rPr>
          <w:rFonts w:ascii="Arial" w:hAnsi="Arial" w:cs="Arial"/>
          <w:b/>
          <w:bCs/>
          <w:color w:val="000000" w:themeColor="text1"/>
        </w:rPr>
        <w:t>Documentation/Equipment:</w:t>
      </w:r>
      <w:r w:rsidRPr="00973CC7">
        <w:rPr>
          <w:rFonts w:ascii="Arial" w:hAnsi="Arial" w:cs="Arial"/>
          <w:color w:val="000000" w:themeColor="text1"/>
        </w:rPr>
        <w:t xml:space="preserve"> Outdated theatre lists, incomplete clinical notes and unclear marking tools made it difficult for staff to verify the correct patient and surgical site confidently (</w:t>
      </w:r>
      <w:proofErr w:type="spellStart"/>
      <w:r w:rsidRPr="00973CC7">
        <w:rPr>
          <w:rFonts w:ascii="Arial" w:hAnsi="Arial" w:cs="Arial"/>
          <w:color w:val="000000" w:themeColor="text1"/>
        </w:rPr>
        <w:t>Chwat</w:t>
      </w:r>
      <w:proofErr w:type="spellEnd"/>
      <w:r w:rsidRPr="00973CC7">
        <w:rPr>
          <w:rFonts w:ascii="Arial" w:hAnsi="Arial" w:cs="Arial"/>
          <w:color w:val="000000" w:themeColor="text1"/>
        </w:rPr>
        <w:t xml:space="preserve"> et al., 2022).</w:t>
      </w:r>
    </w:p>
    <w:p w14:paraId="66830CE4" w14:textId="77777777" w:rsidR="00973CC7" w:rsidRDefault="00973CC7" w:rsidP="00973CC7">
      <w:pPr>
        <w:numPr>
          <w:ilvl w:val="0"/>
          <w:numId w:val="1"/>
        </w:numPr>
        <w:spacing w:line="360" w:lineRule="auto"/>
        <w:jc w:val="both"/>
        <w:rPr>
          <w:rFonts w:ascii="Arial" w:hAnsi="Arial" w:cs="Arial"/>
          <w:color w:val="000000" w:themeColor="text1"/>
        </w:rPr>
      </w:pPr>
      <w:r w:rsidRPr="00973CC7">
        <w:rPr>
          <w:rFonts w:ascii="Arial" w:hAnsi="Arial" w:cs="Arial"/>
          <w:b/>
          <w:bCs/>
          <w:color w:val="000000" w:themeColor="text1"/>
        </w:rPr>
        <w:t>Management:</w:t>
      </w:r>
      <w:r w:rsidRPr="00973CC7">
        <w:rPr>
          <w:rFonts w:ascii="Arial" w:hAnsi="Arial" w:cs="Arial"/>
          <w:color w:val="000000" w:themeColor="text1"/>
        </w:rPr>
        <w:t xml:space="preserve"> Limited oversight of safety compliance and insufficient monitoring of adherence to key protocols meant systemic weaknesses were not identified or addressed early enough (Moeng and </w:t>
      </w:r>
      <w:proofErr w:type="spellStart"/>
      <w:r w:rsidRPr="00973CC7">
        <w:rPr>
          <w:rFonts w:ascii="Arial" w:hAnsi="Arial" w:cs="Arial"/>
          <w:color w:val="000000" w:themeColor="text1"/>
        </w:rPr>
        <w:t>Luvhengo</w:t>
      </w:r>
      <w:proofErr w:type="spellEnd"/>
      <w:r w:rsidRPr="00973CC7">
        <w:rPr>
          <w:rFonts w:ascii="Arial" w:hAnsi="Arial" w:cs="Arial"/>
          <w:color w:val="000000" w:themeColor="text1"/>
        </w:rPr>
        <w:t>, 2022).</w:t>
      </w:r>
    </w:p>
    <w:p w14:paraId="63007FB9" w14:textId="77777777" w:rsidR="00670B92" w:rsidRDefault="00670B92" w:rsidP="00670B92">
      <w:pPr>
        <w:spacing w:line="360" w:lineRule="auto"/>
        <w:jc w:val="both"/>
        <w:rPr>
          <w:rFonts w:ascii="Arial" w:hAnsi="Arial" w:cs="Arial"/>
          <w:color w:val="000000" w:themeColor="text1"/>
        </w:rPr>
      </w:pPr>
    </w:p>
    <w:p w14:paraId="588E1E7D" w14:textId="77777777" w:rsidR="00670B92" w:rsidRDefault="00670B92" w:rsidP="00670B92">
      <w:pPr>
        <w:spacing w:line="360" w:lineRule="auto"/>
        <w:jc w:val="both"/>
        <w:rPr>
          <w:rFonts w:ascii="Arial" w:hAnsi="Arial" w:cs="Arial"/>
          <w:color w:val="000000" w:themeColor="text1"/>
        </w:rPr>
      </w:pPr>
    </w:p>
    <w:p w14:paraId="7B9435FB" w14:textId="77777777" w:rsidR="00670B92" w:rsidRPr="00973CC7" w:rsidRDefault="00670B92" w:rsidP="00670B92">
      <w:pPr>
        <w:spacing w:line="360" w:lineRule="auto"/>
        <w:jc w:val="both"/>
        <w:rPr>
          <w:rFonts w:ascii="Arial" w:hAnsi="Arial" w:cs="Arial"/>
          <w:color w:val="000000" w:themeColor="text1"/>
        </w:rPr>
      </w:pPr>
    </w:p>
    <w:p w14:paraId="2EA874CB" w14:textId="5E2A115D" w:rsidR="00973CC7" w:rsidRPr="00D32F70" w:rsidRDefault="00973CC7" w:rsidP="00A1271A">
      <w:pPr>
        <w:spacing w:line="276" w:lineRule="auto"/>
        <w:jc w:val="both"/>
        <w:rPr>
          <w:rFonts w:ascii="Arial" w:hAnsi="Arial" w:cs="Arial"/>
          <w:b/>
          <w:bCs/>
          <w:color w:val="000000" w:themeColor="text1"/>
        </w:rPr>
      </w:pPr>
      <w:r w:rsidRPr="00D32F70">
        <w:rPr>
          <w:rFonts w:ascii="Arial" w:hAnsi="Arial" w:cs="Arial"/>
          <w:b/>
          <w:bCs/>
          <w:color w:val="000000" w:themeColor="text1"/>
        </w:rPr>
        <w:lastRenderedPageBreak/>
        <w:t>References</w:t>
      </w:r>
    </w:p>
    <w:p w14:paraId="3A4930F5" w14:textId="6C94BDF3" w:rsidR="00A1271A" w:rsidRPr="00D32F70" w:rsidRDefault="00A1271A" w:rsidP="00A1271A">
      <w:pPr>
        <w:spacing w:line="276" w:lineRule="auto"/>
        <w:jc w:val="both"/>
        <w:rPr>
          <w:rFonts w:ascii="Arial" w:hAnsi="Arial" w:cs="Arial"/>
        </w:rPr>
      </w:pPr>
      <w:proofErr w:type="spellStart"/>
      <w:r w:rsidRPr="00D32F70">
        <w:rPr>
          <w:rFonts w:ascii="Arial" w:hAnsi="Arial" w:cs="Arial"/>
        </w:rPr>
        <w:t>Abosheisha</w:t>
      </w:r>
      <w:proofErr w:type="spellEnd"/>
      <w:r w:rsidRPr="00D32F70">
        <w:rPr>
          <w:rFonts w:ascii="Arial" w:hAnsi="Arial" w:cs="Arial"/>
        </w:rPr>
        <w:t xml:space="preserve">, M., Hafez, A. and Omar, I., </w:t>
      </w:r>
      <w:r w:rsidR="000D4A8F">
        <w:rPr>
          <w:rFonts w:ascii="Arial" w:hAnsi="Arial" w:cs="Arial"/>
        </w:rPr>
        <w:t>(</w:t>
      </w:r>
      <w:r w:rsidRPr="00D32F70">
        <w:rPr>
          <w:rFonts w:ascii="Arial" w:hAnsi="Arial" w:cs="Arial"/>
        </w:rPr>
        <w:t>2025</w:t>
      </w:r>
      <w:r w:rsidR="000D4A8F">
        <w:rPr>
          <w:rFonts w:ascii="Arial" w:hAnsi="Arial" w:cs="Arial"/>
        </w:rPr>
        <w:t>)</w:t>
      </w:r>
      <w:r w:rsidRPr="00D32F70">
        <w:rPr>
          <w:rFonts w:ascii="Arial" w:hAnsi="Arial" w:cs="Arial"/>
        </w:rPr>
        <w:t xml:space="preserve">. Assessment of the trends of never events across </w:t>
      </w:r>
      <w:proofErr w:type="spellStart"/>
      <w:r w:rsidRPr="00D32F70">
        <w:rPr>
          <w:rFonts w:ascii="Arial" w:hAnsi="Arial" w:cs="Arial"/>
        </w:rPr>
        <w:t>nhs</w:t>
      </w:r>
      <w:proofErr w:type="spellEnd"/>
      <w:r w:rsidRPr="00D32F70">
        <w:rPr>
          <w:rFonts w:ascii="Arial" w:hAnsi="Arial" w:cs="Arial"/>
        </w:rPr>
        <w:t xml:space="preserve"> </w:t>
      </w:r>
      <w:proofErr w:type="spellStart"/>
      <w:r w:rsidRPr="00D32F70">
        <w:rPr>
          <w:rFonts w:ascii="Arial" w:hAnsi="Arial" w:cs="Arial"/>
        </w:rPr>
        <w:t>england</w:t>
      </w:r>
      <w:proofErr w:type="spellEnd"/>
      <w:r w:rsidRPr="00D32F70">
        <w:rPr>
          <w:rFonts w:ascii="Arial" w:hAnsi="Arial" w:cs="Arial"/>
        </w:rPr>
        <w:t>: a 6-year analysis. </w:t>
      </w:r>
      <w:r w:rsidRPr="00D32F70">
        <w:rPr>
          <w:rFonts w:ascii="Arial" w:hAnsi="Arial" w:cs="Arial"/>
          <w:i/>
          <w:iCs/>
        </w:rPr>
        <w:t xml:space="preserve">International Journal </w:t>
      </w:r>
      <w:proofErr w:type="gramStart"/>
      <w:r w:rsidRPr="00D32F70">
        <w:rPr>
          <w:rFonts w:ascii="Arial" w:hAnsi="Arial" w:cs="Arial"/>
          <w:i/>
          <w:iCs/>
        </w:rPr>
        <w:t>For</w:t>
      </w:r>
      <w:proofErr w:type="gramEnd"/>
      <w:r w:rsidRPr="00D32F70">
        <w:rPr>
          <w:rFonts w:ascii="Arial" w:hAnsi="Arial" w:cs="Arial"/>
          <w:i/>
          <w:iCs/>
        </w:rPr>
        <w:t xml:space="preserve"> Quality </w:t>
      </w:r>
      <w:proofErr w:type="gramStart"/>
      <w:r w:rsidRPr="00D32F70">
        <w:rPr>
          <w:rFonts w:ascii="Arial" w:hAnsi="Arial" w:cs="Arial"/>
          <w:i/>
          <w:iCs/>
        </w:rPr>
        <w:t>In</w:t>
      </w:r>
      <w:proofErr w:type="gramEnd"/>
      <w:r w:rsidRPr="00D32F70">
        <w:rPr>
          <w:rFonts w:ascii="Arial" w:hAnsi="Arial" w:cs="Arial"/>
          <w:i/>
          <w:iCs/>
        </w:rPr>
        <w:t xml:space="preserve"> Health Care</w:t>
      </w:r>
      <w:r w:rsidRPr="00D32F70">
        <w:rPr>
          <w:rFonts w:ascii="Arial" w:hAnsi="Arial" w:cs="Arial"/>
        </w:rPr>
        <w:t>, </w:t>
      </w:r>
      <w:r w:rsidRPr="00D32F70">
        <w:rPr>
          <w:rFonts w:ascii="Arial" w:hAnsi="Arial" w:cs="Arial"/>
          <w:i/>
          <w:iCs/>
        </w:rPr>
        <w:t>37</w:t>
      </w:r>
      <w:r w:rsidRPr="00D32F70">
        <w:rPr>
          <w:rFonts w:ascii="Arial" w:hAnsi="Arial" w:cs="Arial"/>
        </w:rPr>
        <w:t xml:space="preserve">(4), </w:t>
      </w:r>
      <w:proofErr w:type="gramStart"/>
      <w:r w:rsidRPr="00D32F70">
        <w:rPr>
          <w:rFonts w:ascii="Arial" w:hAnsi="Arial" w:cs="Arial"/>
        </w:rPr>
        <w:t>p.mzaf</w:t>
      </w:r>
      <w:proofErr w:type="gramEnd"/>
      <w:r w:rsidRPr="00D32F70">
        <w:rPr>
          <w:rFonts w:ascii="Arial" w:hAnsi="Arial" w:cs="Arial"/>
        </w:rPr>
        <w:t>109.</w:t>
      </w:r>
      <w:r w:rsidRPr="00D32F70">
        <w:rPr>
          <w:rFonts w:ascii="Arial" w:hAnsi="Arial" w:cs="Arial"/>
        </w:rPr>
        <w:t xml:space="preserve"> </w:t>
      </w:r>
      <w:hyperlink r:id="rId6" w:history="1">
        <w:r w:rsidRPr="00D32F70">
          <w:rPr>
            <w:rStyle w:val="Hyperlink"/>
            <w:rFonts w:ascii="Arial" w:hAnsi="Arial" w:cs="Arial"/>
          </w:rPr>
          <w:t>https://academic.oup.com/intqhc/article-abstract/37/4/mzaf109/8277003</w:t>
        </w:r>
      </w:hyperlink>
    </w:p>
    <w:p w14:paraId="3B3137F8" w14:textId="6220A9E2" w:rsidR="00000000" w:rsidRPr="00C83DAA" w:rsidRDefault="00000000" w:rsidP="00A1271A">
      <w:pPr>
        <w:spacing w:line="276" w:lineRule="auto"/>
        <w:jc w:val="both"/>
        <w:rPr>
          <w:rFonts w:ascii="Arial" w:hAnsi="Arial" w:cs="Arial"/>
        </w:rPr>
      </w:pPr>
      <w:r w:rsidRPr="00C83DAA">
        <w:rPr>
          <w:rFonts w:ascii="Arial" w:hAnsi="Arial" w:cs="Arial"/>
        </w:rPr>
        <w:t xml:space="preserve">Brennan, P.A., </w:t>
      </w:r>
      <w:r w:rsidR="000D4A8F">
        <w:rPr>
          <w:rFonts w:ascii="Arial" w:hAnsi="Arial" w:cs="Arial"/>
        </w:rPr>
        <w:t>(</w:t>
      </w:r>
      <w:r w:rsidRPr="00C83DAA">
        <w:rPr>
          <w:rFonts w:ascii="Arial" w:hAnsi="Arial" w:cs="Arial"/>
        </w:rPr>
        <w:t>2023</w:t>
      </w:r>
      <w:r w:rsidR="000D4A8F">
        <w:rPr>
          <w:rFonts w:ascii="Arial" w:hAnsi="Arial" w:cs="Arial"/>
        </w:rPr>
        <w:t>)</w:t>
      </w:r>
      <w:r w:rsidRPr="00C83DAA">
        <w:rPr>
          <w:rFonts w:ascii="Arial" w:hAnsi="Arial" w:cs="Arial"/>
        </w:rPr>
        <w:t>. Human factors in surgery. </w:t>
      </w:r>
      <w:r w:rsidRPr="00C83DAA">
        <w:rPr>
          <w:rFonts w:ascii="Arial" w:hAnsi="Arial" w:cs="Arial"/>
          <w:i/>
          <w:iCs/>
        </w:rPr>
        <w:t>Ellis and Calne's Lecture Notes in General Surgery</w:t>
      </w:r>
      <w:r w:rsidRPr="00C83DAA">
        <w:rPr>
          <w:rFonts w:ascii="Arial" w:hAnsi="Arial" w:cs="Arial"/>
        </w:rPr>
        <w:t xml:space="preserve">, pp.5-11. </w:t>
      </w:r>
      <w:hyperlink r:id="rId7" w:history="1">
        <w:r w:rsidRPr="00C83DAA">
          <w:rPr>
            <w:rStyle w:val="Hyperlink"/>
            <w:rFonts w:ascii="Arial" w:hAnsi="Arial" w:cs="Arial"/>
          </w:rPr>
          <w:t>https://onlinelibrary.wiley.com/doi/abs/10.1002/9781394322008.ch2</w:t>
        </w:r>
      </w:hyperlink>
    </w:p>
    <w:p w14:paraId="7B493275" w14:textId="1365F10C" w:rsidR="00000000" w:rsidRPr="00C83DAA" w:rsidRDefault="00000000" w:rsidP="00A1271A">
      <w:pPr>
        <w:spacing w:line="276" w:lineRule="auto"/>
        <w:jc w:val="both"/>
        <w:rPr>
          <w:rFonts w:ascii="Arial" w:hAnsi="Arial" w:cs="Arial"/>
        </w:rPr>
      </w:pPr>
      <w:proofErr w:type="spellStart"/>
      <w:r w:rsidRPr="00C83DAA">
        <w:rPr>
          <w:rFonts w:ascii="Arial" w:hAnsi="Arial" w:cs="Arial"/>
        </w:rPr>
        <w:t>Chwat</w:t>
      </w:r>
      <w:proofErr w:type="spellEnd"/>
      <w:r w:rsidRPr="00C83DAA">
        <w:rPr>
          <w:rFonts w:ascii="Arial" w:hAnsi="Arial" w:cs="Arial"/>
        </w:rPr>
        <w:t xml:space="preserve">, C., </w:t>
      </w:r>
      <w:proofErr w:type="spellStart"/>
      <w:r w:rsidRPr="00C83DAA">
        <w:rPr>
          <w:rFonts w:ascii="Arial" w:hAnsi="Arial" w:cs="Arial"/>
        </w:rPr>
        <w:t>Seisdedos</w:t>
      </w:r>
      <w:proofErr w:type="spellEnd"/>
      <w:r w:rsidRPr="00C83DAA">
        <w:rPr>
          <w:rFonts w:ascii="Arial" w:hAnsi="Arial" w:cs="Arial"/>
        </w:rPr>
        <w:t xml:space="preserve">, M., Cingolani, P., </w:t>
      </w:r>
      <w:proofErr w:type="spellStart"/>
      <w:r w:rsidRPr="00C83DAA">
        <w:rPr>
          <w:rFonts w:ascii="Arial" w:hAnsi="Arial" w:cs="Arial"/>
        </w:rPr>
        <w:t>Iudica</w:t>
      </w:r>
      <w:proofErr w:type="spellEnd"/>
      <w:r w:rsidRPr="00C83DAA">
        <w:rPr>
          <w:rFonts w:ascii="Arial" w:hAnsi="Arial" w:cs="Arial"/>
        </w:rPr>
        <w:t xml:space="preserve">, F. and Lemme, G., </w:t>
      </w:r>
      <w:r w:rsidR="0043427B">
        <w:rPr>
          <w:rFonts w:ascii="Arial" w:hAnsi="Arial" w:cs="Arial"/>
        </w:rPr>
        <w:t>(</w:t>
      </w:r>
      <w:r w:rsidRPr="00C83DAA">
        <w:rPr>
          <w:rFonts w:ascii="Arial" w:hAnsi="Arial" w:cs="Arial"/>
        </w:rPr>
        <w:t>2022</w:t>
      </w:r>
      <w:r w:rsidR="0043427B">
        <w:rPr>
          <w:rFonts w:ascii="Arial" w:hAnsi="Arial" w:cs="Arial"/>
        </w:rPr>
        <w:t>)</w:t>
      </w:r>
      <w:r w:rsidRPr="00C83DAA">
        <w:rPr>
          <w:rFonts w:ascii="Arial" w:hAnsi="Arial" w:cs="Arial"/>
        </w:rPr>
        <w:t>. “Never Event” in surgery: Root-Cause Analysis. </w:t>
      </w:r>
      <w:r w:rsidRPr="00C83DAA">
        <w:rPr>
          <w:rFonts w:ascii="Arial" w:hAnsi="Arial" w:cs="Arial"/>
          <w:i/>
          <w:iCs/>
        </w:rPr>
        <w:t xml:space="preserve">Revista Argentina de </w:t>
      </w:r>
      <w:proofErr w:type="spellStart"/>
      <w:r w:rsidRPr="00C83DAA">
        <w:rPr>
          <w:rFonts w:ascii="Arial" w:hAnsi="Arial" w:cs="Arial"/>
          <w:i/>
          <w:iCs/>
        </w:rPr>
        <w:t>Cirugía</w:t>
      </w:r>
      <w:proofErr w:type="spellEnd"/>
      <w:r w:rsidRPr="00C83DAA">
        <w:rPr>
          <w:rFonts w:ascii="Arial" w:hAnsi="Arial" w:cs="Arial"/>
        </w:rPr>
        <w:t>, </w:t>
      </w:r>
      <w:r w:rsidRPr="00C83DAA">
        <w:rPr>
          <w:rFonts w:ascii="Arial" w:hAnsi="Arial" w:cs="Arial"/>
          <w:i/>
          <w:iCs/>
        </w:rPr>
        <w:t>115</w:t>
      </w:r>
      <w:r w:rsidRPr="00C83DAA">
        <w:rPr>
          <w:rFonts w:ascii="Arial" w:hAnsi="Arial" w:cs="Arial"/>
        </w:rPr>
        <w:t xml:space="preserve">(1), pp.52-64. </w:t>
      </w:r>
      <w:hyperlink r:id="rId8" w:history="1">
        <w:r w:rsidRPr="00C83DAA">
          <w:rPr>
            <w:rStyle w:val="Hyperlink"/>
            <w:rFonts w:ascii="Arial" w:hAnsi="Arial" w:cs="Arial"/>
          </w:rPr>
          <w:t>https://revista.aac.org.ar/index.php/RevArgentCirug/article/download/587/2435</w:t>
        </w:r>
      </w:hyperlink>
    </w:p>
    <w:p w14:paraId="4221AEF6" w14:textId="1B4AF0AE" w:rsidR="00000000" w:rsidRDefault="00000000" w:rsidP="007372AE">
      <w:pPr>
        <w:spacing w:line="276" w:lineRule="auto"/>
        <w:jc w:val="both"/>
        <w:rPr>
          <w:rFonts w:ascii="Arial" w:hAnsi="Arial" w:cs="Arial"/>
        </w:rPr>
      </w:pPr>
      <w:r w:rsidRPr="00C83DAA">
        <w:rPr>
          <w:rFonts w:ascii="Arial" w:hAnsi="Arial" w:cs="Arial"/>
        </w:rPr>
        <w:t xml:space="preserve">ERKMEN, K. and FREEMAN, W.D., </w:t>
      </w:r>
      <w:r w:rsidR="00B979F1">
        <w:rPr>
          <w:rFonts w:ascii="Arial" w:hAnsi="Arial" w:cs="Arial"/>
        </w:rPr>
        <w:t>(</w:t>
      </w:r>
      <w:r w:rsidRPr="00C83DAA">
        <w:rPr>
          <w:rFonts w:ascii="Arial" w:hAnsi="Arial" w:cs="Arial"/>
        </w:rPr>
        <w:t>2021</w:t>
      </w:r>
      <w:r w:rsidR="00B979F1">
        <w:rPr>
          <w:rFonts w:ascii="Arial" w:hAnsi="Arial" w:cs="Arial"/>
        </w:rPr>
        <w:t>)</w:t>
      </w:r>
      <w:r w:rsidRPr="00C83DAA">
        <w:rPr>
          <w:rFonts w:ascii="Arial" w:hAnsi="Arial" w:cs="Arial"/>
        </w:rPr>
        <w:t>. Ensuring Patient Safety in Surgery: First Do No Harm and Applying a Systems-Engineering Approach. </w:t>
      </w:r>
      <w:proofErr w:type="spellStart"/>
      <w:r w:rsidRPr="00C83DAA">
        <w:rPr>
          <w:rFonts w:ascii="Arial" w:hAnsi="Arial" w:cs="Arial"/>
          <w:i/>
          <w:iCs/>
        </w:rPr>
        <w:t>Schmidek</w:t>
      </w:r>
      <w:proofErr w:type="spellEnd"/>
      <w:r w:rsidRPr="00C83DAA">
        <w:rPr>
          <w:rFonts w:ascii="Arial" w:hAnsi="Arial" w:cs="Arial"/>
          <w:i/>
          <w:iCs/>
        </w:rPr>
        <w:t xml:space="preserve"> and Sweet: Operative Neurosurgical Techniques E-Book: Indications, Methods and Results</w:t>
      </w:r>
      <w:r w:rsidRPr="00C83DAA">
        <w:rPr>
          <w:rFonts w:ascii="Arial" w:hAnsi="Arial" w:cs="Arial"/>
        </w:rPr>
        <w:t xml:space="preserve">, p.1. </w:t>
      </w:r>
      <w:hyperlink r:id="rId9" w:history="1">
        <w:r w:rsidRPr="00C83DAA">
          <w:rPr>
            <w:rStyle w:val="Hyperlink"/>
            <w:rFonts w:ascii="Arial" w:hAnsi="Arial" w:cs="Arial"/>
          </w:rPr>
          <w:t>https://books.google.com/books?hl=en&amp;lr=&amp;id=2MsqEAAAQBAJ&amp;oi=fnd&amp;pg=PA1&amp;dq=A+surgical+error+is+an+unintended,+preventable+mistake+that+occurs+during+the+planning+or+execution+of+an+operation,+leading+to+patient+harm+or+risk+of+harm.&amp;ots=95d82g_IEj&amp;sig=S0AMvqglbp8W61at-DAjmmWXN58</w:t>
        </w:r>
      </w:hyperlink>
    </w:p>
    <w:p w14:paraId="1FC05498" w14:textId="5BDBE8F3" w:rsidR="007372AE" w:rsidRDefault="007372AE" w:rsidP="007372AE">
      <w:pPr>
        <w:spacing w:line="276" w:lineRule="auto"/>
        <w:jc w:val="both"/>
        <w:rPr>
          <w:rFonts w:ascii="Arial" w:hAnsi="Arial" w:cs="Arial"/>
        </w:rPr>
      </w:pPr>
      <w:r w:rsidRPr="007372AE">
        <w:rPr>
          <w:rFonts w:ascii="Arial" w:hAnsi="Arial" w:cs="Arial"/>
        </w:rPr>
        <w:t xml:space="preserve">George, K.J., </w:t>
      </w:r>
      <w:r w:rsidR="005124AC">
        <w:rPr>
          <w:rFonts w:ascii="Arial" w:hAnsi="Arial" w:cs="Arial"/>
        </w:rPr>
        <w:t>(</w:t>
      </w:r>
      <w:r w:rsidRPr="007372AE">
        <w:rPr>
          <w:rFonts w:ascii="Arial" w:hAnsi="Arial" w:cs="Arial"/>
        </w:rPr>
        <w:t>2023</w:t>
      </w:r>
      <w:r w:rsidR="005124AC">
        <w:rPr>
          <w:rFonts w:ascii="Arial" w:hAnsi="Arial" w:cs="Arial"/>
        </w:rPr>
        <w:t>)</w:t>
      </w:r>
      <w:r w:rsidRPr="007372AE">
        <w:rPr>
          <w:rFonts w:ascii="Arial" w:hAnsi="Arial" w:cs="Arial"/>
        </w:rPr>
        <w:t>. Wrong site spine surgery in the UK: a review of current practice. </w:t>
      </w:r>
      <w:r w:rsidRPr="007372AE">
        <w:rPr>
          <w:rFonts w:ascii="Arial" w:hAnsi="Arial" w:cs="Arial"/>
          <w:i/>
          <w:iCs/>
        </w:rPr>
        <w:t>British Journal of Neurosurgery</w:t>
      </w:r>
      <w:r w:rsidRPr="007372AE">
        <w:rPr>
          <w:rFonts w:ascii="Arial" w:hAnsi="Arial" w:cs="Arial"/>
        </w:rPr>
        <w:t>, </w:t>
      </w:r>
      <w:r w:rsidRPr="007372AE">
        <w:rPr>
          <w:rFonts w:ascii="Arial" w:hAnsi="Arial" w:cs="Arial"/>
          <w:i/>
          <w:iCs/>
        </w:rPr>
        <w:t>37</w:t>
      </w:r>
      <w:r w:rsidRPr="007372AE">
        <w:rPr>
          <w:rFonts w:ascii="Arial" w:hAnsi="Arial" w:cs="Arial"/>
        </w:rPr>
        <w:t>(5), pp.1131-1134.</w:t>
      </w:r>
      <w:r>
        <w:rPr>
          <w:rFonts w:ascii="Arial" w:hAnsi="Arial" w:cs="Arial"/>
        </w:rPr>
        <w:t xml:space="preserve"> </w:t>
      </w:r>
      <w:hyperlink r:id="rId10" w:history="1">
        <w:r w:rsidRPr="00997DA1">
          <w:rPr>
            <w:rStyle w:val="Hyperlink"/>
            <w:rFonts w:ascii="Arial" w:hAnsi="Arial" w:cs="Arial"/>
          </w:rPr>
          <w:t>https://www.tandfonline.com/doi/abs/10.1080/02688697.2022.2152428</w:t>
        </w:r>
      </w:hyperlink>
    </w:p>
    <w:p w14:paraId="76B984B7" w14:textId="5EE62239" w:rsidR="007372AE" w:rsidRDefault="007372AE" w:rsidP="007372AE">
      <w:pPr>
        <w:spacing w:line="276" w:lineRule="auto"/>
        <w:jc w:val="both"/>
        <w:rPr>
          <w:rFonts w:ascii="Arial" w:hAnsi="Arial" w:cs="Arial"/>
        </w:rPr>
      </w:pPr>
      <w:r w:rsidRPr="007372AE">
        <w:rPr>
          <w:rFonts w:ascii="Arial" w:hAnsi="Arial" w:cs="Arial"/>
        </w:rPr>
        <w:t xml:space="preserve">Godwin, A., </w:t>
      </w:r>
      <w:r w:rsidR="005124AC">
        <w:rPr>
          <w:rFonts w:ascii="Arial" w:hAnsi="Arial" w:cs="Arial"/>
        </w:rPr>
        <w:t>(</w:t>
      </w:r>
      <w:r w:rsidRPr="007372AE">
        <w:rPr>
          <w:rFonts w:ascii="Arial" w:hAnsi="Arial" w:cs="Arial"/>
        </w:rPr>
        <w:t>2023</w:t>
      </w:r>
      <w:r w:rsidR="005124AC">
        <w:rPr>
          <w:rFonts w:ascii="Arial" w:hAnsi="Arial" w:cs="Arial"/>
        </w:rPr>
        <w:t>)</w:t>
      </w:r>
      <w:r w:rsidRPr="007372AE">
        <w:rPr>
          <w:rFonts w:ascii="Arial" w:hAnsi="Arial" w:cs="Arial"/>
        </w:rPr>
        <w:t>. </w:t>
      </w:r>
      <w:r w:rsidRPr="007372AE">
        <w:rPr>
          <w:rFonts w:ascii="Arial" w:hAnsi="Arial" w:cs="Arial"/>
          <w:i/>
          <w:iCs/>
        </w:rPr>
        <w:t>Supporting Healthcare Staff After Patient Safety Incidents: An Exploration of Policy, Practice, and Terminology “There’s no Point Having a Rhetoric of Concern if Nothing Will be Done</w:t>
      </w:r>
      <w:r w:rsidRPr="007372AE">
        <w:rPr>
          <w:rFonts w:ascii="Arial" w:hAnsi="Arial" w:cs="Arial"/>
        </w:rPr>
        <w:t>. Lancaster University (United Kingdom).</w:t>
      </w:r>
      <w:r>
        <w:rPr>
          <w:rFonts w:ascii="Arial" w:hAnsi="Arial" w:cs="Arial"/>
        </w:rPr>
        <w:t xml:space="preserve"> </w:t>
      </w:r>
      <w:hyperlink r:id="rId11" w:history="1">
        <w:r w:rsidRPr="00997DA1">
          <w:rPr>
            <w:rStyle w:val="Hyperlink"/>
            <w:rFonts w:ascii="Arial" w:hAnsi="Arial" w:cs="Arial"/>
          </w:rPr>
          <w:t>https://search.proquest.com/openview/2f8e76f2db821b1f51f2ad5e3ac103fd/1?pq-origsite=gscholar&amp;cbl=2026366&amp;diss=y</w:t>
        </w:r>
      </w:hyperlink>
    </w:p>
    <w:p w14:paraId="42DCA01F" w14:textId="04AAA852" w:rsidR="00000000" w:rsidRPr="00C83DAA" w:rsidRDefault="00000000" w:rsidP="007372AE">
      <w:pPr>
        <w:spacing w:line="276" w:lineRule="auto"/>
        <w:jc w:val="both"/>
        <w:rPr>
          <w:rFonts w:ascii="Arial" w:hAnsi="Arial" w:cs="Arial"/>
        </w:rPr>
      </w:pPr>
      <w:r w:rsidRPr="00C83DAA">
        <w:rPr>
          <w:rFonts w:ascii="Arial" w:hAnsi="Arial" w:cs="Arial"/>
        </w:rPr>
        <w:t xml:space="preserve">Khosla, A.S., Zona, E.E., Quach, M., </w:t>
      </w:r>
      <w:proofErr w:type="spellStart"/>
      <w:r w:rsidRPr="00C83DAA">
        <w:rPr>
          <w:rFonts w:ascii="Arial" w:hAnsi="Arial" w:cs="Arial"/>
        </w:rPr>
        <w:t>LaLiberte</w:t>
      </w:r>
      <w:proofErr w:type="spellEnd"/>
      <w:r w:rsidRPr="00C83DAA">
        <w:rPr>
          <w:rFonts w:ascii="Arial" w:hAnsi="Arial" w:cs="Arial"/>
        </w:rPr>
        <w:t xml:space="preserve">, C.J. and Poore, S.O., </w:t>
      </w:r>
      <w:r w:rsidR="009E1F95">
        <w:rPr>
          <w:rFonts w:ascii="Arial" w:hAnsi="Arial" w:cs="Arial"/>
        </w:rPr>
        <w:t>(</w:t>
      </w:r>
      <w:r w:rsidRPr="00C83DAA">
        <w:rPr>
          <w:rFonts w:ascii="Arial" w:hAnsi="Arial" w:cs="Arial"/>
        </w:rPr>
        <w:t>2021</w:t>
      </w:r>
      <w:r w:rsidR="009E1F95">
        <w:rPr>
          <w:rFonts w:ascii="Arial" w:hAnsi="Arial" w:cs="Arial"/>
        </w:rPr>
        <w:t>)</w:t>
      </w:r>
      <w:r w:rsidRPr="00C83DAA">
        <w:rPr>
          <w:rFonts w:ascii="Arial" w:hAnsi="Arial" w:cs="Arial"/>
        </w:rPr>
        <w:t>. Blocking the Holes: A Systems-Based Approach to Error Prevention in the Operating Room Using the Swiss Cheese Model. </w:t>
      </w:r>
      <w:r w:rsidRPr="00C83DAA">
        <w:rPr>
          <w:rFonts w:ascii="Arial" w:hAnsi="Arial" w:cs="Arial"/>
          <w:i/>
          <w:iCs/>
        </w:rPr>
        <w:t>Plastic and Reconstructive Surgery</w:t>
      </w:r>
      <w:r w:rsidRPr="00C83DAA">
        <w:rPr>
          <w:rFonts w:ascii="Arial" w:hAnsi="Arial" w:cs="Arial"/>
        </w:rPr>
        <w:t xml:space="preserve">, pp.10-1097. </w:t>
      </w:r>
      <w:hyperlink r:id="rId12" w:history="1">
        <w:r w:rsidRPr="00C83DAA">
          <w:rPr>
            <w:rStyle w:val="Hyperlink"/>
            <w:rFonts w:ascii="Arial" w:hAnsi="Arial" w:cs="Arial"/>
          </w:rPr>
          <w:t>https://journals.lww.com/plasreconsurg/citation/9900/blocking_the_holes__a_systems_based_approach_to.2865.aspx</w:t>
        </w:r>
      </w:hyperlink>
    </w:p>
    <w:p w14:paraId="24F7A180" w14:textId="6BEF9B19" w:rsidR="00000000" w:rsidRPr="00C83DAA" w:rsidRDefault="00000000" w:rsidP="007372AE">
      <w:pPr>
        <w:spacing w:line="276" w:lineRule="auto"/>
        <w:jc w:val="both"/>
        <w:rPr>
          <w:rFonts w:ascii="Arial" w:hAnsi="Arial" w:cs="Arial"/>
        </w:rPr>
      </w:pPr>
      <w:r w:rsidRPr="00C83DAA">
        <w:rPr>
          <w:rFonts w:ascii="Arial" w:hAnsi="Arial" w:cs="Arial"/>
        </w:rPr>
        <w:t xml:space="preserve">Moeng, M.S. and </w:t>
      </w:r>
      <w:proofErr w:type="spellStart"/>
      <w:r w:rsidRPr="00C83DAA">
        <w:rPr>
          <w:rFonts w:ascii="Arial" w:hAnsi="Arial" w:cs="Arial"/>
        </w:rPr>
        <w:t>Luvhengo</w:t>
      </w:r>
      <w:proofErr w:type="spellEnd"/>
      <w:r w:rsidRPr="00C83DAA">
        <w:rPr>
          <w:rFonts w:ascii="Arial" w:hAnsi="Arial" w:cs="Arial"/>
        </w:rPr>
        <w:t xml:space="preserve">, T.E., </w:t>
      </w:r>
      <w:r w:rsidR="00754DF0">
        <w:rPr>
          <w:rFonts w:ascii="Arial" w:hAnsi="Arial" w:cs="Arial"/>
        </w:rPr>
        <w:t>(</w:t>
      </w:r>
      <w:r w:rsidRPr="00C83DAA">
        <w:rPr>
          <w:rFonts w:ascii="Arial" w:hAnsi="Arial" w:cs="Arial"/>
        </w:rPr>
        <w:t>2022</w:t>
      </w:r>
      <w:r w:rsidR="00754DF0">
        <w:rPr>
          <w:rFonts w:ascii="Arial" w:hAnsi="Arial" w:cs="Arial"/>
        </w:rPr>
        <w:t>)</w:t>
      </w:r>
      <w:r w:rsidRPr="00C83DAA">
        <w:rPr>
          <w:rFonts w:ascii="Arial" w:hAnsi="Arial" w:cs="Arial"/>
        </w:rPr>
        <w:t>. Analysis of surgical mortalities using the fishbone model for quality improvement in surgical disciplines. </w:t>
      </w:r>
      <w:r w:rsidRPr="00C83DAA">
        <w:rPr>
          <w:rFonts w:ascii="Arial" w:hAnsi="Arial" w:cs="Arial"/>
          <w:i/>
          <w:iCs/>
        </w:rPr>
        <w:t>World Journal of Surgery</w:t>
      </w:r>
      <w:r w:rsidRPr="00C83DAA">
        <w:rPr>
          <w:rFonts w:ascii="Arial" w:hAnsi="Arial" w:cs="Arial"/>
        </w:rPr>
        <w:t>, </w:t>
      </w:r>
      <w:r w:rsidRPr="00C83DAA">
        <w:rPr>
          <w:rFonts w:ascii="Arial" w:hAnsi="Arial" w:cs="Arial"/>
          <w:i/>
          <w:iCs/>
        </w:rPr>
        <w:t>46</w:t>
      </w:r>
      <w:r w:rsidRPr="00C83DAA">
        <w:rPr>
          <w:rFonts w:ascii="Arial" w:hAnsi="Arial" w:cs="Arial"/>
        </w:rPr>
        <w:t xml:space="preserve">(5), pp.1006-1014. </w:t>
      </w:r>
      <w:hyperlink r:id="rId13" w:history="1">
        <w:r w:rsidRPr="00C83DAA">
          <w:rPr>
            <w:rStyle w:val="Hyperlink"/>
            <w:rFonts w:ascii="Arial" w:hAnsi="Arial" w:cs="Arial"/>
          </w:rPr>
          <w:t>https://link.springer.com/article/10.1007/s00268-021-06414-8</w:t>
        </w:r>
      </w:hyperlink>
    </w:p>
    <w:p w14:paraId="750EFCC9" w14:textId="74952CB9" w:rsidR="00000000" w:rsidRPr="00C83DAA" w:rsidRDefault="00000000" w:rsidP="007372AE">
      <w:pPr>
        <w:spacing w:line="276" w:lineRule="auto"/>
        <w:jc w:val="both"/>
        <w:rPr>
          <w:rFonts w:ascii="Arial" w:hAnsi="Arial" w:cs="Arial"/>
        </w:rPr>
      </w:pPr>
      <w:r w:rsidRPr="00C83DAA">
        <w:rPr>
          <w:rFonts w:ascii="Arial" w:hAnsi="Arial" w:cs="Arial"/>
        </w:rPr>
        <w:t xml:space="preserve">Omar, I., Hafez, A., </w:t>
      </w:r>
      <w:proofErr w:type="spellStart"/>
      <w:r w:rsidRPr="00C83DAA">
        <w:rPr>
          <w:rFonts w:ascii="Arial" w:hAnsi="Arial" w:cs="Arial"/>
        </w:rPr>
        <w:t>Zaimis</w:t>
      </w:r>
      <w:proofErr w:type="spellEnd"/>
      <w:r w:rsidRPr="00C83DAA">
        <w:rPr>
          <w:rFonts w:ascii="Arial" w:hAnsi="Arial" w:cs="Arial"/>
        </w:rPr>
        <w:t xml:space="preserve">, T., Singhal, R. and Spencer, R., </w:t>
      </w:r>
      <w:r w:rsidR="00606CD4">
        <w:rPr>
          <w:rFonts w:ascii="Arial" w:hAnsi="Arial" w:cs="Arial"/>
        </w:rPr>
        <w:t>(</w:t>
      </w:r>
      <w:r w:rsidRPr="00C83DAA">
        <w:rPr>
          <w:rFonts w:ascii="Arial" w:hAnsi="Arial" w:cs="Arial"/>
        </w:rPr>
        <w:t>2023</w:t>
      </w:r>
      <w:r w:rsidR="00606CD4">
        <w:rPr>
          <w:rFonts w:ascii="Arial" w:hAnsi="Arial" w:cs="Arial"/>
        </w:rPr>
        <w:t>)</w:t>
      </w:r>
      <w:r w:rsidRPr="00C83DAA">
        <w:rPr>
          <w:rFonts w:ascii="Arial" w:hAnsi="Arial" w:cs="Arial"/>
        </w:rPr>
        <w:t xml:space="preserve">. </w:t>
      </w:r>
      <w:proofErr w:type="spellStart"/>
      <w:r w:rsidRPr="00C83DAA">
        <w:rPr>
          <w:rFonts w:ascii="Arial" w:hAnsi="Arial" w:cs="Arial"/>
        </w:rPr>
        <w:t>AVOIDable</w:t>
      </w:r>
      <w:proofErr w:type="spellEnd"/>
      <w:r w:rsidRPr="00C83DAA">
        <w:rPr>
          <w:rFonts w:ascii="Arial" w:hAnsi="Arial" w:cs="Arial"/>
        </w:rPr>
        <w:t xml:space="preserve"> medical errors in invasive procedures: Facts on the ground–An NHS staff survey. </w:t>
      </w:r>
      <w:r w:rsidRPr="00C83DAA">
        <w:rPr>
          <w:rFonts w:ascii="Arial" w:hAnsi="Arial" w:cs="Arial"/>
          <w:i/>
          <w:iCs/>
        </w:rPr>
        <w:t>International Journal of Risk &amp; Safety in Medicine</w:t>
      </w:r>
      <w:r w:rsidRPr="00C83DAA">
        <w:rPr>
          <w:rFonts w:ascii="Arial" w:hAnsi="Arial" w:cs="Arial"/>
        </w:rPr>
        <w:t>, </w:t>
      </w:r>
      <w:r w:rsidRPr="00C83DAA">
        <w:rPr>
          <w:rFonts w:ascii="Arial" w:hAnsi="Arial" w:cs="Arial"/>
          <w:i/>
          <w:iCs/>
        </w:rPr>
        <w:t>34</w:t>
      </w:r>
      <w:r w:rsidRPr="00C83DAA">
        <w:rPr>
          <w:rFonts w:ascii="Arial" w:hAnsi="Arial" w:cs="Arial"/>
        </w:rPr>
        <w:t xml:space="preserve">(3), pp.189-206. </w:t>
      </w:r>
      <w:hyperlink r:id="rId14" w:history="1">
        <w:r w:rsidRPr="00C83DAA">
          <w:rPr>
            <w:rStyle w:val="Hyperlink"/>
            <w:rFonts w:ascii="Arial" w:hAnsi="Arial" w:cs="Arial"/>
          </w:rPr>
          <w:t>https://journals.sagepub.com/doi/abs/10.3233/JRS-220055</w:t>
        </w:r>
      </w:hyperlink>
    </w:p>
    <w:p w14:paraId="5B43B162" w14:textId="288DC99F" w:rsidR="00000000" w:rsidRPr="00C83DAA" w:rsidRDefault="00000000" w:rsidP="007372AE">
      <w:pPr>
        <w:spacing w:line="276" w:lineRule="auto"/>
        <w:jc w:val="both"/>
        <w:rPr>
          <w:rFonts w:ascii="Arial" w:hAnsi="Arial" w:cs="Arial"/>
        </w:rPr>
      </w:pPr>
      <w:r w:rsidRPr="00C83DAA">
        <w:rPr>
          <w:rFonts w:ascii="Arial" w:hAnsi="Arial" w:cs="Arial"/>
        </w:rPr>
        <w:lastRenderedPageBreak/>
        <w:t xml:space="preserve">Stretton, P., </w:t>
      </w:r>
      <w:r w:rsidR="00464AF3">
        <w:rPr>
          <w:rFonts w:ascii="Arial" w:hAnsi="Arial" w:cs="Arial"/>
        </w:rPr>
        <w:t>(</w:t>
      </w:r>
      <w:r w:rsidRPr="00C83DAA">
        <w:rPr>
          <w:rFonts w:ascii="Arial" w:hAnsi="Arial" w:cs="Arial"/>
        </w:rPr>
        <w:t>2021</w:t>
      </w:r>
      <w:r w:rsidR="00464AF3">
        <w:rPr>
          <w:rFonts w:ascii="Arial" w:hAnsi="Arial" w:cs="Arial"/>
        </w:rPr>
        <w:t>)</w:t>
      </w:r>
      <w:r w:rsidRPr="00C83DAA">
        <w:rPr>
          <w:rFonts w:ascii="Arial" w:hAnsi="Arial" w:cs="Arial"/>
        </w:rPr>
        <w:t>. Beyond root cause analysis: how variation analysis can provide a deeper understanding of causation in complex adaptive systems. </w:t>
      </w:r>
      <w:r w:rsidRPr="00C83DAA">
        <w:rPr>
          <w:rFonts w:ascii="Arial" w:hAnsi="Arial" w:cs="Arial"/>
          <w:i/>
          <w:iCs/>
        </w:rPr>
        <w:t>Journal of Patient Safety and Risk Management</w:t>
      </w:r>
      <w:r w:rsidRPr="00C83DAA">
        <w:rPr>
          <w:rFonts w:ascii="Arial" w:hAnsi="Arial" w:cs="Arial"/>
        </w:rPr>
        <w:t>, </w:t>
      </w:r>
      <w:r w:rsidRPr="00C83DAA">
        <w:rPr>
          <w:rFonts w:ascii="Arial" w:hAnsi="Arial" w:cs="Arial"/>
          <w:i/>
          <w:iCs/>
        </w:rPr>
        <w:t>26</w:t>
      </w:r>
      <w:r w:rsidRPr="00C83DAA">
        <w:rPr>
          <w:rFonts w:ascii="Arial" w:hAnsi="Arial" w:cs="Arial"/>
        </w:rPr>
        <w:t xml:space="preserve">(2), pp.74-80. </w:t>
      </w:r>
      <w:hyperlink r:id="rId15" w:history="1">
        <w:r w:rsidRPr="00C83DAA">
          <w:rPr>
            <w:rStyle w:val="Hyperlink"/>
            <w:rFonts w:ascii="Arial" w:hAnsi="Arial" w:cs="Arial"/>
          </w:rPr>
          <w:t>https://journals.sagepub.com/doi/abs/10.1177/2516043521992908</w:t>
        </w:r>
      </w:hyperlink>
    </w:p>
    <w:p w14:paraId="4EF8E9D9" w14:textId="4492F189" w:rsidR="00000000" w:rsidRPr="00D32F70" w:rsidRDefault="00000000" w:rsidP="007372AE">
      <w:pPr>
        <w:spacing w:line="276" w:lineRule="auto"/>
        <w:jc w:val="both"/>
        <w:rPr>
          <w:rFonts w:ascii="Arial" w:hAnsi="Arial" w:cs="Arial"/>
        </w:rPr>
      </w:pPr>
      <w:r w:rsidRPr="00C83DAA">
        <w:rPr>
          <w:rFonts w:ascii="Arial" w:hAnsi="Arial" w:cs="Arial"/>
        </w:rPr>
        <w:t xml:space="preserve">Underwood, K. and Kilvington, W., </w:t>
      </w:r>
      <w:r w:rsidR="00214600">
        <w:rPr>
          <w:rFonts w:ascii="Arial" w:hAnsi="Arial" w:cs="Arial"/>
        </w:rPr>
        <w:t>(</w:t>
      </w:r>
      <w:r w:rsidRPr="00C83DAA">
        <w:rPr>
          <w:rFonts w:ascii="Arial" w:hAnsi="Arial" w:cs="Arial"/>
        </w:rPr>
        <w:t>2024</w:t>
      </w:r>
      <w:r w:rsidR="00214600">
        <w:rPr>
          <w:rFonts w:ascii="Arial" w:hAnsi="Arial" w:cs="Arial"/>
        </w:rPr>
        <w:t>)</w:t>
      </w:r>
      <w:r w:rsidRPr="00C83DAA">
        <w:rPr>
          <w:rFonts w:ascii="Arial" w:hAnsi="Arial" w:cs="Arial"/>
        </w:rPr>
        <w:t xml:space="preserve">. Patient safety and </w:t>
      </w:r>
      <w:proofErr w:type="gramStart"/>
      <w:r w:rsidRPr="00C83DAA">
        <w:rPr>
          <w:rFonts w:ascii="Arial" w:hAnsi="Arial" w:cs="Arial"/>
        </w:rPr>
        <w:t>Operating</w:t>
      </w:r>
      <w:proofErr w:type="gramEnd"/>
      <w:r w:rsidRPr="00C83DAA">
        <w:rPr>
          <w:rFonts w:ascii="Arial" w:hAnsi="Arial" w:cs="Arial"/>
        </w:rPr>
        <w:t>. </w:t>
      </w:r>
      <w:r w:rsidRPr="00C83DAA">
        <w:rPr>
          <w:rFonts w:ascii="Arial" w:hAnsi="Arial" w:cs="Arial"/>
          <w:i/>
          <w:iCs/>
        </w:rPr>
        <w:t>Foundations for Operating Department Practice: Essential Theory for Practice</w:t>
      </w:r>
      <w:r w:rsidRPr="00C83DAA">
        <w:rPr>
          <w:rFonts w:ascii="Arial" w:hAnsi="Arial" w:cs="Arial"/>
        </w:rPr>
        <w:t xml:space="preserve">, p.112. </w:t>
      </w:r>
      <w:hyperlink r:id="rId16" w:history="1">
        <w:r w:rsidRPr="00C83DAA">
          <w:rPr>
            <w:rStyle w:val="Hyperlink"/>
            <w:rFonts w:ascii="Arial" w:hAnsi="Arial" w:cs="Arial"/>
          </w:rPr>
          <w:t>https://books.google.com/books?hl=en&amp;lr=&amp;id=NJn5EAAAQBAJ&amp;oi=fnd&amp;pg=PA112&amp;dq=Inconsistent+implementation+of+NatSSIPs+across+different+NHS+trusts+leads+to+significant+variation+in+safety+practices,+making+some+environments+more+vulnerable+to+surgical+errors+than+others.&amp;ots=PRbHfJ8sTj&amp;sig=-057l0tGWNID3LTI1ugFu-ep3sk</w:t>
        </w:r>
      </w:hyperlink>
    </w:p>
    <w:p w14:paraId="30CEAAE0" w14:textId="77777777" w:rsidR="00000000" w:rsidRPr="00C83DAA" w:rsidRDefault="00000000" w:rsidP="00973CC7">
      <w:pPr>
        <w:spacing w:line="276" w:lineRule="auto"/>
        <w:ind w:left="360"/>
        <w:jc w:val="both"/>
        <w:rPr>
          <w:rFonts w:ascii="Arial" w:hAnsi="Arial" w:cs="Arial"/>
        </w:rPr>
      </w:pPr>
    </w:p>
    <w:p w14:paraId="7CB26F12" w14:textId="77777777" w:rsidR="00000000" w:rsidRPr="00C83DAA" w:rsidRDefault="00000000" w:rsidP="00973CC7">
      <w:pPr>
        <w:spacing w:line="276" w:lineRule="auto"/>
        <w:jc w:val="both"/>
        <w:rPr>
          <w:rFonts w:ascii="Arial" w:hAnsi="Arial" w:cs="Arial"/>
        </w:rPr>
      </w:pPr>
    </w:p>
    <w:p w14:paraId="1EA8577E" w14:textId="77777777" w:rsidR="00973CC7" w:rsidRPr="00D32F70" w:rsidRDefault="00973CC7" w:rsidP="00973CC7">
      <w:pPr>
        <w:spacing w:line="276" w:lineRule="auto"/>
        <w:jc w:val="both"/>
        <w:rPr>
          <w:rFonts w:ascii="Arial" w:hAnsi="Arial" w:cs="Arial"/>
          <w:color w:val="000000" w:themeColor="text1"/>
        </w:rPr>
      </w:pPr>
    </w:p>
    <w:p w14:paraId="3A5C0907" w14:textId="77777777" w:rsidR="00973CC7" w:rsidRPr="00973CC7" w:rsidRDefault="00973CC7" w:rsidP="00973CC7">
      <w:pPr>
        <w:spacing w:line="276" w:lineRule="auto"/>
        <w:jc w:val="both"/>
        <w:rPr>
          <w:rFonts w:ascii="Arial" w:hAnsi="Arial" w:cs="Arial"/>
          <w:color w:val="000000" w:themeColor="text1"/>
        </w:rPr>
      </w:pPr>
    </w:p>
    <w:p w14:paraId="195E0D06" w14:textId="77777777" w:rsidR="00973CC7" w:rsidRPr="00E90A8C" w:rsidRDefault="00973CC7" w:rsidP="00973CC7">
      <w:pPr>
        <w:spacing w:line="276" w:lineRule="auto"/>
        <w:jc w:val="both"/>
        <w:rPr>
          <w:rFonts w:ascii="Arial" w:hAnsi="Arial" w:cs="Arial"/>
          <w:color w:val="000000" w:themeColor="text1"/>
        </w:rPr>
      </w:pPr>
    </w:p>
    <w:p w14:paraId="528A62EB" w14:textId="77777777" w:rsidR="00E90A8C" w:rsidRPr="00D32F70" w:rsidRDefault="00E90A8C" w:rsidP="00973CC7">
      <w:pPr>
        <w:spacing w:line="360" w:lineRule="auto"/>
        <w:jc w:val="both"/>
        <w:rPr>
          <w:rFonts w:ascii="Arial" w:hAnsi="Arial" w:cs="Arial"/>
          <w:color w:val="000000" w:themeColor="text1"/>
        </w:rPr>
      </w:pPr>
    </w:p>
    <w:p w14:paraId="71C28ED7" w14:textId="77777777" w:rsidR="000232B3" w:rsidRPr="00D32F70" w:rsidRDefault="000232B3" w:rsidP="00973CC7">
      <w:pPr>
        <w:jc w:val="both"/>
        <w:rPr>
          <w:rFonts w:ascii="Arial" w:hAnsi="Arial" w:cs="Arial"/>
        </w:rPr>
      </w:pPr>
    </w:p>
    <w:sectPr w:rsidR="000232B3" w:rsidRPr="00D32F70" w:rsidSect="00827154">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B2D35"/>
    <w:multiLevelType w:val="hybridMultilevel"/>
    <w:tmpl w:val="0C964B0E"/>
    <w:lvl w:ilvl="0" w:tplc="DEE810BA">
      <w:start w:val="1"/>
      <w:numFmt w:val="bullet"/>
      <w:lvlText w:val="◦"/>
      <w:lvlJc w:val="left"/>
      <w:pPr>
        <w:tabs>
          <w:tab w:val="num" w:pos="720"/>
        </w:tabs>
        <w:ind w:left="720" w:hanging="360"/>
      </w:pPr>
      <w:rPr>
        <w:rFonts w:ascii="Garamond" w:hAnsi="Garamond" w:hint="default"/>
      </w:rPr>
    </w:lvl>
    <w:lvl w:ilvl="1" w:tplc="1D72EB34" w:tentative="1">
      <w:start w:val="1"/>
      <w:numFmt w:val="bullet"/>
      <w:lvlText w:val="◦"/>
      <w:lvlJc w:val="left"/>
      <w:pPr>
        <w:tabs>
          <w:tab w:val="num" w:pos="1440"/>
        </w:tabs>
        <w:ind w:left="1440" w:hanging="360"/>
      </w:pPr>
      <w:rPr>
        <w:rFonts w:ascii="Garamond" w:hAnsi="Garamond" w:hint="default"/>
      </w:rPr>
    </w:lvl>
    <w:lvl w:ilvl="2" w:tplc="D0E6BCCE" w:tentative="1">
      <w:start w:val="1"/>
      <w:numFmt w:val="bullet"/>
      <w:lvlText w:val="◦"/>
      <w:lvlJc w:val="left"/>
      <w:pPr>
        <w:tabs>
          <w:tab w:val="num" w:pos="2160"/>
        </w:tabs>
        <w:ind w:left="2160" w:hanging="360"/>
      </w:pPr>
      <w:rPr>
        <w:rFonts w:ascii="Garamond" w:hAnsi="Garamond" w:hint="default"/>
      </w:rPr>
    </w:lvl>
    <w:lvl w:ilvl="3" w:tplc="E0EEBFE4" w:tentative="1">
      <w:start w:val="1"/>
      <w:numFmt w:val="bullet"/>
      <w:lvlText w:val="◦"/>
      <w:lvlJc w:val="left"/>
      <w:pPr>
        <w:tabs>
          <w:tab w:val="num" w:pos="2880"/>
        </w:tabs>
        <w:ind w:left="2880" w:hanging="360"/>
      </w:pPr>
      <w:rPr>
        <w:rFonts w:ascii="Garamond" w:hAnsi="Garamond" w:hint="default"/>
      </w:rPr>
    </w:lvl>
    <w:lvl w:ilvl="4" w:tplc="0862D1A8" w:tentative="1">
      <w:start w:val="1"/>
      <w:numFmt w:val="bullet"/>
      <w:lvlText w:val="◦"/>
      <w:lvlJc w:val="left"/>
      <w:pPr>
        <w:tabs>
          <w:tab w:val="num" w:pos="3600"/>
        </w:tabs>
        <w:ind w:left="3600" w:hanging="360"/>
      </w:pPr>
      <w:rPr>
        <w:rFonts w:ascii="Garamond" w:hAnsi="Garamond" w:hint="default"/>
      </w:rPr>
    </w:lvl>
    <w:lvl w:ilvl="5" w:tplc="A4BE7B30" w:tentative="1">
      <w:start w:val="1"/>
      <w:numFmt w:val="bullet"/>
      <w:lvlText w:val="◦"/>
      <w:lvlJc w:val="left"/>
      <w:pPr>
        <w:tabs>
          <w:tab w:val="num" w:pos="4320"/>
        </w:tabs>
        <w:ind w:left="4320" w:hanging="360"/>
      </w:pPr>
      <w:rPr>
        <w:rFonts w:ascii="Garamond" w:hAnsi="Garamond" w:hint="default"/>
      </w:rPr>
    </w:lvl>
    <w:lvl w:ilvl="6" w:tplc="7BFCDF5E" w:tentative="1">
      <w:start w:val="1"/>
      <w:numFmt w:val="bullet"/>
      <w:lvlText w:val="◦"/>
      <w:lvlJc w:val="left"/>
      <w:pPr>
        <w:tabs>
          <w:tab w:val="num" w:pos="5040"/>
        </w:tabs>
        <w:ind w:left="5040" w:hanging="360"/>
      </w:pPr>
      <w:rPr>
        <w:rFonts w:ascii="Garamond" w:hAnsi="Garamond" w:hint="default"/>
      </w:rPr>
    </w:lvl>
    <w:lvl w:ilvl="7" w:tplc="C8AA9BC6" w:tentative="1">
      <w:start w:val="1"/>
      <w:numFmt w:val="bullet"/>
      <w:lvlText w:val="◦"/>
      <w:lvlJc w:val="left"/>
      <w:pPr>
        <w:tabs>
          <w:tab w:val="num" w:pos="5760"/>
        </w:tabs>
        <w:ind w:left="5760" w:hanging="360"/>
      </w:pPr>
      <w:rPr>
        <w:rFonts w:ascii="Garamond" w:hAnsi="Garamond" w:hint="default"/>
      </w:rPr>
    </w:lvl>
    <w:lvl w:ilvl="8" w:tplc="9BD47AAE"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5C8F2A70"/>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3226480">
    <w:abstractNumId w:val="1"/>
  </w:num>
  <w:num w:numId="2" w16cid:durableId="2132555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576"/>
    <w:rsid w:val="000232B3"/>
    <w:rsid w:val="00096F57"/>
    <w:rsid w:val="000D4A8F"/>
    <w:rsid w:val="00214600"/>
    <w:rsid w:val="00310E2A"/>
    <w:rsid w:val="0040603E"/>
    <w:rsid w:val="0043427B"/>
    <w:rsid w:val="00464AF3"/>
    <w:rsid w:val="005124AC"/>
    <w:rsid w:val="00516D35"/>
    <w:rsid w:val="005C2043"/>
    <w:rsid w:val="00606CD4"/>
    <w:rsid w:val="00666DA7"/>
    <w:rsid w:val="00670B92"/>
    <w:rsid w:val="007372AE"/>
    <w:rsid w:val="00754DF0"/>
    <w:rsid w:val="00775A4B"/>
    <w:rsid w:val="007E30F0"/>
    <w:rsid w:val="00806EE1"/>
    <w:rsid w:val="00810B58"/>
    <w:rsid w:val="00827154"/>
    <w:rsid w:val="008D47EB"/>
    <w:rsid w:val="00903671"/>
    <w:rsid w:val="0093658E"/>
    <w:rsid w:val="00973CC7"/>
    <w:rsid w:val="009C2C1D"/>
    <w:rsid w:val="009E1F95"/>
    <w:rsid w:val="00A1271A"/>
    <w:rsid w:val="00A30FC5"/>
    <w:rsid w:val="00A85B59"/>
    <w:rsid w:val="00A95DC2"/>
    <w:rsid w:val="00B979F1"/>
    <w:rsid w:val="00C54373"/>
    <w:rsid w:val="00C82724"/>
    <w:rsid w:val="00D32F70"/>
    <w:rsid w:val="00DB52D1"/>
    <w:rsid w:val="00DD4036"/>
    <w:rsid w:val="00E34877"/>
    <w:rsid w:val="00E90A8C"/>
    <w:rsid w:val="00ED7BE7"/>
    <w:rsid w:val="00EE1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7B7F7"/>
  <w15:chartTrackingRefBased/>
  <w15:docId w15:val="{1BD80688-1BD1-4F41-9F7E-827FEB425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A8C"/>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EE1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1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1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1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EE1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1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1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1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576"/>
    <w:rPr>
      <w:rFonts w:eastAsiaTheme="majorEastAsia" w:cstheme="majorBidi"/>
      <w:color w:val="272727" w:themeColor="text1" w:themeTint="D8"/>
    </w:rPr>
  </w:style>
  <w:style w:type="paragraph" w:styleId="Title">
    <w:name w:val="Title"/>
    <w:basedOn w:val="Normal"/>
    <w:next w:val="Normal"/>
    <w:link w:val="TitleChar"/>
    <w:uiPriority w:val="10"/>
    <w:qFormat/>
    <w:rsid w:val="00EE1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576"/>
    <w:pPr>
      <w:spacing w:before="160"/>
      <w:jc w:val="center"/>
    </w:pPr>
    <w:rPr>
      <w:i/>
      <w:iCs/>
      <w:color w:val="404040" w:themeColor="text1" w:themeTint="BF"/>
    </w:rPr>
  </w:style>
  <w:style w:type="character" w:customStyle="1" w:styleId="QuoteChar">
    <w:name w:val="Quote Char"/>
    <w:basedOn w:val="DefaultParagraphFont"/>
    <w:link w:val="Quote"/>
    <w:uiPriority w:val="29"/>
    <w:rsid w:val="00EE1576"/>
    <w:rPr>
      <w:i/>
      <w:iCs/>
      <w:color w:val="404040" w:themeColor="text1" w:themeTint="BF"/>
    </w:rPr>
  </w:style>
  <w:style w:type="paragraph" w:styleId="ListParagraph">
    <w:name w:val="List Paragraph"/>
    <w:basedOn w:val="Normal"/>
    <w:uiPriority w:val="34"/>
    <w:qFormat/>
    <w:rsid w:val="00EE1576"/>
    <w:pPr>
      <w:ind w:left="720"/>
      <w:contextualSpacing/>
    </w:pPr>
  </w:style>
  <w:style w:type="character" w:styleId="IntenseEmphasis">
    <w:name w:val="Intense Emphasis"/>
    <w:basedOn w:val="DefaultParagraphFont"/>
    <w:uiPriority w:val="21"/>
    <w:qFormat/>
    <w:rsid w:val="00EE1576"/>
    <w:rPr>
      <w:i/>
      <w:iCs/>
      <w:color w:val="0F4761" w:themeColor="accent1" w:themeShade="BF"/>
    </w:rPr>
  </w:style>
  <w:style w:type="paragraph" w:styleId="IntenseQuote">
    <w:name w:val="Intense Quote"/>
    <w:basedOn w:val="Normal"/>
    <w:next w:val="Normal"/>
    <w:link w:val="IntenseQuoteChar"/>
    <w:uiPriority w:val="30"/>
    <w:qFormat/>
    <w:rsid w:val="00EE1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1576"/>
    <w:rPr>
      <w:i/>
      <w:iCs/>
      <w:color w:val="0F4761" w:themeColor="accent1" w:themeShade="BF"/>
    </w:rPr>
  </w:style>
  <w:style w:type="character" w:styleId="IntenseReference">
    <w:name w:val="Intense Reference"/>
    <w:basedOn w:val="DefaultParagraphFont"/>
    <w:uiPriority w:val="32"/>
    <w:qFormat/>
    <w:rsid w:val="00EE1576"/>
    <w:rPr>
      <w:b/>
      <w:bCs/>
      <w:smallCaps/>
      <w:color w:val="0F4761" w:themeColor="accent1" w:themeShade="BF"/>
      <w:spacing w:val="5"/>
    </w:rPr>
  </w:style>
  <w:style w:type="character" w:styleId="Hyperlink">
    <w:name w:val="Hyperlink"/>
    <w:basedOn w:val="DefaultParagraphFont"/>
    <w:uiPriority w:val="99"/>
    <w:unhideWhenUsed/>
    <w:rsid w:val="00973CC7"/>
    <w:rPr>
      <w:color w:val="467886" w:themeColor="hyperlink"/>
      <w:u w:val="single"/>
    </w:rPr>
  </w:style>
  <w:style w:type="character" w:styleId="UnresolvedMention">
    <w:name w:val="Unresolved Mention"/>
    <w:basedOn w:val="DefaultParagraphFont"/>
    <w:uiPriority w:val="99"/>
    <w:semiHidden/>
    <w:unhideWhenUsed/>
    <w:rsid w:val="00973C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vista.aac.org.ar/index.php/RevArgentCirug/article/download/587/2435" TargetMode="External"/><Relationship Id="rId13" Type="http://schemas.openxmlformats.org/officeDocument/2006/relationships/hyperlink" Target="https://link.springer.com/article/10.1007/s00268-021-06414-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onlinelibrary.wiley.com/doi/abs/10.1002/9781394322008.ch2" TargetMode="External"/><Relationship Id="rId12" Type="http://schemas.openxmlformats.org/officeDocument/2006/relationships/hyperlink" Target="https://journals.lww.com/plasreconsurg/citation/9900/blocking_the_holes__a_systems_based_approach_to.2865.asp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ooks.google.com/books?hl=en&amp;lr=&amp;id=NJn5EAAAQBAJ&amp;oi=fnd&amp;pg=PA112&amp;dq=Inconsistent+implementation+of+NatSSIPs+across+different+NHS+trusts+leads+to+significant+variation+in+safety+practices,+making+some+environments+more+vulnerable+to+surgical+errors+than+others.&amp;ots=PRbHfJ8sTj&amp;sig=-057l0tGWNID3LTI1ugFu-ep3sk" TargetMode="External"/><Relationship Id="rId1" Type="http://schemas.openxmlformats.org/officeDocument/2006/relationships/numbering" Target="numbering.xml"/><Relationship Id="rId6" Type="http://schemas.openxmlformats.org/officeDocument/2006/relationships/hyperlink" Target="https://academic.oup.com/intqhc/article-abstract/37/4/mzaf109/8277003" TargetMode="External"/><Relationship Id="rId11" Type="http://schemas.openxmlformats.org/officeDocument/2006/relationships/hyperlink" Target="https://search.proquest.com/openview/2f8e76f2db821b1f51f2ad5e3ac103fd/1?pq-origsite=gscholar&amp;cbl=2026366&amp;diss=y" TargetMode="External"/><Relationship Id="rId5" Type="http://schemas.openxmlformats.org/officeDocument/2006/relationships/image" Target="media/image1.png"/><Relationship Id="rId15" Type="http://schemas.openxmlformats.org/officeDocument/2006/relationships/hyperlink" Target="https://journals.sagepub.com/doi/abs/10.1177/2516043521992908" TargetMode="External"/><Relationship Id="rId10" Type="http://schemas.openxmlformats.org/officeDocument/2006/relationships/hyperlink" Target="https://www.tandfonline.com/doi/abs/10.1080/02688697.2022.2152428" TargetMode="External"/><Relationship Id="rId4" Type="http://schemas.openxmlformats.org/officeDocument/2006/relationships/webSettings" Target="webSettings.xml"/><Relationship Id="rId9" Type="http://schemas.openxmlformats.org/officeDocument/2006/relationships/hyperlink" Target="https://books.google.com/books?hl=en&amp;lr=&amp;id=2MsqEAAAQBAJ&amp;oi=fnd&amp;pg=PA1&amp;dq=A+surgical+error+is+an+unintended,+preventable+mistake+that+occurs+during+the+planning+or+execution+of+an+operation,+leading+to+patient+harm+or+risk+of+harm.&amp;ots=95d82g_IEj&amp;sig=S0AMvqglbp8W61at-DAjmmWXN58" TargetMode="External"/><Relationship Id="rId14" Type="http://schemas.openxmlformats.org/officeDocument/2006/relationships/hyperlink" Target="https://journals.sagepub.com/doi/abs/10.3233/JRS-220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1754</Words>
  <Characters>10002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GAZALA SHAHJADA</cp:lastModifiedBy>
  <cp:revision>28</cp:revision>
  <dcterms:created xsi:type="dcterms:W3CDTF">2025-12-07T10:53:00Z</dcterms:created>
  <dcterms:modified xsi:type="dcterms:W3CDTF">2025-12-07T11:16:00Z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f999b555-8959-4d82-8f56-6c02922779d4</vt:lpwstr>
  </property>
</Properties>
</file>