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3E268" w14:textId="0DC5AB19" w:rsidR="00164A87" w:rsidRDefault="00164A87">
      <w:r>
        <w:t>How may one distinguish between a caused event and a coincidence?</w:t>
      </w:r>
    </w:p>
    <w:p w14:paraId="68EFBB6F" w14:textId="77777777" w:rsidR="00164A87" w:rsidRDefault="00164A87"/>
    <w:p w14:paraId="3BDE9767" w14:textId="77777777" w:rsidR="00164A87" w:rsidRDefault="00164A87"/>
    <w:p w14:paraId="28C31A85" w14:textId="7F8C1DBC" w:rsidR="00164A87" w:rsidRDefault="00636F4D">
      <w:r>
        <w:t xml:space="preserve">The question of how </w:t>
      </w:r>
      <w:proofErr w:type="gramStart"/>
      <w:r>
        <w:t>does one distinguish</w:t>
      </w:r>
      <w:proofErr w:type="gramEnd"/>
      <w:r>
        <w:t xml:space="preserve"> between an event and a coincidence has it’s roots in </w:t>
      </w:r>
      <w:proofErr w:type="spellStart"/>
      <w:r>
        <w:t>Humean</w:t>
      </w:r>
      <w:proofErr w:type="spellEnd"/>
      <w:r>
        <w:t xml:space="preserve"> philosophy, associated with his empiricism. </w:t>
      </w:r>
      <w:proofErr w:type="gramStart"/>
      <w:r>
        <w:t>Specifically</w:t>
      </w:r>
      <w:proofErr w:type="gramEnd"/>
      <w:r>
        <w:t xml:space="preserve"> his views on necessary connection are influenced by his empiricism which itself is rooted in his interested in the origin of ideas. For this he appeals to both perceptual data (impressions of sensation) and introspective data (the impressions of reflection)</w:t>
      </w:r>
      <w:r w:rsidR="009E06C0">
        <w:t>.</w:t>
      </w:r>
      <w:bookmarkStart w:id="0" w:name="_GoBack"/>
      <w:bookmarkEnd w:id="0"/>
    </w:p>
    <w:p w14:paraId="65BC89E5" w14:textId="0ADB9C6D" w:rsidR="004360B1" w:rsidRDefault="002230E3">
      <w:r>
        <w:t xml:space="preserve">In Hume’s own words </w:t>
      </w:r>
      <w:r w:rsidR="00634873">
        <w:t xml:space="preserve">“We may define cause to be an object followed by another, and where all the objects, </w:t>
      </w:r>
      <w:proofErr w:type="gramStart"/>
      <w:r w:rsidR="00634873">
        <w:t>similar to</w:t>
      </w:r>
      <w:proofErr w:type="gramEnd"/>
      <w:r w:rsidR="00634873">
        <w:t xml:space="preserve"> the first, are followed by objects similar to the second. Or, in other words, where, if the first object had not been, the second never had existed.”</w:t>
      </w:r>
    </w:p>
    <w:p w14:paraId="7A6FAA02" w14:textId="6B20F636" w:rsidR="00BB1D84" w:rsidRDefault="009E28E7">
      <w:r>
        <w:t xml:space="preserve">Criticism of Hume have criticised him </w:t>
      </w:r>
      <w:proofErr w:type="gramStart"/>
      <w:r>
        <w:t>on the basis of</w:t>
      </w:r>
      <w:proofErr w:type="gramEnd"/>
      <w:r>
        <w:t xml:space="preserve"> not acknowledging the regularity with </w:t>
      </w:r>
      <w:proofErr w:type="spellStart"/>
      <w:r>
        <w:t>wi</w:t>
      </w:r>
      <w:r w:rsidR="00B92E0B">
        <w:t>ch</w:t>
      </w:r>
      <w:proofErr w:type="spellEnd"/>
      <w:r>
        <w:t xml:space="preserve"> we perceive cause and effect.</w:t>
      </w:r>
      <w:r w:rsidR="002447A2">
        <w:t xml:space="preserve"> </w:t>
      </w:r>
      <w:r w:rsidR="002447A2">
        <w:rPr>
          <w:rStyle w:val="FootnoteReference"/>
        </w:rPr>
        <w:footnoteReference w:id="1"/>
      </w:r>
      <w:r>
        <w:t xml:space="preserve">We can instantiate general patterns that imply an event causing another event and even though Hume’s empiricist metaphysics have helped to challenge this view, this does not seem to necessarily undermine or subject from the general claim that cause and effect has the appearance of surface validity. An Ockham’s razor approach would also seem to support this view. Hume’s detractors do not hold all the same views and there </w:t>
      </w:r>
      <w:r w:rsidR="002447A2">
        <w:t xml:space="preserve">is </w:t>
      </w:r>
      <w:r>
        <w:t>certainly variational nuance with which they explain the subjective notion of cause in such patterns of regularity</w:t>
      </w:r>
      <w:r w:rsidR="00B41259">
        <w:t xml:space="preserve">. Some have conceded that even though Hume was perhaps in showing how necessary connection is not an empirical concept, there is no good reason as to why this </w:t>
      </w:r>
      <w:proofErr w:type="gramStart"/>
      <w:r w:rsidR="00B41259">
        <w:t>has to</w:t>
      </w:r>
      <w:proofErr w:type="gramEnd"/>
      <w:r w:rsidR="00B41259">
        <w:t xml:space="preserve"> necessarily delegitimise this view. This is because, like those in the Kantian tradition believe, the notion of cause and effect, whilst not empirically verifiable and therefore contradictory to Hume’s mode of philosophy, it is a priori, </w:t>
      </w:r>
      <w:proofErr w:type="spellStart"/>
      <w:r w:rsidR="00B41259">
        <w:t>befor</w:t>
      </w:r>
      <w:proofErr w:type="spellEnd"/>
      <w:r w:rsidR="00B41259">
        <w:t xml:space="preserve"> experience. In other words, it is innate.</w:t>
      </w:r>
    </w:p>
    <w:p w14:paraId="6A927119" w14:textId="3A482A47" w:rsidR="00B41259" w:rsidRDefault="00B41259">
      <w:r>
        <w:t xml:space="preserve">It seems there is still today, substantial disagreement about the extent to which Hume’s philosophy in this area showed anything significant about cause and effect, even though there is some </w:t>
      </w:r>
      <w:proofErr w:type="spellStart"/>
      <w:r>
        <w:t>conceden</w:t>
      </w:r>
      <w:r w:rsidR="00BE445E">
        <w:t>c</w:t>
      </w:r>
      <w:r>
        <w:t>e</w:t>
      </w:r>
      <w:proofErr w:type="spellEnd"/>
      <w:r>
        <w:t xml:space="preserve"> and consensus about how we don’t directly experience this relationship. </w:t>
      </w:r>
    </w:p>
    <w:p w14:paraId="7DBDB444" w14:textId="3BDF457C" w:rsidR="006443F0" w:rsidRDefault="00BE445E">
      <w:r>
        <w:t xml:space="preserve">To elaborate on the specific analogies of Hume’s that make his case for his empiricist account, it may be useful to imagine, as Hume believes it is, </w:t>
      </w:r>
      <w:r w:rsidR="002A5D54">
        <w:t>a case where what we have is two billiard balls and one strik</w:t>
      </w:r>
      <w:r>
        <w:t xml:space="preserve">ing </w:t>
      </w:r>
      <w:r w:rsidR="002A5D54">
        <w:t>another</w:t>
      </w:r>
      <w:r>
        <w:t xml:space="preserve">. It seems perfectly reasonable to claim that </w:t>
      </w:r>
      <w:r w:rsidR="002A5D54">
        <w:t>the only thing we can know for certain in terms of what we are able to perceive is the spatial contiguity and the temporal succession of the two events, the first being the movement of the first ball and the second being the movement of the second</w:t>
      </w:r>
      <w:r w:rsidR="002447A2">
        <w:rPr>
          <w:rStyle w:val="FootnoteReference"/>
        </w:rPr>
        <w:footnoteReference w:id="2"/>
      </w:r>
      <w:r w:rsidR="002A5D54">
        <w:t xml:space="preserve">. To impose any kind of necessary connection is wrong headed, according to Hume’s empiricism. </w:t>
      </w:r>
      <w:r w:rsidR="004D5331">
        <w:t xml:space="preserve">What Hume wants to emphasise is not the temporal succession or spatial contiguity but instead the constant conjunction and regularity of succession. Given this constant conjunction, the </w:t>
      </w:r>
      <w:proofErr w:type="spellStart"/>
      <w:r w:rsidR="004D5331">
        <w:t>occurance</w:t>
      </w:r>
      <w:proofErr w:type="spellEnd"/>
      <w:r w:rsidR="004D5331">
        <w:t xml:space="preserve"> of the first ball hitting the second ball leads us to expect the second ball to move. It is a mistake however to infer from this expectation that there is an objective feature of causal relation that there is a necessary connection between the two events. When we say that one event causes another, all that we are saying is that two such events that follow instantiates a pattern in which something of one kind follow something of another kind</w:t>
      </w:r>
      <w:r w:rsidR="00A678F4">
        <w:rPr>
          <w:rStyle w:val="FootnoteReference"/>
        </w:rPr>
        <w:footnoteReference w:id="3"/>
      </w:r>
      <w:r w:rsidR="004D5331">
        <w:t>.</w:t>
      </w:r>
    </w:p>
    <w:p w14:paraId="372EB6C9" w14:textId="1ABBCA4D" w:rsidR="00BE445E" w:rsidRDefault="00A0005E">
      <w:r>
        <w:lastRenderedPageBreak/>
        <w:t>David Lewis</w:t>
      </w:r>
      <w:r w:rsidR="006D1CD1">
        <w:t xml:space="preserve">, despite having “found the seeds of his account in Hume”, has a vastly different approach to </w:t>
      </w:r>
      <w:r w:rsidR="00BE445E">
        <w:t xml:space="preserve">Hume. His counterfactual analysis appealed to the modal notion of possible worlds </w:t>
      </w:r>
      <w:proofErr w:type="gramStart"/>
      <w:r w:rsidR="00BE445E">
        <w:t>in order to</w:t>
      </w:r>
      <w:proofErr w:type="gramEnd"/>
      <w:r w:rsidR="00BE445E">
        <w:t xml:space="preserve"> demonstrate his influential ideas. He </w:t>
      </w:r>
      <w:r>
        <w:t xml:space="preserve">did not believe that Hume </w:t>
      </w:r>
      <w:proofErr w:type="gramStart"/>
      <w:r>
        <w:t>took into account</w:t>
      </w:r>
      <w:proofErr w:type="gramEnd"/>
      <w:r>
        <w:t xml:space="preserve"> the significance that counterfactuals plays into talk of causation. In his chapter on “Causation”, he set himself the task of a counterfactual analysis that he believed to not differ very much from Hume’s second definition</w:t>
      </w:r>
      <w:r w:rsidR="002447A2">
        <w:rPr>
          <w:rStyle w:val="FootnoteReference"/>
        </w:rPr>
        <w:footnoteReference w:id="4"/>
      </w:r>
      <w:r>
        <w:t xml:space="preserve">. He specified causation among </w:t>
      </w:r>
      <w:proofErr w:type="gramStart"/>
      <w:r>
        <w:t>particular events</w:t>
      </w:r>
      <w:proofErr w:type="gramEnd"/>
      <w:r>
        <w:t xml:space="preserve">, preferring to look at causation at a micro level. He did however acknowledge an inevitable weakness about his own counterfactual analysis – he purposely ignores indeterminism to avoid the possibility of undetermined events being caused. This would complicate the matter too much. He chose instead to allow </w:t>
      </w:r>
      <w:r w:rsidR="00046271">
        <w:t xml:space="preserve">or assume the </w:t>
      </w:r>
      <w:r>
        <w:t xml:space="preserve">prevailing laws of nature </w:t>
      </w:r>
      <w:r w:rsidR="00046271">
        <w:t xml:space="preserve">which ensure there </w:t>
      </w:r>
      <w:r>
        <w:t xml:space="preserve">cannot exist any two possible worlds exactly alike up to a time, differing thereafter and whose laws are violated. </w:t>
      </w:r>
      <w:r w:rsidR="000D1235">
        <w:t xml:space="preserve">Paul Horwich describes Lewis’s position as making the empirical claim that it is by subsequent states of the world that grossly over determines almost every event, but not by it’s history. In other words, certain phenomena </w:t>
      </w:r>
      <w:proofErr w:type="gramStart"/>
      <w:r w:rsidR="000D1235">
        <w:t>have to</w:t>
      </w:r>
      <w:proofErr w:type="gramEnd"/>
      <w:r w:rsidR="000D1235">
        <w:t xml:space="preserve"> be in place before we can make </w:t>
      </w:r>
      <w:r w:rsidR="00BC434A">
        <w:t xml:space="preserve">the </w:t>
      </w:r>
      <w:r w:rsidR="000D1235">
        <w:t>inference that something caused something else.</w:t>
      </w:r>
      <w:r w:rsidR="009B096F">
        <w:t xml:space="preserve"> Lewis did make attempts to revise his theory on counterfactual dependence</w:t>
      </w:r>
      <w:r w:rsidR="003D5402">
        <w:t xml:space="preserve"> – in 2000, he emphasised a new central notion of influence</w:t>
      </w:r>
      <w:r w:rsidR="002447A2">
        <w:rPr>
          <w:rStyle w:val="FootnoteReference"/>
        </w:rPr>
        <w:footnoteReference w:id="5"/>
      </w:r>
      <w:r w:rsidR="003D5402">
        <w:t>. Late pre-emption and “trumping” were handled in a way that was absent from his previous work</w:t>
      </w:r>
      <w:r w:rsidR="002447A2">
        <w:rPr>
          <w:rStyle w:val="FootnoteReference"/>
        </w:rPr>
        <w:footnoteReference w:id="6"/>
      </w:r>
      <w:r w:rsidR="003D5402">
        <w:t xml:space="preserve">. </w:t>
      </w:r>
    </w:p>
    <w:p w14:paraId="7F9CF8D6" w14:textId="193C3E4C" w:rsidR="00202785" w:rsidRDefault="00FF40F7">
      <w:r>
        <w:t>Horwich explained each of Lewis’s four stages as each having their own flaws</w:t>
      </w:r>
      <w:r w:rsidR="00833632">
        <w:t>. He disagrees with Lewis on the basis that causation does not require the presence of a chain of counterfactual dependence. Specifically, it is simply not necessary. To demonstrate this, he uses the example of a man shot in the head by two different people Smith and Bloggs</w:t>
      </w:r>
      <w:r w:rsidR="00AA516C">
        <w:t xml:space="preserve"> simultaneously who were acting independently of one another.</w:t>
      </w:r>
      <w:r w:rsidR="0026412D">
        <w:t xml:space="preserve"> Because we can assume that even if Smith had not shot him the man would still have </w:t>
      </w:r>
      <w:proofErr w:type="gramStart"/>
      <w:r w:rsidR="0026412D">
        <w:t>died ,</w:t>
      </w:r>
      <w:proofErr w:type="gramEnd"/>
      <w:r w:rsidR="0026412D">
        <w:t xml:space="preserve"> we can infer that the effect - the man’s death,  was not counterfactually dependent on it’s causes</w:t>
      </w:r>
      <w:r w:rsidR="002F0049">
        <w:t xml:space="preserve">. </w:t>
      </w:r>
      <w:r w:rsidR="00CB746A">
        <w:t xml:space="preserve">This was just one of the ways in which Lewis’s account was criticised. This criticism however does not have the extra effect of reducing the man’s death to a coincidence but also does not imply that one of the men who shot him was solely responsible for his death. </w:t>
      </w:r>
      <w:r w:rsidR="009A6A55">
        <w:t>This is what Horwich refers to as a case of causal over determination</w:t>
      </w:r>
      <w:r w:rsidR="006F3FFE">
        <w:t xml:space="preserve"> of which he acknowledges that Lewis acknowledges but does not regard as counter-examples to his view.</w:t>
      </w:r>
      <w:r w:rsidR="00833632">
        <w:t xml:space="preserve"> </w:t>
      </w:r>
      <w:r w:rsidR="006F3FFE">
        <w:t xml:space="preserve">For these instances, Lewis does not know how to exactly apply the kind of sufficient causal terminology. And yet, it still stands to be true that had Smith not shot, the occurrence of </w:t>
      </w:r>
      <w:proofErr w:type="spellStart"/>
      <w:r w:rsidR="006F3FFE">
        <w:t>Blogg’s</w:t>
      </w:r>
      <w:proofErr w:type="spellEnd"/>
      <w:r w:rsidR="006F3FFE">
        <w:t xml:space="preserve"> shot can still be assumed. The man’s death in this example is not counterfactually dependent on </w:t>
      </w:r>
      <w:proofErr w:type="spellStart"/>
      <w:r w:rsidR="006F3FFE">
        <w:t>it’s</w:t>
      </w:r>
      <w:proofErr w:type="spellEnd"/>
      <w:r w:rsidR="006F3FFE">
        <w:t xml:space="preserve"> causes and yet it </w:t>
      </w:r>
      <w:proofErr w:type="spellStart"/>
      <w:r w:rsidR="006F3FFE">
        <w:t>its</w:t>
      </w:r>
      <w:proofErr w:type="spellEnd"/>
      <w:r w:rsidR="006F3FFE">
        <w:t xml:space="preserve"> still nevertheless a caused event, not a coincidence.</w:t>
      </w:r>
      <w:r w:rsidR="000D1235">
        <w:rPr>
          <w:rStyle w:val="FootnoteReference"/>
        </w:rPr>
        <w:footnoteReference w:id="7"/>
      </w:r>
    </w:p>
    <w:p w14:paraId="53D8539F" w14:textId="0B3FC5E1" w:rsidR="006F3FFE" w:rsidRDefault="006F3FFE">
      <w:r>
        <w:t xml:space="preserve">Another difficulty that Horwich encounters is that </w:t>
      </w:r>
      <w:r w:rsidR="00C603E0">
        <w:t>an event can have many variety of potential causes so that even when an effect occurs, we cannot always say that this event was causally determined because there could have been potential reasons for this effect. The example Horwich offers is of a wife being windowed. It could be that she had been widowed because her husband died of lung disease, even if the current scenario stands that she is widowed because he was murdered. So even if the widowing of this woman was counterfactually dependent on her husband being killed, there is not necessarily a causal connection.</w:t>
      </w:r>
      <w:r w:rsidR="00E443E2">
        <w:t xml:space="preserve"> </w:t>
      </w:r>
    </w:p>
    <w:p w14:paraId="2896FEC3" w14:textId="75C6A72E" w:rsidR="00B859D5" w:rsidRDefault="00237C7E">
      <w:r>
        <w:lastRenderedPageBreak/>
        <w:t xml:space="preserve">Horwich’s criticism of Lewis are laid down </w:t>
      </w:r>
      <w:proofErr w:type="spellStart"/>
      <w:r>
        <w:t>defly</w:t>
      </w:r>
      <w:proofErr w:type="spellEnd"/>
      <w:r>
        <w:t xml:space="preserve"> in “</w:t>
      </w:r>
      <w:proofErr w:type="spellStart"/>
      <w:r>
        <w:t>Asymetries</w:t>
      </w:r>
      <w:proofErr w:type="spellEnd"/>
      <w:r>
        <w:t xml:space="preserve"> in Time”</w:t>
      </w:r>
      <w:r w:rsidR="009E28E7">
        <w:t xml:space="preserve">. He proposes a </w:t>
      </w:r>
      <w:r w:rsidR="00772320">
        <w:t xml:space="preserve">predetermination – chain theory of causation as an alternative </w:t>
      </w:r>
      <w:r w:rsidR="00B43636">
        <w:t>analysing causation in terms of counter-factual dependenc</w:t>
      </w:r>
      <w:r w:rsidR="002447A2">
        <w:t>e</w:t>
      </w:r>
      <w:r w:rsidR="00C7401F">
        <w:t xml:space="preserve">, </w:t>
      </w:r>
      <w:r w:rsidR="00772320">
        <w:t>to what he considers to be a basic error approach that “yields a host of counterintuitive consequences”</w:t>
      </w:r>
      <w:r w:rsidR="002447A2">
        <w:rPr>
          <w:rStyle w:val="FootnoteReference"/>
        </w:rPr>
        <w:footnoteReference w:id="8"/>
      </w:r>
      <w:r w:rsidR="00772320">
        <w:t>.</w:t>
      </w:r>
    </w:p>
    <w:p w14:paraId="6108924F" w14:textId="133B1664" w:rsidR="002230E3" w:rsidRDefault="002230E3">
      <w:r>
        <w:t xml:space="preserve">It seems that it would be very difficult , at least empirically, to infer cause and effect with absolute </w:t>
      </w:r>
      <w:r w:rsidR="00A678F4">
        <w:t xml:space="preserve">certainty, at least according the very empiricism of which Hume himself appealed to and yet the later counterfactual theories of causation are so laden with difficulties that test the </w:t>
      </w:r>
      <w:r w:rsidR="00335C66">
        <w:t xml:space="preserve">internal logic of such a notion of causation appealing to possible worlds, setting forth an epistemological challenge for the problem of causation, regarding the wider context with which we think and talk about it. </w:t>
      </w:r>
    </w:p>
    <w:sectPr w:rsidR="002230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84A41" w14:textId="77777777" w:rsidR="00B50157" w:rsidRDefault="00B50157" w:rsidP="000D1235">
      <w:pPr>
        <w:spacing w:after="0" w:line="240" w:lineRule="auto"/>
      </w:pPr>
      <w:r>
        <w:separator/>
      </w:r>
    </w:p>
  </w:endnote>
  <w:endnote w:type="continuationSeparator" w:id="0">
    <w:p w14:paraId="20510DDC" w14:textId="77777777" w:rsidR="00B50157" w:rsidRDefault="00B50157" w:rsidP="000D1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7484F" w14:textId="77777777" w:rsidR="00B50157" w:rsidRDefault="00B50157" w:rsidP="000D1235">
      <w:pPr>
        <w:spacing w:after="0" w:line="240" w:lineRule="auto"/>
      </w:pPr>
      <w:r>
        <w:separator/>
      </w:r>
    </w:p>
  </w:footnote>
  <w:footnote w:type="continuationSeparator" w:id="0">
    <w:p w14:paraId="57E0086C" w14:textId="77777777" w:rsidR="00B50157" w:rsidRDefault="00B50157" w:rsidP="000D1235">
      <w:pPr>
        <w:spacing w:after="0" w:line="240" w:lineRule="auto"/>
      </w:pPr>
      <w:r>
        <w:continuationSeparator/>
      </w:r>
    </w:p>
  </w:footnote>
  <w:footnote w:id="1">
    <w:p w14:paraId="6B64C2C4" w14:textId="37CA401A" w:rsidR="002447A2" w:rsidRDefault="002447A2">
      <w:pPr>
        <w:pStyle w:val="FootnoteText"/>
      </w:pPr>
      <w:r>
        <w:rPr>
          <w:rStyle w:val="FootnoteReference"/>
        </w:rPr>
        <w:footnoteRef/>
      </w:r>
      <w:r>
        <w:t xml:space="preserve"> </w:t>
      </w:r>
      <w:bookmarkStart w:id="1" w:name="_Hlk514873358"/>
      <w:r>
        <w:t xml:space="preserve">Metaphysics: Contemporary Readings ed Michael J </w:t>
      </w:r>
      <w:proofErr w:type="spellStart"/>
      <w:r>
        <w:t>Loux</w:t>
      </w:r>
      <w:proofErr w:type="spellEnd"/>
      <w:r>
        <w:t xml:space="preserve"> (Routledge, Oxon:2008</w:t>
      </w:r>
      <w:bookmarkEnd w:id="1"/>
      <w:r>
        <w:t>)</w:t>
      </w:r>
    </w:p>
  </w:footnote>
  <w:footnote w:id="2">
    <w:p w14:paraId="1AFAC314" w14:textId="720DFE9A" w:rsidR="002447A2" w:rsidRDefault="002447A2">
      <w:pPr>
        <w:pStyle w:val="FootnoteText"/>
      </w:pPr>
      <w:r>
        <w:rPr>
          <w:rStyle w:val="FootnoteReference"/>
        </w:rPr>
        <w:footnoteRef/>
      </w:r>
      <w:r>
        <w:t xml:space="preserve"> </w:t>
      </w:r>
      <w:bookmarkStart w:id="2" w:name="_Hlk514881341"/>
      <w:r>
        <w:t xml:space="preserve">Metaphysics: Contemporary Readings ed Michael J </w:t>
      </w:r>
      <w:proofErr w:type="spellStart"/>
      <w:r>
        <w:t>Loux</w:t>
      </w:r>
      <w:proofErr w:type="spellEnd"/>
      <w:r>
        <w:t xml:space="preserve"> (Routledge, Oxon:2008</w:t>
      </w:r>
    </w:p>
    <w:bookmarkEnd w:id="2"/>
  </w:footnote>
  <w:footnote w:id="3">
    <w:p w14:paraId="74F94AE9" w14:textId="77777777" w:rsidR="00A678F4" w:rsidRDefault="00A678F4" w:rsidP="00A678F4">
      <w:pPr>
        <w:pStyle w:val="FootnoteText"/>
      </w:pPr>
      <w:r>
        <w:rPr>
          <w:rStyle w:val="FootnoteReference"/>
        </w:rPr>
        <w:footnoteRef/>
      </w:r>
      <w:r>
        <w:t xml:space="preserve"> </w:t>
      </w:r>
      <w:r>
        <w:t xml:space="preserve">Metaphysics: Contemporary Readings ed Michael J </w:t>
      </w:r>
      <w:proofErr w:type="spellStart"/>
      <w:r>
        <w:t>Loux</w:t>
      </w:r>
      <w:proofErr w:type="spellEnd"/>
      <w:r>
        <w:t xml:space="preserve"> (Routledge, Oxon:2008</w:t>
      </w:r>
    </w:p>
    <w:p w14:paraId="7F79771E" w14:textId="12D327FA" w:rsidR="00A678F4" w:rsidRDefault="00A678F4">
      <w:pPr>
        <w:pStyle w:val="FootnoteText"/>
      </w:pPr>
    </w:p>
  </w:footnote>
  <w:footnote w:id="4">
    <w:p w14:paraId="387B247A" w14:textId="3A7033AA" w:rsidR="002447A2" w:rsidRDefault="002447A2">
      <w:pPr>
        <w:pStyle w:val="FootnoteText"/>
      </w:pPr>
      <w:r>
        <w:rPr>
          <w:rStyle w:val="FootnoteReference"/>
        </w:rPr>
        <w:footnoteRef/>
      </w:r>
      <w:r>
        <w:t xml:space="preserve"> </w:t>
      </w:r>
      <w:r w:rsidR="00197335">
        <w:t>Paul Horwich “</w:t>
      </w:r>
      <w:proofErr w:type="spellStart"/>
      <w:r w:rsidR="00197335">
        <w:t>Asymetries</w:t>
      </w:r>
      <w:proofErr w:type="spellEnd"/>
      <w:r w:rsidR="00197335">
        <w:t xml:space="preserve"> In Time (</w:t>
      </w:r>
      <w:r w:rsidR="00636F4D">
        <w:t xml:space="preserve">The MIT </w:t>
      </w:r>
      <w:proofErr w:type="gramStart"/>
      <w:r w:rsidR="00636F4D">
        <w:t>Press,London</w:t>
      </w:r>
      <w:proofErr w:type="gramEnd"/>
      <w:r w:rsidR="00636F4D">
        <w:t>:1987</w:t>
      </w:r>
    </w:p>
  </w:footnote>
  <w:footnote w:id="5">
    <w:p w14:paraId="6A841E43" w14:textId="77777777" w:rsidR="00BE445E" w:rsidRDefault="002447A2" w:rsidP="00BE445E">
      <w:pPr>
        <w:pStyle w:val="FootnoteText"/>
      </w:pPr>
      <w:r>
        <w:rPr>
          <w:rStyle w:val="FootnoteReference"/>
        </w:rPr>
        <w:footnoteRef/>
      </w:r>
      <w:r>
        <w:t xml:space="preserve"> </w:t>
      </w:r>
      <w:r w:rsidR="00BE445E">
        <w:t>Paul Horwich “</w:t>
      </w:r>
      <w:proofErr w:type="spellStart"/>
      <w:r w:rsidR="00BE445E">
        <w:t>Asymetries</w:t>
      </w:r>
      <w:proofErr w:type="spellEnd"/>
      <w:r w:rsidR="00BE445E">
        <w:t xml:space="preserve"> In Time (The MIT </w:t>
      </w:r>
      <w:proofErr w:type="gramStart"/>
      <w:r w:rsidR="00BE445E">
        <w:t>Press,London</w:t>
      </w:r>
      <w:proofErr w:type="gramEnd"/>
      <w:r w:rsidR="00BE445E">
        <w:t>:1987</w:t>
      </w:r>
    </w:p>
    <w:p w14:paraId="469537B1" w14:textId="4130F294" w:rsidR="002447A2" w:rsidRDefault="002447A2">
      <w:pPr>
        <w:pStyle w:val="FootnoteText"/>
      </w:pPr>
    </w:p>
  </w:footnote>
  <w:footnote w:id="6">
    <w:p w14:paraId="177D5265" w14:textId="77777777" w:rsidR="00BE445E" w:rsidRDefault="002447A2" w:rsidP="00BE445E">
      <w:pPr>
        <w:pStyle w:val="FootnoteText"/>
      </w:pPr>
      <w:r>
        <w:rPr>
          <w:rStyle w:val="FootnoteReference"/>
        </w:rPr>
        <w:footnoteRef/>
      </w:r>
      <w:r>
        <w:t xml:space="preserve"> </w:t>
      </w:r>
      <w:r w:rsidR="00BE445E">
        <w:t>Paul Horwich “</w:t>
      </w:r>
      <w:proofErr w:type="spellStart"/>
      <w:r w:rsidR="00BE445E">
        <w:t>Asymetries</w:t>
      </w:r>
      <w:proofErr w:type="spellEnd"/>
      <w:r w:rsidR="00BE445E">
        <w:t xml:space="preserve"> In Time (The MIT </w:t>
      </w:r>
      <w:proofErr w:type="gramStart"/>
      <w:r w:rsidR="00BE445E">
        <w:t>Press,London</w:t>
      </w:r>
      <w:proofErr w:type="gramEnd"/>
      <w:r w:rsidR="00BE445E">
        <w:t>:1987</w:t>
      </w:r>
    </w:p>
    <w:p w14:paraId="0DC832D9" w14:textId="1F7ED066" w:rsidR="002447A2" w:rsidRDefault="002447A2">
      <w:pPr>
        <w:pStyle w:val="FootnoteText"/>
      </w:pPr>
    </w:p>
  </w:footnote>
  <w:footnote w:id="7">
    <w:p w14:paraId="3DCE9C1F" w14:textId="77777777" w:rsidR="00BE445E" w:rsidRDefault="000D1235" w:rsidP="00BE445E">
      <w:pPr>
        <w:pStyle w:val="FootnoteText"/>
      </w:pPr>
      <w:r>
        <w:rPr>
          <w:rStyle w:val="FootnoteReference"/>
        </w:rPr>
        <w:footnoteRef/>
      </w:r>
      <w:r>
        <w:t xml:space="preserve"> </w:t>
      </w:r>
      <w:r w:rsidR="00BE445E">
        <w:t>Paul Horwich “</w:t>
      </w:r>
      <w:proofErr w:type="spellStart"/>
      <w:r w:rsidR="00BE445E">
        <w:t>Asymetries</w:t>
      </w:r>
      <w:proofErr w:type="spellEnd"/>
      <w:r w:rsidR="00BE445E">
        <w:t xml:space="preserve"> In Time (The MIT </w:t>
      </w:r>
      <w:proofErr w:type="gramStart"/>
      <w:r w:rsidR="00BE445E">
        <w:t>Press,London</w:t>
      </w:r>
      <w:proofErr w:type="gramEnd"/>
      <w:r w:rsidR="00BE445E">
        <w:t>:1987</w:t>
      </w:r>
    </w:p>
    <w:p w14:paraId="567A1337" w14:textId="481C6775" w:rsidR="000D1235" w:rsidRDefault="000D1235">
      <w:pPr>
        <w:pStyle w:val="FootnoteText"/>
      </w:pPr>
    </w:p>
  </w:footnote>
  <w:footnote w:id="8">
    <w:p w14:paraId="77AA4A7B" w14:textId="03272782" w:rsidR="002447A2" w:rsidRDefault="002447A2">
      <w:pPr>
        <w:pStyle w:val="FootnoteText"/>
      </w:pPr>
      <w:r>
        <w:rPr>
          <w:rStyle w:val="FootnoteReference"/>
        </w:rPr>
        <w:footnoteRef/>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873"/>
    <w:rsid w:val="00011C29"/>
    <w:rsid w:val="00046271"/>
    <w:rsid w:val="00093EE9"/>
    <w:rsid w:val="000D1235"/>
    <w:rsid w:val="00164908"/>
    <w:rsid w:val="00164A87"/>
    <w:rsid w:val="00197335"/>
    <w:rsid w:val="00202785"/>
    <w:rsid w:val="002230E3"/>
    <w:rsid w:val="00237C7E"/>
    <w:rsid w:val="002447A2"/>
    <w:rsid w:val="0026412D"/>
    <w:rsid w:val="002A5D54"/>
    <w:rsid w:val="002F0049"/>
    <w:rsid w:val="00335C66"/>
    <w:rsid w:val="003D5402"/>
    <w:rsid w:val="004360B1"/>
    <w:rsid w:val="004C3BE1"/>
    <w:rsid w:val="004D5331"/>
    <w:rsid w:val="00634873"/>
    <w:rsid w:val="00636F4D"/>
    <w:rsid w:val="006443F0"/>
    <w:rsid w:val="006D1CD1"/>
    <w:rsid w:val="006F3FFE"/>
    <w:rsid w:val="00770838"/>
    <w:rsid w:val="00772320"/>
    <w:rsid w:val="00822897"/>
    <w:rsid w:val="00833632"/>
    <w:rsid w:val="009A6A55"/>
    <w:rsid w:val="009B096F"/>
    <w:rsid w:val="009E06C0"/>
    <w:rsid w:val="009E28E7"/>
    <w:rsid w:val="00A0005E"/>
    <w:rsid w:val="00A678F4"/>
    <w:rsid w:val="00AA516C"/>
    <w:rsid w:val="00B41259"/>
    <w:rsid w:val="00B43636"/>
    <w:rsid w:val="00B50157"/>
    <w:rsid w:val="00B859D5"/>
    <w:rsid w:val="00B92E0B"/>
    <w:rsid w:val="00BB1D84"/>
    <w:rsid w:val="00BC434A"/>
    <w:rsid w:val="00BC6261"/>
    <w:rsid w:val="00BE445E"/>
    <w:rsid w:val="00BF6FBD"/>
    <w:rsid w:val="00C603E0"/>
    <w:rsid w:val="00C7401F"/>
    <w:rsid w:val="00C75A18"/>
    <w:rsid w:val="00CB746A"/>
    <w:rsid w:val="00DD4CFF"/>
    <w:rsid w:val="00E3239E"/>
    <w:rsid w:val="00E443E2"/>
    <w:rsid w:val="00E73B88"/>
    <w:rsid w:val="00F14AC4"/>
    <w:rsid w:val="00F31E05"/>
    <w:rsid w:val="00FF4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A5D14"/>
  <w15:chartTrackingRefBased/>
  <w15:docId w15:val="{F2D29E6C-E67B-44BB-A25B-BA5703E2E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D12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1235"/>
    <w:rPr>
      <w:sz w:val="20"/>
      <w:szCs w:val="20"/>
    </w:rPr>
  </w:style>
  <w:style w:type="character" w:styleId="FootnoteReference">
    <w:name w:val="footnote reference"/>
    <w:basedOn w:val="DefaultParagraphFont"/>
    <w:uiPriority w:val="99"/>
    <w:semiHidden/>
    <w:unhideWhenUsed/>
    <w:rsid w:val="000D1235"/>
    <w:rPr>
      <w:vertAlign w:val="superscript"/>
    </w:rPr>
  </w:style>
  <w:style w:type="character" w:styleId="Hyperlink">
    <w:name w:val="Hyperlink"/>
    <w:basedOn w:val="DefaultParagraphFont"/>
    <w:uiPriority w:val="99"/>
    <w:unhideWhenUsed/>
    <w:rsid w:val="00BC434A"/>
    <w:rPr>
      <w:color w:val="0563C1" w:themeColor="hyperlink"/>
      <w:u w:val="single"/>
    </w:rPr>
  </w:style>
  <w:style w:type="character" w:styleId="UnresolvedMention">
    <w:name w:val="Unresolved Mention"/>
    <w:basedOn w:val="DefaultParagraphFont"/>
    <w:uiPriority w:val="99"/>
    <w:semiHidden/>
    <w:unhideWhenUsed/>
    <w:rsid w:val="00BC434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79AAD-72DD-4011-A8AF-B6FE2C2D4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1169</Words>
  <Characters>6666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Evans</dc:creator>
  <cp:keywords/>
  <dc:description/>
  <cp:lastModifiedBy>Samuel Evans</cp:lastModifiedBy>
  <cp:revision>2</cp:revision>
  <dcterms:created xsi:type="dcterms:W3CDTF">2018-05-23T22:33:00Z</dcterms:created>
  <dcterms:modified xsi:type="dcterms:W3CDTF">2018-05-23T22:33:00Z</dcterms:modified>
</cp:coreProperties>
</file>