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37A53" w14:textId="35715D70" w:rsidR="00F75BF9" w:rsidRDefault="00F75BF9" w:rsidP="00615EDF">
      <w:pPr>
        <w:rPr>
          <w:b/>
          <w:bCs/>
        </w:rPr>
      </w:pPr>
    </w:p>
    <w:p w14:paraId="418433FC" w14:textId="77777777" w:rsidR="00F75BF9" w:rsidRDefault="00F75BF9" w:rsidP="00615EDF">
      <w:pPr>
        <w:rPr>
          <w:b/>
          <w:bCs/>
        </w:rPr>
      </w:pPr>
    </w:p>
    <w:p w14:paraId="491B2043" w14:textId="77777777" w:rsidR="00F75BF9" w:rsidRDefault="00F75BF9" w:rsidP="00615EDF">
      <w:pPr>
        <w:rPr>
          <w:b/>
          <w:bCs/>
        </w:rPr>
      </w:pPr>
    </w:p>
    <w:p w14:paraId="6F1B023D" w14:textId="499736B8" w:rsidR="00F75BF9" w:rsidRPr="00266AFE" w:rsidRDefault="00F75BF9" w:rsidP="00266AFE">
      <w:pPr>
        <w:jc w:val="center"/>
        <w:rPr>
          <w:rFonts w:cs="Arial"/>
        </w:rPr>
      </w:pPr>
      <w:r w:rsidRPr="00266AFE">
        <w:rPr>
          <w:rFonts w:cs="Arial"/>
          <w:b/>
          <w:bCs/>
        </w:rPr>
        <w:t>University of Wales Trinity Saint David</w:t>
      </w:r>
    </w:p>
    <w:p w14:paraId="7AAD6E1A" w14:textId="77777777" w:rsidR="00F75BF9" w:rsidRPr="00266AFE" w:rsidRDefault="00F75BF9" w:rsidP="00266AFE">
      <w:pPr>
        <w:jc w:val="center"/>
        <w:rPr>
          <w:rFonts w:cs="Arial"/>
        </w:rPr>
      </w:pPr>
      <w:r w:rsidRPr="00266AFE">
        <w:rPr>
          <w:rFonts w:cs="Arial"/>
          <w:b/>
          <w:bCs/>
        </w:rPr>
        <w:t>BSc Health and Social Care (Level 5)</w:t>
      </w:r>
    </w:p>
    <w:p w14:paraId="51961168" w14:textId="77777777" w:rsidR="00F75BF9" w:rsidRPr="00266AFE" w:rsidRDefault="00F75BF9" w:rsidP="00266AFE">
      <w:pPr>
        <w:jc w:val="center"/>
        <w:rPr>
          <w:rFonts w:cs="Arial"/>
        </w:rPr>
      </w:pPr>
      <w:r w:rsidRPr="00266AFE">
        <w:rPr>
          <w:rFonts w:cs="Arial"/>
          <w:b/>
          <w:bCs/>
        </w:rPr>
        <w:t>Module:</w:t>
      </w:r>
      <w:r w:rsidRPr="00266AFE">
        <w:rPr>
          <w:rFonts w:cs="Arial"/>
        </w:rPr>
        <w:t xml:space="preserve"> Changemakers: Creativity and Value Creation</w:t>
      </w:r>
    </w:p>
    <w:p w14:paraId="4C43E1B0" w14:textId="77777777" w:rsidR="00F75BF9" w:rsidRPr="00266AFE" w:rsidRDefault="00F75BF9" w:rsidP="00266AFE">
      <w:pPr>
        <w:jc w:val="center"/>
        <w:rPr>
          <w:rFonts w:cs="Arial"/>
        </w:rPr>
      </w:pPr>
      <w:r w:rsidRPr="00266AFE">
        <w:rPr>
          <w:rFonts w:cs="Arial"/>
          <w:b/>
          <w:bCs/>
        </w:rPr>
        <w:t>Module Code:</w:t>
      </w:r>
      <w:r w:rsidRPr="00266AFE">
        <w:rPr>
          <w:rFonts w:cs="Arial"/>
        </w:rPr>
        <w:t xml:space="preserve"> BMHP5014</w:t>
      </w:r>
    </w:p>
    <w:p w14:paraId="05B331EE" w14:textId="6528F0E3" w:rsidR="00F75BF9" w:rsidRPr="00266AFE" w:rsidRDefault="00F75BF9" w:rsidP="00266AFE">
      <w:pPr>
        <w:jc w:val="center"/>
        <w:rPr>
          <w:rFonts w:cs="Arial"/>
        </w:rPr>
      </w:pPr>
      <w:r w:rsidRPr="00266AFE">
        <w:rPr>
          <w:rFonts w:cs="Arial"/>
          <w:b/>
          <w:bCs/>
        </w:rPr>
        <w:t>Assessment:</w:t>
      </w:r>
      <w:r w:rsidRPr="00266AFE">
        <w:rPr>
          <w:rFonts w:cs="Arial"/>
        </w:rPr>
        <w:t xml:space="preserve"> Component 1</w:t>
      </w:r>
    </w:p>
    <w:p w14:paraId="02E49D3F" w14:textId="77777777" w:rsidR="00F75BF9" w:rsidRPr="00266AFE" w:rsidRDefault="00F75BF9" w:rsidP="00266AFE">
      <w:pPr>
        <w:jc w:val="center"/>
        <w:rPr>
          <w:rFonts w:cs="Arial"/>
        </w:rPr>
      </w:pPr>
      <w:r w:rsidRPr="00266AFE">
        <w:rPr>
          <w:rFonts w:cs="Arial"/>
          <w:b/>
          <w:bCs/>
        </w:rPr>
        <w:t>Assignment Title:</w:t>
      </w:r>
      <w:r w:rsidRPr="00266AFE">
        <w:rPr>
          <w:rFonts w:cs="Arial"/>
        </w:rPr>
        <w:t xml:space="preserve"> Online Portfolio of Set Exercises</w:t>
      </w:r>
    </w:p>
    <w:p w14:paraId="7F52996D" w14:textId="04E3171B" w:rsidR="00F75BF9" w:rsidRPr="00266AFE" w:rsidRDefault="00F75BF9" w:rsidP="00266AFE">
      <w:pPr>
        <w:jc w:val="center"/>
        <w:rPr>
          <w:rFonts w:cs="Arial"/>
        </w:rPr>
      </w:pPr>
      <w:r w:rsidRPr="00266AFE">
        <w:rPr>
          <w:rFonts w:cs="Arial"/>
          <w:b/>
          <w:bCs/>
        </w:rPr>
        <w:t>Lecturer:</w:t>
      </w:r>
      <w:r w:rsidRPr="00266AFE">
        <w:rPr>
          <w:rFonts w:cs="Arial"/>
        </w:rPr>
        <w:t xml:space="preserve"> </w:t>
      </w:r>
      <w:r w:rsidR="008B3B40" w:rsidRPr="00266AFE">
        <w:rPr>
          <w:rFonts w:cs="Arial"/>
        </w:rPr>
        <w:t>Danni Dunne</w:t>
      </w:r>
    </w:p>
    <w:p w14:paraId="26487268" w14:textId="7EBB8251" w:rsidR="00F75BF9" w:rsidRPr="00266AFE" w:rsidRDefault="00F75BF9" w:rsidP="00266AFE">
      <w:pPr>
        <w:jc w:val="center"/>
        <w:rPr>
          <w:rFonts w:cs="Arial"/>
        </w:rPr>
      </w:pPr>
      <w:r w:rsidRPr="00266AFE">
        <w:rPr>
          <w:rFonts w:cs="Arial"/>
          <w:b/>
          <w:bCs/>
        </w:rPr>
        <w:t>Student Name:</w:t>
      </w:r>
      <w:r w:rsidRPr="00266AFE">
        <w:rPr>
          <w:rFonts w:cs="Arial"/>
        </w:rPr>
        <w:t xml:space="preserve"> </w:t>
      </w:r>
      <w:r w:rsidR="008B3B40" w:rsidRPr="00266AFE">
        <w:rPr>
          <w:rFonts w:cs="Arial"/>
        </w:rPr>
        <w:t>Musab Shah</w:t>
      </w:r>
    </w:p>
    <w:p w14:paraId="7396A014" w14:textId="62723AE8" w:rsidR="00615EDF" w:rsidRPr="00266AFE" w:rsidRDefault="00F75BF9" w:rsidP="00266AFE">
      <w:pPr>
        <w:jc w:val="center"/>
        <w:rPr>
          <w:rFonts w:cs="Arial"/>
        </w:rPr>
      </w:pPr>
      <w:r w:rsidRPr="00266AFE">
        <w:rPr>
          <w:rFonts w:cs="Arial"/>
          <w:b/>
          <w:bCs/>
        </w:rPr>
        <w:t>Student Number:</w:t>
      </w:r>
      <w:r w:rsidRPr="00266AFE">
        <w:rPr>
          <w:rFonts w:cs="Arial"/>
        </w:rPr>
        <w:t xml:space="preserve"> </w:t>
      </w:r>
      <w:r w:rsidR="008B3B40" w:rsidRPr="00266AFE">
        <w:rPr>
          <w:rFonts w:cs="Arial"/>
        </w:rPr>
        <w:t>2411894</w:t>
      </w:r>
      <w:r w:rsidR="00615EDF" w:rsidRPr="00266AFE">
        <w:rPr>
          <w:rFonts w:cs="Arial"/>
        </w:rPr>
        <w:br w:type="page"/>
      </w:r>
    </w:p>
    <w:sdt>
      <w:sdtPr>
        <w:rPr>
          <w:rFonts w:ascii="Arial" w:eastAsiaTheme="minorHAnsi" w:hAnsi="Arial" w:cs="Arial"/>
          <w:color w:val="auto"/>
          <w:kern w:val="2"/>
          <w:sz w:val="22"/>
          <w:szCs w:val="24"/>
          <w:lang w:val="en-GB" w:bidi="ur-PK"/>
          <w14:ligatures w14:val="standardContextual"/>
        </w:rPr>
        <w:id w:val="2129961942"/>
        <w:docPartObj>
          <w:docPartGallery w:val="Table of Contents"/>
          <w:docPartUnique/>
        </w:docPartObj>
      </w:sdtPr>
      <w:sdtEndPr>
        <w:rPr>
          <w:b/>
          <w:bCs/>
          <w:noProof/>
        </w:rPr>
      </w:sdtEndPr>
      <w:sdtContent>
        <w:p w14:paraId="6157B302" w14:textId="23400D69" w:rsidR="00615EDF" w:rsidRPr="00266AFE" w:rsidRDefault="00615EDF" w:rsidP="00266AFE">
          <w:pPr>
            <w:pStyle w:val="TOCHeading"/>
            <w:spacing w:line="360" w:lineRule="auto"/>
            <w:jc w:val="center"/>
            <w:rPr>
              <w:rFonts w:ascii="Arial" w:hAnsi="Arial" w:cs="Arial"/>
              <w:b/>
              <w:bCs/>
            </w:rPr>
          </w:pPr>
          <w:r w:rsidRPr="00266AFE">
            <w:rPr>
              <w:rFonts w:ascii="Arial" w:hAnsi="Arial" w:cs="Arial"/>
              <w:b/>
              <w:bCs/>
            </w:rPr>
            <w:t>Table of Contents</w:t>
          </w:r>
        </w:p>
        <w:p w14:paraId="42C838B2" w14:textId="3F8283D4" w:rsidR="00456EF5" w:rsidRDefault="00615EDF">
          <w:pPr>
            <w:pStyle w:val="TOC1"/>
            <w:tabs>
              <w:tab w:val="right" w:leader="dot" w:pos="9016"/>
            </w:tabs>
            <w:rPr>
              <w:rFonts w:asciiTheme="minorHAnsi" w:eastAsiaTheme="minorEastAsia" w:hAnsiTheme="minorHAnsi"/>
              <w:noProof/>
              <w:sz w:val="24"/>
              <w:lang w:bidi="ar-SA"/>
            </w:rPr>
          </w:pPr>
          <w:r w:rsidRPr="00266AFE">
            <w:rPr>
              <w:rFonts w:cs="Arial"/>
            </w:rPr>
            <w:fldChar w:fldCharType="begin"/>
          </w:r>
          <w:r w:rsidRPr="00266AFE">
            <w:rPr>
              <w:rFonts w:cs="Arial"/>
            </w:rPr>
            <w:instrText xml:space="preserve"> TOC \o "1-3" \h \z \u </w:instrText>
          </w:r>
          <w:r w:rsidRPr="00266AFE">
            <w:rPr>
              <w:rFonts w:cs="Arial"/>
            </w:rPr>
            <w:fldChar w:fldCharType="separate"/>
          </w:r>
          <w:hyperlink w:anchor="_Toc221508117" w:history="1">
            <w:r w:rsidR="00456EF5" w:rsidRPr="003A1C4F">
              <w:rPr>
                <w:rStyle w:val="Hyperlink"/>
                <w:rFonts w:cs="Arial"/>
                <w:noProof/>
              </w:rPr>
              <w:t>1. Introduction</w:t>
            </w:r>
            <w:r w:rsidR="00456EF5">
              <w:rPr>
                <w:noProof/>
                <w:webHidden/>
              </w:rPr>
              <w:tab/>
            </w:r>
            <w:r w:rsidR="00456EF5">
              <w:rPr>
                <w:noProof/>
                <w:webHidden/>
              </w:rPr>
              <w:fldChar w:fldCharType="begin"/>
            </w:r>
            <w:r w:rsidR="00456EF5">
              <w:rPr>
                <w:noProof/>
                <w:webHidden/>
              </w:rPr>
              <w:instrText xml:space="preserve"> PAGEREF _Toc221508117 \h </w:instrText>
            </w:r>
            <w:r w:rsidR="00456EF5">
              <w:rPr>
                <w:noProof/>
                <w:webHidden/>
              </w:rPr>
            </w:r>
            <w:r w:rsidR="00456EF5">
              <w:rPr>
                <w:noProof/>
                <w:webHidden/>
              </w:rPr>
              <w:fldChar w:fldCharType="separate"/>
            </w:r>
            <w:r w:rsidR="00456EF5">
              <w:rPr>
                <w:noProof/>
                <w:webHidden/>
              </w:rPr>
              <w:t>3</w:t>
            </w:r>
            <w:r w:rsidR="00456EF5">
              <w:rPr>
                <w:noProof/>
                <w:webHidden/>
              </w:rPr>
              <w:fldChar w:fldCharType="end"/>
            </w:r>
          </w:hyperlink>
        </w:p>
        <w:p w14:paraId="1633E015" w14:textId="0CE1DCEF" w:rsidR="00456EF5" w:rsidRDefault="00456EF5">
          <w:pPr>
            <w:pStyle w:val="TOC1"/>
            <w:tabs>
              <w:tab w:val="right" w:leader="dot" w:pos="9016"/>
            </w:tabs>
            <w:rPr>
              <w:rFonts w:asciiTheme="minorHAnsi" w:eastAsiaTheme="minorEastAsia" w:hAnsiTheme="minorHAnsi"/>
              <w:noProof/>
              <w:sz w:val="24"/>
              <w:lang w:bidi="ar-SA"/>
            </w:rPr>
          </w:pPr>
          <w:hyperlink w:anchor="_Toc221508118" w:history="1">
            <w:r w:rsidRPr="003A1C4F">
              <w:rPr>
                <w:rStyle w:val="Hyperlink"/>
                <w:rFonts w:cs="Arial"/>
                <w:noProof/>
              </w:rPr>
              <w:t>2. Creativity and innovation in health and social care</w:t>
            </w:r>
            <w:r>
              <w:rPr>
                <w:noProof/>
                <w:webHidden/>
              </w:rPr>
              <w:tab/>
            </w:r>
            <w:r>
              <w:rPr>
                <w:noProof/>
                <w:webHidden/>
              </w:rPr>
              <w:fldChar w:fldCharType="begin"/>
            </w:r>
            <w:r>
              <w:rPr>
                <w:noProof/>
                <w:webHidden/>
              </w:rPr>
              <w:instrText xml:space="preserve"> PAGEREF _Toc221508118 \h </w:instrText>
            </w:r>
            <w:r>
              <w:rPr>
                <w:noProof/>
                <w:webHidden/>
              </w:rPr>
            </w:r>
            <w:r>
              <w:rPr>
                <w:noProof/>
                <w:webHidden/>
              </w:rPr>
              <w:fldChar w:fldCharType="separate"/>
            </w:r>
            <w:r>
              <w:rPr>
                <w:noProof/>
                <w:webHidden/>
              </w:rPr>
              <w:t>3</w:t>
            </w:r>
            <w:r>
              <w:rPr>
                <w:noProof/>
                <w:webHidden/>
              </w:rPr>
              <w:fldChar w:fldCharType="end"/>
            </w:r>
          </w:hyperlink>
        </w:p>
        <w:p w14:paraId="5F2840D2" w14:textId="32FA8A26" w:rsidR="00456EF5" w:rsidRDefault="00456EF5">
          <w:pPr>
            <w:pStyle w:val="TOC1"/>
            <w:tabs>
              <w:tab w:val="right" w:leader="dot" w:pos="9016"/>
            </w:tabs>
            <w:rPr>
              <w:rFonts w:asciiTheme="minorHAnsi" w:eastAsiaTheme="minorEastAsia" w:hAnsiTheme="minorHAnsi"/>
              <w:noProof/>
              <w:sz w:val="24"/>
              <w:lang w:bidi="ar-SA"/>
            </w:rPr>
          </w:pPr>
          <w:hyperlink w:anchor="_Toc221508119" w:history="1">
            <w:r w:rsidRPr="003A1C4F">
              <w:rPr>
                <w:rStyle w:val="Hyperlink"/>
                <w:rFonts w:cs="Arial"/>
                <w:noProof/>
              </w:rPr>
              <w:t>3. Leadership, culture and psychological safety</w:t>
            </w:r>
            <w:r>
              <w:rPr>
                <w:noProof/>
                <w:webHidden/>
              </w:rPr>
              <w:tab/>
            </w:r>
            <w:r>
              <w:rPr>
                <w:noProof/>
                <w:webHidden/>
              </w:rPr>
              <w:fldChar w:fldCharType="begin"/>
            </w:r>
            <w:r>
              <w:rPr>
                <w:noProof/>
                <w:webHidden/>
              </w:rPr>
              <w:instrText xml:space="preserve"> PAGEREF _Toc221508119 \h </w:instrText>
            </w:r>
            <w:r>
              <w:rPr>
                <w:noProof/>
                <w:webHidden/>
              </w:rPr>
            </w:r>
            <w:r>
              <w:rPr>
                <w:noProof/>
                <w:webHidden/>
              </w:rPr>
              <w:fldChar w:fldCharType="separate"/>
            </w:r>
            <w:r>
              <w:rPr>
                <w:noProof/>
                <w:webHidden/>
              </w:rPr>
              <w:t>4</w:t>
            </w:r>
            <w:r>
              <w:rPr>
                <w:noProof/>
                <w:webHidden/>
              </w:rPr>
              <w:fldChar w:fldCharType="end"/>
            </w:r>
          </w:hyperlink>
        </w:p>
        <w:p w14:paraId="264BA529" w14:textId="2710B99F" w:rsidR="00456EF5" w:rsidRDefault="00456EF5">
          <w:pPr>
            <w:pStyle w:val="TOC1"/>
            <w:tabs>
              <w:tab w:val="right" w:leader="dot" w:pos="9016"/>
            </w:tabs>
            <w:rPr>
              <w:rFonts w:asciiTheme="minorHAnsi" w:eastAsiaTheme="minorEastAsia" w:hAnsiTheme="minorHAnsi"/>
              <w:noProof/>
              <w:sz w:val="24"/>
              <w:lang w:bidi="ar-SA"/>
            </w:rPr>
          </w:pPr>
          <w:hyperlink w:anchor="_Toc221508120" w:history="1">
            <w:r w:rsidRPr="003A1C4F">
              <w:rPr>
                <w:rStyle w:val="Hyperlink"/>
                <w:rFonts w:cs="Arial"/>
                <w:noProof/>
              </w:rPr>
              <w:t>4. Value creation and what “value” means in care</w:t>
            </w:r>
            <w:r>
              <w:rPr>
                <w:noProof/>
                <w:webHidden/>
              </w:rPr>
              <w:tab/>
            </w:r>
            <w:r>
              <w:rPr>
                <w:noProof/>
                <w:webHidden/>
              </w:rPr>
              <w:fldChar w:fldCharType="begin"/>
            </w:r>
            <w:r>
              <w:rPr>
                <w:noProof/>
                <w:webHidden/>
              </w:rPr>
              <w:instrText xml:space="preserve"> PAGEREF _Toc221508120 \h </w:instrText>
            </w:r>
            <w:r>
              <w:rPr>
                <w:noProof/>
                <w:webHidden/>
              </w:rPr>
            </w:r>
            <w:r>
              <w:rPr>
                <w:noProof/>
                <w:webHidden/>
              </w:rPr>
              <w:fldChar w:fldCharType="separate"/>
            </w:r>
            <w:r>
              <w:rPr>
                <w:noProof/>
                <w:webHidden/>
              </w:rPr>
              <w:t>5</w:t>
            </w:r>
            <w:r>
              <w:rPr>
                <w:noProof/>
                <w:webHidden/>
              </w:rPr>
              <w:fldChar w:fldCharType="end"/>
            </w:r>
          </w:hyperlink>
        </w:p>
        <w:p w14:paraId="3F0BECD0" w14:textId="7409290E" w:rsidR="00456EF5" w:rsidRDefault="00456EF5">
          <w:pPr>
            <w:pStyle w:val="TOC1"/>
            <w:tabs>
              <w:tab w:val="right" w:leader="dot" w:pos="9016"/>
            </w:tabs>
            <w:rPr>
              <w:rFonts w:asciiTheme="minorHAnsi" w:eastAsiaTheme="minorEastAsia" w:hAnsiTheme="minorHAnsi"/>
              <w:noProof/>
              <w:sz w:val="24"/>
              <w:lang w:bidi="ar-SA"/>
            </w:rPr>
          </w:pPr>
          <w:hyperlink w:anchor="_Toc221508121" w:history="1">
            <w:r w:rsidRPr="003A1C4F">
              <w:rPr>
                <w:rStyle w:val="Hyperlink"/>
                <w:rFonts w:cs="Arial"/>
                <w:noProof/>
              </w:rPr>
              <w:t>5. Applying creative thinking: improvement and co-production</w:t>
            </w:r>
            <w:r>
              <w:rPr>
                <w:noProof/>
                <w:webHidden/>
              </w:rPr>
              <w:tab/>
            </w:r>
            <w:r>
              <w:rPr>
                <w:noProof/>
                <w:webHidden/>
              </w:rPr>
              <w:fldChar w:fldCharType="begin"/>
            </w:r>
            <w:r>
              <w:rPr>
                <w:noProof/>
                <w:webHidden/>
              </w:rPr>
              <w:instrText xml:space="preserve"> PAGEREF _Toc221508121 \h </w:instrText>
            </w:r>
            <w:r>
              <w:rPr>
                <w:noProof/>
                <w:webHidden/>
              </w:rPr>
            </w:r>
            <w:r>
              <w:rPr>
                <w:noProof/>
                <w:webHidden/>
              </w:rPr>
              <w:fldChar w:fldCharType="separate"/>
            </w:r>
            <w:r>
              <w:rPr>
                <w:noProof/>
                <w:webHidden/>
              </w:rPr>
              <w:t>6</w:t>
            </w:r>
            <w:r>
              <w:rPr>
                <w:noProof/>
                <w:webHidden/>
              </w:rPr>
              <w:fldChar w:fldCharType="end"/>
            </w:r>
          </w:hyperlink>
        </w:p>
        <w:p w14:paraId="4788B603" w14:textId="21C619CF" w:rsidR="00456EF5" w:rsidRDefault="00456EF5">
          <w:pPr>
            <w:pStyle w:val="TOC1"/>
            <w:tabs>
              <w:tab w:val="right" w:leader="dot" w:pos="9016"/>
            </w:tabs>
            <w:rPr>
              <w:rFonts w:asciiTheme="minorHAnsi" w:eastAsiaTheme="minorEastAsia" w:hAnsiTheme="minorHAnsi"/>
              <w:noProof/>
              <w:sz w:val="24"/>
              <w:lang w:bidi="ar-SA"/>
            </w:rPr>
          </w:pPr>
          <w:hyperlink w:anchor="_Toc221508122" w:history="1">
            <w:r w:rsidRPr="003A1C4F">
              <w:rPr>
                <w:rStyle w:val="Hyperlink"/>
                <w:rFonts w:cs="Arial"/>
                <w:noProof/>
              </w:rPr>
              <w:t>6. Technology, evidence, adoption challenges, and ethics</w:t>
            </w:r>
            <w:r>
              <w:rPr>
                <w:noProof/>
                <w:webHidden/>
              </w:rPr>
              <w:tab/>
            </w:r>
            <w:r>
              <w:rPr>
                <w:noProof/>
                <w:webHidden/>
              </w:rPr>
              <w:fldChar w:fldCharType="begin"/>
            </w:r>
            <w:r>
              <w:rPr>
                <w:noProof/>
                <w:webHidden/>
              </w:rPr>
              <w:instrText xml:space="preserve"> PAGEREF _Toc221508122 \h </w:instrText>
            </w:r>
            <w:r>
              <w:rPr>
                <w:noProof/>
                <w:webHidden/>
              </w:rPr>
            </w:r>
            <w:r>
              <w:rPr>
                <w:noProof/>
                <w:webHidden/>
              </w:rPr>
              <w:fldChar w:fldCharType="separate"/>
            </w:r>
            <w:r>
              <w:rPr>
                <w:noProof/>
                <w:webHidden/>
              </w:rPr>
              <w:t>6</w:t>
            </w:r>
            <w:r>
              <w:rPr>
                <w:noProof/>
                <w:webHidden/>
              </w:rPr>
              <w:fldChar w:fldCharType="end"/>
            </w:r>
          </w:hyperlink>
        </w:p>
        <w:p w14:paraId="62BB71BF" w14:textId="6542C167" w:rsidR="00456EF5" w:rsidRDefault="00456EF5">
          <w:pPr>
            <w:pStyle w:val="TOC1"/>
            <w:tabs>
              <w:tab w:val="right" w:leader="dot" w:pos="9016"/>
            </w:tabs>
            <w:rPr>
              <w:rFonts w:asciiTheme="minorHAnsi" w:eastAsiaTheme="minorEastAsia" w:hAnsiTheme="minorHAnsi"/>
              <w:noProof/>
              <w:sz w:val="24"/>
              <w:lang w:bidi="ar-SA"/>
            </w:rPr>
          </w:pPr>
          <w:hyperlink w:anchor="_Toc221508123" w:history="1">
            <w:r w:rsidRPr="003A1C4F">
              <w:rPr>
                <w:rStyle w:val="Hyperlink"/>
                <w:rFonts w:cs="Arial"/>
                <w:noProof/>
              </w:rPr>
              <w:t>7. Reflection on learning and personal development</w:t>
            </w:r>
            <w:r>
              <w:rPr>
                <w:noProof/>
                <w:webHidden/>
              </w:rPr>
              <w:tab/>
            </w:r>
            <w:r>
              <w:rPr>
                <w:noProof/>
                <w:webHidden/>
              </w:rPr>
              <w:fldChar w:fldCharType="begin"/>
            </w:r>
            <w:r>
              <w:rPr>
                <w:noProof/>
                <w:webHidden/>
              </w:rPr>
              <w:instrText xml:space="preserve"> PAGEREF _Toc221508123 \h </w:instrText>
            </w:r>
            <w:r>
              <w:rPr>
                <w:noProof/>
                <w:webHidden/>
              </w:rPr>
            </w:r>
            <w:r>
              <w:rPr>
                <w:noProof/>
                <w:webHidden/>
              </w:rPr>
              <w:fldChar w:fldCharType="separate"/>
            </w:r>
            <w:r>
              <w:rPr>
                <w:noProof/>
                <w:webHidden/>
              </w:rPr>
              <w:t>7</w:t>
            </w:r>
            <w:r>
              <w:rPr>
                <w:noProof/>
                <w:webHidden/>
              </w:rPr>
              <w:fldChar w:fldCharType="end"/>
            </w:r>
          </w:hyperlink>
        </w:p>
        <w:p w14:paraId="4C07925D" w14:textId="73A8FAA6" w:rsidR="00456EF5" w:rsidRDefault="00456EF5">
          <w:pPr>
            <w:pStyle w:val="TOC1"/>
            <w:tabs>
              <w:tab w:val="right" w:leader="dot" w:pos="9016"/>
            </w:tabs>
            <w:rPr>
              <w:rFonts w:asciiTheme="minorHAnsi" w:eastAsiaTheme="minorEastAsia" w:hAnsiTheme="minorHAnsi"/>
              <w:noProof/>
              <w:sz w:val="24"/>
              <w:lang w:bidi="ar-SA"/>
            </w:rPr>
          </w:pPr>
          <w:hyperlink w:anchor="_Toc221508124" w:history="1">
            <w:r w:rsidRPr="003A1C4F">
              <w:rPr>
                <w:rStyle w:val="Hyperlink"/>
                <w:rFonts w:cs="Arial"/>
                <w:noProof/>
              </w:rPr>
              <w:t>8. Conclusion</w:t>
            </w:r>
            <w:r>
              <w:rPr>
                <w:noProof/>
                <w:webHidden/>
              </w:rPr>
              <w:tab/>
            </w:r>
            <w:r>
              <w:rPr>
                <w:noProof/>
                <w:webHidden/>
              </w:rPr>
              <w:fldChar w:fldCharType="begin"/>
            </w:r>
            <w:r>
              <w:rPr>
                <w:noProof/>
                <w:webHidden/>
              </w:rPr>
              <w:instrText xml:space="preserve"> PAGEREF _Toc221508124 \h </w:instrText>
            </w:r>
            <w:r>
              <w:rPr>
                <w:noProof/>
                <w:webHidden/>
              </w:rPr>
            </w:r>
            <w:r>
              <w:rPr>
                <w:noProof/>
                <w:webHidden/>
              </w:rPr>
              <w:fldChar w:fldCharType="separate"/>
            </w:r>
            <w:r>
              <w:rPr>
                <w:noProof/>
                <w:webHidden/>
              </w:rPr>
              <w:t>8</w:t>
            </w:r>
            <w:r>
              <w:rPr>
                <w:noProof/>
                <w:webHidden/>
              </w:rPr>
              <w:fldChar w:fldCharType="end"/>
            </w:r>
          </w:hyperlink>
        </w:p>
        <w:p w14:paraId="5986DBCA" w14:textId="2D021B51" w:rsidR="00456EF5" w:rsidRDefault="00456EF5">
          <w:pPr>
            <w:pStyle w:val="TOC1"/>
            <w:tabs>
              <w:tab w:val="right" w:leader="dot" w:pos="9016"/>
            </w:tabs>
            <w:rPr>
              <w:rFonts w:asciiTheme="minorHAnsi" w:eastAsiaTheme="minorEastAsia" w:hAnsiTheme="minorHAnsi"/>
              <w:noProof/>
              <w:sz w:val="24"/>
              <w:lang w:bidi="ar-SA"/>
            </w:rPr>
          </w:pPr>
          <w:hyperlink w:anchor="_Toc221508125" w:history="1">
            <w:r w:rsidRPr="003A1C4F">
              <w:rPr>
                <w:rStyle w:val="Hyperlink"/>
                <w:noProof/>
              </w:rPr>
              <w:t>References</w:t>
            </w:r>
            <w:r>
              <w:rPr>
                <w:noProof/>
                <w:webHidden/>
              </w:rPr>
              <w:tab/>
            </w:r>
            <w:r>
              <w:rPr>
                <w:noProof/>
                <w:webHidden/>
              </w:rPr>
              <w:fldChar w:fldCharType="begin"/>
            </w:r>
            <w:r>
              <w:rPr>
                <w:noProof/>
                <w:webHidden/>
              </w:rPr>
              <w:instrText xml:space="preserve"> PAGEREF _Toc221508125 \h </w:instrText>
            </w:r>
            <w:r>
              <w:rPr>
                <w:noProof/>
                <w:webHidden/>
              </w:rPr>
            </w:r>
            <w:r>
              <w:rPr>
                <w:noProof/>
                <w:webHidden/>
              </w:rPr>
              <w:fldChar w:fldCharType="separate"/>
            </w:r>
            <w:r>
              <w:rPr>
                <w:noProof/>
                <w:webHidden/>
              </w:rPr>
              <w:t>9</w:t>
            </w:r>
            <w:r>
              <w:rPr>
                <w:noProof/>
                <w:webHidden/>
              </w:rPr>
              <w:fldChar w:fldCharType="end"/>
            </w:r>
          </w:hyperlink>
        </w:p>
        <w:p w14:paraId="7C7B44DD" w14:textId="25AAC4B4" w:rsidR="00615EDF" w:rsidRPr="00266AFE" w:rsidRDefault="00615EDF" w:rsidP="00266AFE">
          <w:pPr>
            <w:rPr>
              <w:rFonts w:cs="Arial"/>
            </w:rPr>
          </w:pPr>
          <w:r w:rsidRPr="00266AFE">
            <w:rPr>
              <w:rFonts w:cs="Arial"/>
              <w:b/>
              <w:bCs/>
              <w:noProof/>
            </w:rPr>
            <w:fldChar w:fldCharType="end"/>
          </w:r>
        </w:p>
      </w:sdtContent>
    </w:sdt>
    <w:p w14:paraId="7F6F5418" w14:textId="48B8C627" w:rsidR="00861622" w:rsidRPr="00266AFE" w:rsidRDefault="00861622" w:rsidP="00266AFE">
      <w:pPr>
        <w:jc w:val="left"/>
        <w:rPr>
          <w:rFonts w:cs="Arial"/>
        </w:rPr>
      </w:pPr>
      <w:r w:rsidRPr="00266AFE">
        <w:rPr>
          <w:rFonts w:cs="Arial"/>
        </w:rPr>
        <w:br w:type="page"/>
      </w:r>
    </w:p>
    <w:p w14:paraId="643C82AD" w14:textId="54629DE2" w:rsidR="00861622" w:rsidRPr="00266AFE" w:rsidRDefault="00E8626F" w:rsidP="00266AFE">
      <w:pPr>
        <w:pStyle w:val="Heading1"/>
        <w:rPr>
          <w:rFonts w:cs="Arial"/>
        </w:rPr>
      </w:pPr>
      <w:bookmarkStart w:id="0" w:name="_Toc221508117"/>
      <w:r w:rsidRPr="00266AFE">
        <w:rPr>
          <w:rFonts w:cs="Arial"/>
        </w:rPr>
        <w:lastRenderedPageBreak/>
        <w:t xml:space="preserve">1. </w:t>
      </w:r>
      <w:r w:rsidR="00861622" w:rsidRPr="00266AFE">
        <w:rPr>
          <w:rFonts w:cs="Arial"/>
        </w:rPr>
        <w:t>Introduction</w:t>
      </w:r>
      <w:bookmarkEnd w:id="0"/>
    </w:p>
    <w:p w14:paraId="491EBE6A" w14:textId="5F565AEA" w:rsidR="004B2806" w:rsidRPr="00266AFE" w:rsidRDefault="00D83271" w:rsidP="00266AFE">
      <w:pPr>
        <w:rPr>
          <w:rFonts w:cs="Arial"/>
        </w:rPr>
      </w:pPr>
      <w:r w:rsidRPr="00266AFE">
        <w:rPr>
          <w:rFonts w:cs="Arial"/>
        </w:rPr>
        <w:t xml:space="preserve">This online portfolio shows that I have been taking part in the weekly learning tasks in Changemakers: Creativity and Value Creation by gathering together the reflection, practice-oriented, and applied exercises, as well as insights, which are related to health and social care. It will showcase LO1 by critically learning about innovation, creativity and an enterprising mind, and LO2 by employing creative thinking to present plausible, value-generating solutions to modern challenges in the care environments. The portfolio, creativity is seen as the development of new and useful ideas, which in this case depends upon such conditions as motivation, independence and organisational climate, and innovation an implementation of ideas into adopted and maintained changes in practice (Amabile, 1998). Value creation is seen as practical advantage generated to service users, staff, and systems (e.g. better experiences, safer care, resource more efficiently used etc.) and not change itself. Modern technology has been put as a possible facilitator of creativity and value (e.g. digital technologies that facilitate access, communication, monitoring and decision-making), however, only when it is in line with needs and implemented in a considered manner. I also understand that leadership behaviours influence how individuals feel brave enough to share ideas, work together and learn, a factor that is apparent in healthcare leadership expectations (NHS Leadership Academy, 2013). </w:t>
      </w:r>
      <w:r w:rsidR="00D66918" w:rsidRPr="00266AFE">
        <w:rPr>
          <w:rFonts w:cs="Arial"/>
        </w:rPr>
        <w:t>Overall</w:t>
      </w:r>
      <w:r w:rsidRPr="00266AFE">
        <w:rPr>
          <w:rFonts w:cs="Arial"/>
        </w:rPr>
        <w:t xml:space="preserve">, the portfolio is </w:t>
      </w:r>
      <w:r w:rsidR="00D66918" w:rsidRPr="00266AFE">
        <w:rPr>
          <w:rFonts w:cs="Arial"/>
        </w:rPr>
        <w:t>designed thinking</w:t>
      </w:r>
      <w:r w:rsidRPr="00266AFE">
        <w:rPr>
          <w:rFonts w:cs="Arial"/>
        </w:rPr>
        <w:t xml:space="preserve"> oriented because it approaches the problem in user terms and passes through insights to practical solutions (Brown, 2008).</w:t>
      </w:r>
    </w:p>
    <w:p w14:paraId="7505C594" w14:textId="6F3C7212" w:rsidR="00585D0A" w:rsidRPr="00266AFE" w:rsidRDefault="00585D0A" w:rsidP="00266AFE">
      <w:pPr>
        <w:pStyle w:val="Heading1"/>
        <w:rPr>
          <w:rFonts w:cs="Arial"/>
        </w:rPr>
      </w:pPr>
      <w:bookmarkStart w:id="1" w:name="_Toc221508118"/>
      <w:r w:rsidRPr="00266AFE">
        <w:rPr>
          <w:rFonts w:cs="Arial"/>
        </w:rPr>
        <w:t>2. Creativity and innovation in health and social care</w:t>
      </w:r>
      <w:bookmarkEnd w:id="1"/>
    </w:p>
    <w:p w14:paraId="3704567B" w14:textId="77777777" w:rsidR="000B6857" w:rsidRPr="00266AFE" w:rsidRDefault="000B6857" w:rsidP="00266AFE">
      <w:pPr>
        <w:rPr>
          <w:rFonts w:cs="Arial"/>
        </w:rPr>
      </w:pPr>
      <w:r w:rsidRPr="00266AFE">
        <w:rPr>
          <w:rFonts w:cs="Arial"/>
        </w:rPr>
        <w:t>Creativity and innovation are the similar but different processes that are necessary in enhancing health and social care systems. Creativity is the ability to come up with new and helpful ideas, whereas innovation denotes the process of applying and maintaining the ideas in the organisational practice (Amabile, 1998; Rogers, 2003). In health and social care, creativity can be the process of recognizing novel methods of approaching service users or redesigning processes, but innovation is the process in which these ideas result in quality, safety or efficiency improvements being quantifiable. This is significant since the organisations might foster idea generation and miss meaningful change unless supportive structures and cultures are put in place.</w:t>
      </w:r>
    </w:p>
    <w:p w14:paraId="3C766D7F" w14:textId="557DD5E3" w:rsidR="000B6857" w:rsidRPr="00266AFE" w:rsidRDefault="000B6857" w:rsidP="00266AFE">
      <w:pPr>
        <w:rPr>
          <w:rFonts w:cs="Arial"/>
        </w:rPr>
      </w:pPr>
      <w:r w:rsidRPr="00266AFE">
        <w:rPr>
          <w:rFonts w:cs="Arial"/>
        </w:rPr>
        <w:t xml:space="preserve">The necessity of innovation in health and social care is a well-known issue as it is subject to continuous challenges associated with quality, safety, and system pressures. The increasing </w:t>
      </w:r>
      <w:r w:rsidRPr="00266AFE">
        <w:rPr>
          <w:rFonts w:cs="Arial"/>
        </w:rPr>
        <w:lastRenderedPageBreak/>
        <w:t>demand, shortage in the workforce, financial limitations, and the growing complexity in the needs of patients create a lot of strain on the services. According to the report Crossing the Quality Chasm, there were serious gaps between the current care delivery and the ideal standards, such as the preventable harm, fragmented services, and inconsistent quality (Institute of Medicine, 2001).</w:t>
      </w:r>
    </w:p>
    <w:p w14:paraId="26537F8C" w14:textId="4499B4AC" w:rsidR="000B6857" w:rsidRPr="00266AFE" w:rsidRDefault="000B6857" w:rsidP="00266AFE">
      <w:pPr>
        <w:rPr>
          <w:rFonts w:cs="Arial"/>
        </w:rPr>
      </w:pPr>
      <w:r w:rsidRPr="00266AFE">
        <w:rPr>
          <w:rFonts w:cs="Arial"/>
        </w:rPr>
        <w:t>Although this is necessary, the pace of diffusion of innovation in health and social care is usually low. The diffusion of innovations theory developed by Rogers (2003) describes that the adoption process would be based on factors like perceived advantage, compatibility with the current practices and complexity. Within the healthcare organisations, innovations need to work around the professional boundary, regulatory issues, and existing habits, which may hinder adoption. Greenhalgh et al. (2004) also note that successful innovation depends on the organisation culture, leadership, communication networks and policy context.</w:t>
      </w:r>
    </w:p>
    <w:p w14:paraId="633F2A4E" w14:textId="4515FD99" w:rsidR="00585D0A" w:rsidRPr="00266AFE" w:rsidRDefault="000B6857" w:rsidP="00266AFE">
      <w:pPr>
        <w:rPr>
          <w:rFonts w:cs="Arial"/>
        </w:rPr>
      </w:pPr>
      <w:r w:rsidRPr="00266AFE">
        <w:rPr>
          <w:rFonts w:cs="Arial"/>
        </w:rPr>
        <w:t>Such factors as risk-averse cultures, heavy workloads, lack of time to contemplate, and the fear of being blamed are barriers to creativity and innovation. According to Amabile (1998), too much control and pressure may stifle creativity even among professional people. On the other hand, enablers are favourable leadership, teamwork, psychological safety, and evidence access.</w:t>
      </w:r>
    </w:p>
    <w:p w14:paraId="7EA8CE45" w14:textId="7CF1068F" w:rsidR="00585D0A" w:rsidRPr="00266AFE" w:rsidRDefault="00585D0A" w:rsidP="00266AFE">
      <w:pPr>
        <w:pStyle w:val="Heading1"/>
        <w:rPr>
          <w:rFonts w:cs="Arial"/>
        </w:rPr>
      </w:pPr>
      <w:bookmarkStart w:id="2" w:name="_Toc221508119"/>
      <w:r w:rsidRPr="00266AFE">
        <w:rPr>
          <w:rFonts w:cs="Arial"/>
        </w:rPr>
        <w:t>3. Leadership, culture and psychological safety</w:t>
      </w:r>
      <w:bookmarkEnd w:id="2"/>
    </w:p>
    <w:p w14:paraId="13124D00" w14:textId="77777777" w:rsidR="000B6857" w:rsidRPr="00266AFE" w:rsidRDefault="000B6857" w:rsidP="00266AFE">
      <w:pPr>
        <w:rPr>
          <w:rFonts w:cs="Arial"/>
        </w:rPr>
      </w:pPr>
      <w:r w:rsidRPr="00266AFE">
        <w:rPr>
          <w:rFonts w:cs="Arial"/>
        </w:rPr>
        <w:t>Leadership and organisational culture are very powerful agents that determine the ability to thrive in the health and social care team in terms of being creative and innovative. Another important concept in this setting is psychological safety which can be defined as a collective assumption that a team is psychologically safe to take risks interpersonally, e.g. to ask questions, to be wrong, etc. (Edmondson, 1999). Psychologically safe environments will encourage staff to speak up and share ideas, as well as learning behaviours to promote creativity and ongoing improvement. On the other hand, blame-fearing or strictly hierarchical cultures may gag employees and suppress creativity.</w:t>
      </w:r>
    </w:p>
    <w:p w14:paraId="4020B7DD" w14:textId="77777777" w:rsidR="000B6857" w:rsidRPr="00266AFE" w:rsidRDefault="000B6857" w:rsidP="00266AFE">
      <w:pPr>
        <w:rPr>
          <w:rFonts w:cs="Arial"/>
        </w:rPr>
      </w:pPr>
      <w:r w:rsidRPr="00266AFE">
        <w:rPr>
          <w:rFonts w:cs="Arial"/>
        </w:rPr>
        <w:t>Learning and quality improvement are closely connected with psychological safety. The example of Edmondson (1999) is that more errors are reported by the team because of the high level of psychological safety rather than the lowered level of performance. The skill to learn through failure is crucial in a multi-layered health and social care environment where uncertainty and risk are normal occurrences and where creative and risk-free solutions are to be devised.</w:t>
      </w:r>
    </w:p>
    <w:p w14:paraId="423A8256" w14:textId="77777777" w:rsidR="000B6857" w:rsidRPr="00266AFE" w:rsidRDefault="000B6857" w:rsidP="00266AFE">
      <w:pPr>
        <w:rPr>
          <w:rFonts w:cs="Arial"/>
        </w:rPr>
      </w:pPr>
      <w:r w:rsidRPr="00266AFE">
        <w:rPr>
          <w:rFonts w:cs="Arial"/>
        </w:rPr>
        <w:lastRenderedPageBreak/>
        <w:t>The behaviours of leadership are critical towards the establishment of psychologically safe environments. The NHS Healthcare Leadership Model focuses on inclusive, caring leadership and the significance of building the environment where the staff feels valued and able to make a contribution (NHS Leadership Academy, 2013). Leaders who listen, engage and react positively to issues are an indication that creativity and learning is encouraged. These behaviours can assist in the transition of organisational culture towards not laying the blame, but towards improvement.</w:t>
      </w:r>
    </w:p>
    <w:p w14:paraId="3E65A06E" w14:textId="1B235A9B" w:rsidR="000B6857" w:rsidRPr="00266AFE" w:rsidRDefault="000B6857" w:rsidP="00266AFE">
      <w:pPr>
        <w:rPr>
          <w:rFonts w:cs="Arial"/>
        </w:rPr>
      </w:pPr>
      <w:r w:rsidRPr="00266AFE">
        <w:rPr>
          <w:rFonts w:cs="Arial"/>
        </w:rPr>
        <w:t>It has been postulated that a successful leadership is linked with high team performance, employee involvement, and the ability to be innovative. According to West et al. (2015), a leadership style that encourages teamwork, sense of purpose, and the wellbeing of the staff is also more prone to promote long-term change.</w:t>
      </w:r>
    </w:p>
    <w:p w14:paraId="37F9E3A7" w14:textId="45959D0D" w:rsidR="00585D0A" w:rsidRPr="00266AFE" w:rsidRDefault="00585D0A" w:rsidP="00266AFE">
      <w:pPr>
        <w:pStyle w:val="Heading1"/>
        <w:rPr>
          <w:rFonts w:cs="Arial"/>
        </w:rPr>
      </w:pPr>
      <w:bookmarkStart w:id="3" w:name="_Toc221508120"/>
      <w:r w:rsidRPr="00266AFE">
        <w:rPr>
          <w:rFonts w:cs="Arial"/>
        </w:rPr>
        <w:t>4. Value creation and what “value” means in care</w:t>
      </w:r>
      <w:bookmarkEnd w:id="3"/>
    </w:p>
    <w:p w14:paraId="5B7D5303" w14:textId="77777777" w:rsidR="00B94DFA" w:rsidRPr="00266AFE" w:rsidRDefault="00B94DFA" w:rsidP="00266AFE">
      <w:pPr>
        <w:rPr>
          <w:rFonts w:cs="Arial"/>
        </w:rPr>
      </w:pPr>
      <w:r w:rsidRPr="00266AFE">
        <w:rPr>
          <w:rFonts w:cs="Arial"/>
        </w:rPr>
        <w:t>Value creation in health and social care is the pursuit of outcomes that are important to service users and making the use of resources in a responsible way, as opposed to more activity. Value-based care redefines performance in terms of results and focuses on the connection between patient outcomes and costs of attaining them (Porter and Teisberg, 2006; Porter, 2008). In this respect, care that enhances health outcomes, safety, and experience in a manner of significance generates value. This contradicts conventional designs that value throughput and promotes redesign of care routes based on the needs of patients.</w:t>
      </w:r>
    </w:p>
    <w:p w14:paraId="71E68E87" w14:textId="72ECA753" w:rsidR="00B94DFA" w:rsidRPr="00266AFE" w:rsidRDefault="00B94DFA" w:rsidP="00266AFE">
      <w:pPr>
        <w:rPr>
          <w:rFonts w:cs="Arial"/>
        </w:rPr>
      </w:pPr>
      <w:r w:rsidRPr="00266AFE">
        <w:rPr>
          <w:rFonts w:cs="Arial"/>
        </w:rPr>
        <w:t>The Triple Aim is a complementary theory because it combines three objectives: enhancing the experience of care, enhancing population health, and decreasing per-capita costs (Berwick et al., 2008). These goals are interrelated, and the advancement in one sphere cannot negatively affect the others. To illustrate, access limitation through cost reductions can aggravate outcomes and experience, thus lowering overall value.</w:t>
      </w:r>
    </w:p>
    <w:p w14:paraId="4E063BFF" w14:textId="30C01389" w:rsidR="00585D0A" w:rsidRPr="00266AFE" w:rsidRDefault="00B94DFA" w:rsidP="00266AFE">
      <w:pPr>
        <w:rPr>
          <w:rFonts w:cs="Arial"/>
        </w:rPr>
      </w:pPr>
      <w:r w:rsidRPr="00266AFE">
        <w:rPr>
          <w:rFonts w:cs="Arial"/>
        </w:rPr>
        <w:t xml:space="preserve">One standing instance of value creation is that of missed outpatient appointments, which is a significant issue making the care system less efficient and slow. A value-oriented approach is based on the idea that non-attendance is not something that should be penalised but rather causes should be sought through barriers to transport, digital exclusion, or poor communication. Not only would </w:t>
      </w:r>
      <w:r w:rsidR="00A84B4A" w:rsidRPr="00266AFE">
        <w:rPr>
          <w:rFonts w:cs="Arial"/>
        </w:rPr>
        <w:t>reduce</w:t>
      </w:r>
      <w:r w:rsidRPr="00266AFE">
        <w:rPr>
          <w:rFonts w:cs="Arial"/>
        </w:rPr>
        <w:t xml:space="preserve"> non-attendance rates be considered as a success, but also patient experience, accessibility, and utilization of the clinical time would be improved (Porter, 2008). Some of the creative solutions can be flexible working hours, customised reminders or virtual visits. Porter and Lee (2013) suggest that redesigns are the most effective </w:t>
      </w:r>
      <w:r w:rsidRPr="00266AFE">
        <w:rPr>
          <w:rFonts w:cs="Arial"/>
        </w:rPr>
        <w:lastRenderedPageBreak/>
        <w:t>when they are organised around patient needs and not silos within an organisation. By doing so, creativity has a direct impact on value creation and better performance of the system.</w:t>
      </w:r>
    </w:p>
    <w:p w14:paraId="75A6F8A6" w14:textId="17B6D45E" w:rsidR="00585D0A" w:rsidRPr="00266AFE" w:rsidRDefault="00585D0A" w:rsidP="00266AFE">
      <w:pPr>
        <w:pStyle w:val="Heading1"/>
        <w:rPr>
          <w:rFonts w:cs="Arial"/>
        </w:rPr>
      </w:pPr>
      <w:bookmarkStart w:id="4" w:name="_Toc221508121"/>
      <w:r w:rsidRPr="00266AFE">
        <w:rPr>
          <w:rFonts w:cs="Arial"/>
        </w:rPr>
        <w:t>5. Applying creative thinking: improvement and co-production</w:t>
      </w:r>
      <w:bookmarkEnd w:id="4"/>
      <w:r w:rsidRPr="00266AFE">
        <w:rPr>
          <w:rFonts w:cs="Arial"/>
        </w:rPr>
        <w:t xml:space="preserve"> </w:t>
      </w:r>
    </w:p>
    <w:p w14:paraId="3B909A50" w14:textId="77777777" w:rsidR="00A84B4A" w:rsidRPr="00266AFE" w:rsidRDefault="00A84B4A" w:rsidP="00266AFE">
      <w:pPr>
        <w:rPr>
          <w:rFonts w:cs="Arial"/>
        </w:rPr>
      </w:pPr>
      <w:r w:rsidRPr="00266AFE">
        <w:rPr>
          <w:rFonts w:cs="Arial"/>
        </w:rPr>
        <w:t>To use creative thinking to value creation, it is necessary to have systematic ways that transform the ideas into a tested and measurable enhancement. Experimentation and learning can be given a practically reasonable structure through improvement science and specifically, the Plan-Do-Study-Act (PDSA) cycle (Langley et al., 2009). PDSA cycles enable teams to pilot small scale change, analyse data and refine interventions before broader implementation, enable creativity and risk management.</w:t>
      </w:r>
    </w:p>
    <w:p w14:paraId="357CBDE3" w14:textId="77777777" w:rsidR="00A84B4A" w:rsidRPr="00266AFE" w:rsidRDefault="00A84B4A" w:rsidP="00266AFE">
      <w:pPr>
        <w:rPr>
          <w:rFonts w:cs="Arial"/>
        </w:rPr>
      </w:pPr>
      <w:r w:rsidRPr="00266AFE">
        <w:rPr>
          <w:rFonts w:cs="Arial"/>
        </w:rPr>
        <w:t>This process relies on measurement because it assists in finding out whether change is value creation. When it comes to missed appointments, attendance rates, waiting times, patient satisfaction, and utilisation of clinicians can serve to reveal whether the interventions fit in improvement of the situation or simply uproot the current issues (Langley et al., 2009). This process is iterative and makes innovation accountable.</w:t>
      </w:r>
    </w:p>
    <w:p w14:paraId="4CC4F3D8" w14:textId="4331247F" w:rsidR="00585D0A" w:rsidRPr="00266AFE" w:rsidRDefault="00A84B4A" w:rsidP="00266AFE">
      <w:pPr>
        <w:rPr>
          <w:rFonts w:cs="Arial"/>
        </w:rPr>
      </w:pPr>
      <w:r w:rsidRPr="00266AFE">
        <w:rPr>
          <w:rFonts w:cs="Arial"/>
        </w:rPr>
        <w:t>Co-production also promotes innovativeness in solving problems by encouraging service users and staff to participate as partners in the process of improvement. Batalden et al. (2016) maintain that, in value co-creation, professionals and users interact, implying that solutions should be based on lived experience as well as clinical expertise. This is supplemented with experience-based design which pays attention to emotional touchpoints throughout care journeys to shape improvement (Bate and Robert, 2007). Integrating these approaches to improvement with co-production will allow inclusive, ethical and sustainable innovation that is in line with the organisational objectives and the needs of the service users.</w:t>
      </w:r>
    </w:p>
    <w:p w14:paraId="05AA5162" w14:textId="470A2AD4" w:rsidR="00585D0A" w:rsidRPr="00266AFE" w:rsidRDefault="00585D0A" w:rsidP="00266AFE">
      <w:pPr>
        <w:pStyle w:val="Heading1"/>
        <w:rPr>
          <w:rFonts w:cs="Arial"/>
        </w:rPr>
      </w:pPr>
      <w:bookmarkStart w:id="5" w:name="_Toc221508122"/>
      <w:r w:rsidRPr="00266AFE">
        <w:rPr>
          <w:rFonts w:cs="Arial"/>
        </w:rPr>
        <w:t>6. Technology, evidence, adoption challenges, and ethics</w:t>
      </w:r>
      <w:bookmarkEnd w:id="5"/>
    </w:p>
    <w:p w14:paraId="4398CA92" w14:textId="77777777" w:rsidR="00121159" w:rsidRPr="00266AFE" w:rsidRDefault="00121159" w:rsidP="00266AFE">
      <w:pPr>
        <w:rPr>
          <w:rFonts w:cs="Arial"/>
        </w:rPr>
      </w:pPr>
      <w:r w:rsidRPr="00266AFE">
        <w:rPr>
          <w:rFonts w:cs="Arial"/>
        </w:rPr>
        <w:t xml:space="preserve">The digital technologies are also being placed increasingly as facilitators of creativity and value generation in health and social care, to enable access, coordination, monitoring, and decision-making. These are telehealth, remote monitoring, digital triage, and AI decision support. Nonetheless, determining whether these tools are going to generate value will be conditional on the intensity of evidence that they have and the excellence of implementation. The NICE </w:t>
      </w:r>
      <w:r w:rsidRPr="00266AFE">
        <w:rPr>
          <w:rFonts w:cs="Arial"/>
        </w:rPr>
        <w:lastRenderedPageBreak/>
        <w:t>Evidence Standards Framework states that digital health technologies should have proportional evidence of effectiveness, safety, and economic value to be adopted before widespread use, where it is acknowledged that not all tools would require the same amount of evaluation but must meet minimum standards (NICE, 2019). This would aid in ensuring that innovation is used in enhancing results instead of posing novel threats.</w:t>
      </w:r>
    </w:p>
    <w:p w14:paraId="57A02E2F" w14:textId="77777777" w:rsidR="00121159" w:rsidRPr="00266AFE" w:rsidRDefault="00121159" w:rsidP="00266AFE">
      <w:pPr>
        <w:rPr>
          <w:rFonts w:cs="Arial"/>
        </w:rPr>
      </w:pPr>
      <w:r w:rsidRPr="00266AFE">
        <w:rPr>
          <w:rFonts w:cs="Arial"/>
        </w:rPr>
        <w:t>There is policy support of digital transformation, but not all companies have adopted digital transformation and scale-up. Digital technology is central to service sustainability in the NHS Long Term Plan, but the authors recognise the disparity between digital maturity and workforce competence between organisations (NHS England, 2019). Greenhalgh et al. (2017) believe that most technologies fail not because of bad design, but because they do not match workflows, the organisational culture, or the needs of users. Implementation and sustainability can be compromised by issues of digital exclusion, staff training needs, interoperability and permanent maintenance costs, which hinders value creation.</w:t>
      </w:r>
    </w:p>
    <w:p w14:paraId="3631A17D" w14:textId="796BE2FA" w:rsidR="00585D0A" w:rsidRPr="00266AFE" w:rsidRDefault="00121159" w:rsidP="00266AFE">
      <w:pPr>
        <w:rPr>
          <w:rFonts w:cs="Arial"/>
        </w:rPr>
      </w:pPr>
      <w:r w:rsidRPr="00266AFE">
        <w:rPr>
          <w:rFonts w:cs="Arial"/>
        </w:rPr>
        <w:t>It is especially important to consider ethical issues when AI and data-driven technologies are involved. According to the World Health Organization (WHO), digital interventions should empower health systems, and will preserve privacy, equity and trust (World Health Organization, 2019). Its Digital Health Global Strategy underscores the importance of the governance frameworks that would enable innovation and help to mitigate the differences in populations and settings (World Health Organization, 2021).</w:t>
      </w:r>
    </w:p>
    <w:p w14:paraId="7220B9D9" w14:textId="12CCE3C6" w:rsidR="00585D0A" w:rsidRPr="00266AFE" w:rsidRDefault="00585D0A" w:rsidP="00266AFE">
      <w:pPr>
        <w:pStyle w:val="Heading1"/>
        <w:rPr>
          <w:rFonts w:cs="Arial"/>
        </w:rPr>
      </w:pPr>
      <w:bookmarkStart w:id="6" w:name="_Toc221508123"/>
      <w:r w:rsidRPr="00266AFE">
        <w:rPr>
          <w:rFonts w:cs="Arial"/>
        </w:rPr>
        <w:t>7. Reflection on learning and personal development</w:t>
      </w:r>
      <w:bookmarkEnd w:id="6"/>
    </w:p>
    <w:p w14:paraId="28488B1F" w14:textId="3319530E" w:rsidR="00585D0A" w:rsidRPr="00266AFE" w:rsidRDefault="00B93D89" w:rsidP="00266AFE">
      <w:pPr>
        <w:rPr>
          <w:rFonts w:cs="Arial"/>
        </w:rPr>
      </w:pPr>
      <w:r w:rsidRPr="00266AFE">
        <w:rPr>
          <w:rFonts w:cs="Arial"/>
        </w:rPr>
        <w:t xml:space="preserve">The experience in this module has greatly transformed my perspective of the creativity and value creation in health and social care. In the past, my perspective on innovation was mainly limited to the presentation of new technologies or concepts. The portfolio activities have allowed me to appreciate that creativity is a social and process-driven leadership process which requires relying on culture, psychological safety, and teamwork. This change is in line with the evidence that the behaviours exhibited by leaders have a significant impact on the results of learning, engagement, and improvement (West et al., 2015). I have also acquired a more critical value assessment, which means that I have understood that progress should be reviewed based on results that are important to service users and not efficiency in itself. Practically, I would take a different approach towards change by engaging service users at an earlier stage, mini-testing, and be more mindful of the ethical and workforce consequences. These modifications indicate the accomplishment of LO1 by acquiring a deeper critical insight </w:t>
      </w:r>
      <w:r w:rsidRPr="00266AFE">
        <w:rPr>
          <w:rFonts w:cs="Arial"/>
        </w:rPr>
        <w:lastRenderedPageBreak/>
        <w:t>and LO2 by having a more explicit intention to apply creative thinking in the creation of meaningful value (Porter and Lee, 2013).</w:t>
      </w:r>
    </w:p>
    <w:p w14:paraId="033ABAF6" w14:textId="5AB9E30F" w:rsidR="00585D0A" w:rsidRPr="00266AFE" w:rsidRDefault="00585D0A" w:rsidP="00266AFE">
      <w:pPr>
        <w:pStyle w:val="Heading1"/>
        <w:rPr>
          <w:rFonts w:cs="Arial"/>
        </w:rPr>
      </w:pPr>
      <w:bookmarkStart w:id="7" w:name="_Toc221508124"/>
      <w:r w:rsidRPr="00266AFE">
        <w:rPr>
          <w:rFonts w:cs="Arial"/>
        </w:rPr>
        <w:t>8. Conclusion</w:t>
      </w:r>
      <w:bookmarkEnd w:id="7"/>
    </w:p>
    <w:p w14:paraId="7F230F48" w14:textId="2252E756" w:rsidR="00585D0A" w:rsidRPr="00266AFE" w:rsidRDefault="00C33305" w:rsidP="00266AFE">
      <w:pPr>
        <w:rPr>
          <w:rFonts w:cs="Arial"/>
        </w:rPr>
      </w:pPr>
      <w:r w:rsidRPr="00266AFE">
        <w:rPr>
          <w:rFonts w:cs="Arial"/>
        </w:rPr>
        <w:t xml:space="preserve">This portfolio has shown the compliance with LO1 as it critically considers creativity, innovation, leadership, and technology in the field of health and social </w:t>
      </w:r>
      <w:r w:rsidR="00171632" w:rsidRPr="00266AFE">
        <w:rPr>
          <w:rFonts w:cs="Arial"/>
        </w:rPr>
        <w:t>care and</w:t>
      </w:r>
      <w:r w:rsidRPr="00266AFE">
        <w:rPr>
          <w:rFonts w:cs="Arial"/>
        </w:rPr>
        <w:t xml:space="preserve"> acknowledges their role in the common good. It has also discussed LO2 by utilizing creative thinking to value creation using practical models like value-based care, improvement methods, and co-production. The portfolio demonstrates how creativity can be transformed into ethical and evidence-based action by combining theory with real-life issues.</w:t>
      </w:r>
    </w:p>
    <w:p w14:paraId="0ABFECFC" w14:textId="77777777" w:rsidR="00585D0A" w:rsidRPr="00585D0A" w:rsidRDefault="00585D0A" w:rsidP="00615EDF"/>
    <w:p w14:paraId="76B7954E" w14:textId="77777777" w:rsidR="00585D0A" w:rsidRPr="00585D0A" w:rsidRDefault="00585D0A" w:rsidP="00615EDF"/>
    <w:p w14:paraId="288FB35D" w14:textId="77777777" w:rsidR="00585D0A" w:rsidRPr="00585D0A" w:rsidRDefault="00585D0A" w:rsidP="00615EDF"/>
    <w:p w14:paraId="181E7326" w14:textId="77777777" w:rsidR="00861622" w:rsidRPr="00F75BF9" w:rsidRDefault="00861622" w:rsidP="00615EDF"/>
    <w:p w14:paraId="3216ECB0" w14:textId="77777777" w:rsidR="00585D0A" w:rsidRDefault="00585D0A" w:rsidP="00615EDF">
      <w:pPr>
        <w:jc w:val="left"/>
        <w:rPr>
          <w:rFonts w:eastAsiaTheme="majorEastAsia" w:cstheme="majorBidi"/>
          <w:b/>
          <w:sz w:val="40"/>
          <w:szCs w:val="40"/>
        </w:rPr>
      </w:pPr>
      <w:r>
        <w:br w:type="page"/>
      </w:r>
    </w:p>
    <w:p w14:paraId="1A4BB3DC" w14:textId="5BFDC90D" w:rsidR="00D223E8" w:rsidRDefault="004B2806" w:rsidP="00615EDF">
      <w:pPr>
        <w:pStyle w:val="Heading1"/>
      </w:pPr>
      <w:bookmarkStart w:id="8" w:name="_Toc221508125"/>
      <w:r>
        <w:lastRenderedPageBreak/>
        <w:t>References</w:t>
      </w:r>
      <w:bookmarkEnd w:id="8"/>
    </w:p>
    <w:p w14:paraId="1C3E5DE8" w14:textId="77777777" w:rsidR="00B42432" w:rsidRDefault="00B42432" w:rsidP="00615EDF">
      <w:pPr>
        <w:ind w:left="720" w:hanging="720"/>
      </w:pPr>
      <w:r w:rsidRPr="004B2806">
        <w:t xml:space="preserve">Amabile, T.M. (1998) ‘How to kill creativity’, </w:t>
      </w:r>
      <w:r w:rsidRPr="004B2806">
        <w:rPr>
          <w:i/>
          <w:iCs/>
        </w:rPr>
        <w:t>Harvard Business Review</w:t>
      </w:r>
      <w:r w:rsidRPr="004B2806">
        <w:t>, 76(5), pp. 76–87.</w:t>
      </w:r>
    </w:p>
    <w:p w14:paraId="1FA54E19" w14:textId="77777777" w:rsidR="00B42432" w:rsidRDefault="00B42432" w:rsidP="00615EDF">
      <w:pPr>
        <w:ind w:left="720" w:hanging="720"/>
      </w:pPr>
      <w:r w:rsidRPr="004B2806">
        <w:t xml:space="preserve">Bate, P. and Robert, G. (2007) </w:t>
      </w:r>
      <w:r w:rsidRPr="004B2806">
        <w:rPr>
          <w:i/>
          <w:iCs/>
        </w:rPr>
        <w:t>Bringing User Experience to Healthcare Improvement: The Concepts, Methods and Practices of Experience-Based Design</w:t>
      </w:r>
      <w:r w:rsidRPr="004B2806">
        <w:t>. Oxford: Radcliffe Publishing.</w:t>
      </w:r>
    </w:p>
    <w:p w14:paraId="23B1CD21" w14:textId="77777777" w:rsidR="00B42432" w:rsidRDefault="00B42432" w:rsidP="00615EDF">
      <w:pPr>
        <w:ind w:left="720" w:hanging="720"/>
      </w:pPr>
      <w:r w:rsidRPr="004B2806">
        <w:t xml:space="preserve">Berwick, D.M., Nolan, T.W. and Whittington, J. (2008) ‘The triple aim: care, health, and cost’, </w:t>
      </w:r>
      <w:r w:rsidRPr="004B2806">
        <w:rPr>
          <w:i/>
          <w:iCs/>
        </w:rPr>
        <w:t>Health Affairs</w:t>
      </w:r>
      <w:r w:rsidRPr="004B2806">
        <w:t>, 27(3), pp. 759–769.</w:t>
      </w:r>
    </w:p>
    <w:p w14:paraId="77173FBB" w14:textId="77777777" w:rsidR="00B42432" w:rsidRDefault="00B42432" w:rsidP="00615EDF">
      <w:pPr>
        <w:ind w:left="720" w:hanging="720"/>
      </w:pPr>
      <w:r w:rsidRPr="004B2806">
        <w:t xml:space="preserve">Brown, T. (2008) ‘Design thinking’, </w:t>
      </w:r>
      <w:r w:rsidRPr="004B2806">
        <w:rPr>
          <w:i/>
          <w:iCs/>
        </w:rPr>
        <w:t>Harvard Business Review</w:t>
      </w:r>
      <w:r w:rsidRPr="004B2806">
        <w:t>, 86(6), pp. 84–92</w:t>
      </w:r>
      <w:r>
        <w:t>.</w:t>
      </w:r>
    </w:p>
    <w:p w14:paraId="51F4D37B" w14:textId="77777777" w:rsidR="00B42432" w:rsidRDefault="00B42432" w:rsidP="00615EDF">
      <w:pPr>
        <w:ind w:left="720" w:hanging="720"/>
      </w:pPr>
      <w:r w:rsidRPr="004B2806">
        <w:t xml:space="preserve">Edmondson, A. (1999) ‘Psychological safety and learning behavior in work teams’, </w:t>
      </w:r>
      <w:r w:rsidRPr="004B2806">
        <w:rPr>
          <w:i/>
          <w:iCs/>
        </w:rPr>
        <w:t>Administrative Science Quarterly</w:t>
      </w:r>
      <w:r w:rsidRPr="004B2806">
        <w:t>, 44(2), pp. 350–383.</w:t>
      </w:r>
    </w:p>
    <w:p w14:paraId="3861FAEA" w14:textId="77777777" w:rsidR="00B42432" w:rsidRDefault="00B42432" w:rsidP="00615EDF">
      <w:pPr>
        <w:ind w:left="720" w:hanging="720"/>
      </w:pPr>
      <w:r w:rsidRPr="004B2806">
        <w:t xml:space="preserve">Greenhalgh, T., Robert, G., Macfarlane, F., Bate, P. and Kyriakidou, O. (2004) ‘Diffusion of innovations in service organizations: systematic review and recommendations’, </w:t>
      </w:r>
      <w:r w:rsidRPr="004B2806">
        <w:rPr>
          <w:i/>
          <w:iCs/>
        </w:rPr>
        <w:t>Milbank Quarterly</w:t>
      </w:r>
      <w:r w:rsidRPr="004B2806">
        <w:t>, 82(4), pp. 581–629.</w:t>
      </w:r>
    </w:p>
    <w:p w14:paraId="21E3A5B2" w14:textId="77777777" w:rsidR="00B42432" w:rsidRDefault="00B42432" w:rsidP="00615EDF">
      <w:pPr>
        <w:ind w:left="720" w:hanging="720"/>
      </w:pPr>
      <w:r w:rsidRPr="004B2806">
        <w:t xml:space="preserve">Greenhalgh, T., Wherton, J., Papoutsi, C., Lynch, J., Hughes, G., A’Court, C., Hinder, S., Fahy, N., Procter, R. and Shaw, S. (2017) ‘Beyond adoption: a new framework for theorising and evaluating non-adoption, abandonment, and challenges to the scale-up, spread and sustainability of health technologies’, </w:t>
      </w:r>
      <w:r w:rsidRPr="004B2806">
        <w:rPr>
          <w:i/>
          <w:iCs/>
        </w:rPr>
        <w:t>Journal of Medical Internet Research</w:t>
      </w:r>
      <w:r w:rsidRPr="004B2806">
        <w:t>, 19(11), e367.</w:t>
      </w:r>
    </w:p>
    <w:p w14:paraId="35586A77" w14:textId="77777777" w:rsidR="00B42432" w:rsidRDefault="00B42432" w:rsidP="00615EDF">
      <w:pPr>
        <w:ind w:left="720" w:hanging="720"/>
      </w:pPr>
      <w:r w:rsidRPr="004B2806">
        <w:t xml:space="preserve">Institute of Medicine (2001) </w:t>
      </w:r>
      <w:r w:rsidRPr="004B2806">
        <w:rPr>
          <w:i/>
          <w:iCs/>
        </w:rPr>
        <w:t>Crossing the Quality Chasm: A New Health System for the 21st Century</w:t>
      </w:r>
      <w:r w:rsidRPr="004B2806">
        <w:t>. Washington, DC: National Academies Press.</w:t>
      </w:r>
    </w:p>
    <w:p w14:paraId="1BF9380A" w14:textId="77777777" w:rsidR="00B42432" w:rsidRDefault="00B42432" w:rsidP="00615EDF">
      <w:pPr>
        <w:ind w:left="720" w:hanging="720"/>
      </w:pPr>
      <w:r w:rsidRPr="004B2806">
        <w:t xml:space="preserve">Langley, G.J., Moen, R., Nolan, K.M., Nolan, T.W., Norman, C.L. and Provost, L.P. (2009) </w:t>
      </w:r>
      <w:r w:rsidRPr="004B2806">
        <w:rPr>
          <w:i/>
          <w:iCs/>
        </w:rPr>
        <w:t>The Improvement Guide: A Practical Approach to Enhancing Organizational Performance</w:t>
      </w:r>
      <w:r w:rsidRPr="004B2806">
        <w:t>. 2nd edn. San Francisco, CA: Jossey-Bass.</w:t>
      </w:r>
    </w:p>
    <w:p w14:paraId="42E7A52F" w14:textId="77777777" w:rsidR="00B42432" w:rsidRDefault="00B42432" w:rsidP="00615EDF">
      <w:pPr>
        <w:ind w:left="720" w:hanging="720"/>
      </w:pPr>
      <w:r w:rsidRPr="004B2806">
        <w:t xml:space="preserve">National Institute for Health and Care Excellence (NICE) (2019) </w:t>
      </w:r>
      <w:r w:rsidRPr="004B2806">
        <w:rPr>
          <w:i/>
          <w:iCs/>
        </w:rPr>
        <w:t>Evidence Standards Framework for Digital Health Technologies</w:t>
      </w:r>
      <w:r w:rsidRPr="004B2806">
        <w:t>. London: NICE. Available at:</w:t>
      </w:r>
      <w:r w:rsidRPr="004B2806">
        <w:br/>
      </w:r>
      <w:hyperlink r:id="rId7" w:tgtFrame="_new" w:history="1">
        <w:r w:rsidRPr="004B2806">
          <w:rPr>
            <w:rStyle w:val="Hyperlink"/>
          </w:rPr>
          <w:t>https://www.nice.org.uk/Media/Default/About/what-we-do/our-programmes/evidence-standards-framework/digital-evidence-standards-framework.pdf</w:t>
        </w:r>
      </w:hyperlink>
      <w:r w:rsidRPr="004B2806">
        <w:t xml:space="preserve"> (Accessed: 1 February 2026).</w:t>
      </w:r>
    </w:p>
    <w:p w14:paraId="4BB8D5D7" w14:textId="77777777" w:rsidR="00B42432" w:rsidRDefault="00B42432" w:rsidP="00615EDF">
      <w:pPr>
        <w:ind w:left="720" w:hanging="720"/>
      </w:pPr>
      <w:r w:rsidRPr="004B2806">
        <w:t xml:space="preserve">NHS England (2019) </w:t>
      </w:r>
      <w:r w:rsidRPr="004B2806">
        <w:rPr>
          <w:i/>
          <w:iCs/>
        </w:rPr>
        <w:t>The NHS Long Term Plan</w:t>
      </w:r>
      <w:r w:rsidRPr="004B2806">
        <w:t>. London: NHS England. Available at:</w:t>
      </w:r>
      <w:r w:rsidRPr="004B2806">
        <w:br/>
      </w:r>
      <w:hyperlink r:id="rId8" w:tgtFrame="_new" w:history="1">
        <w:r w:rsidRPr="004B2806">
          <w:rPr>
            <w:rStyle w:val="Hyperlink"/>
          </w:rPr>
          <w:t>https://www.nuffieldtrust.org.uk/sites/default/files/2019-12/nhs-long-term-plan-version-1.2.pdf</w:t>
        </w:r>
      </w:hyperlink>
      <w:r w:rsidRPr="004B2806">
        <w:t xml:space="preserve"> (Accessed: 1 February 2026).</w:t>
      </w:r>
    </w:p>
    <w:p w14:paraId="0CF063D0" w14:textId="77777777" w:rsidR="00B42432" w:rsidRDefault="00B42432" w:rsidP="00615EDF">
      <w:pPr>
        <w:ind w:left="720" w:hanging="720"/>
      </w:pPr>
      <w:r w:rsidRPr="004B2806">
        <w:lastRenderedPageBreak/>
        <w:t xml:space="preserve">NHS Leadership Academy (2013) </w:t>
      </w:r>
      <w:r w:rsidRPr="004B2806">
        <w:rPr>
          <w:i/>
          <w:iCs/>
        </w:rPr>
        <w:t>The Healthcare Leadership Model</w:t>
      </w:r>
      <w:r w:rsidRPr="004B2806">
        <w:t>. Leeds: NHS Leadership Academy.</w:t>
      </w:r>
    </w:p>
    <w:p w14:paraId="7D31D9B5" w14:textId="77777777" w:rsidR="00B42432" w:rsidRDefault="00B42432" w:rsidP="00615EDF">
      <w:pPr>
        <w:ind w:left="720" w:hanging="720"/>
      </w:pPr>
      <w:r w:rsidRPr="004B2806">
        <w:t xml:space="preserve">Porter, M.E. (2008) ‘Value-based health care delivery’, </w:t>
      </w:r>
      <w:r w:rsidRPr="004B2806">
        <w:rPr>
          <w:i/>
          <w:iCs/>
        </w:rPr>
        <w:t>Annals of Surgery</w:t>
      </w:r>
      <w:r w:rsidRPr="004B2806">
        <w:t>, 248(4), pp. 503–509.</w:t>
      </w:r>
    </w:p>
    <w:p w14:paraId="7C79E8F7" w14:textId="77777777" w:rsidR="00B42432" w:rsidRDefault="00B42432" w:rsidP="00615EDF">
      <w:pPr>
        <w:ind w:left="720" w:hanging="720"/>
      </w:pPr>
      <w:r w:rsidRPr="004B2806">
        <w:t xml:space="preserve">Porter, M.E. and Lee, T.H. (2013) ‘The strategy that will fix health care’, </w:t>
      </w:r>
      <w:r w:rsidRPr="004B2806">
        <w:rPr>
          <w:i/>
          <w:iCs/>
        </w:rPr>
        <w:t>Harvard Business Review</w:t>
      </w:r>
      <w:r w:rsidRPr="004B2806">
        <w:t>, 91(10), pp. 50–70.</w:t>
      </w:r>
    </w:p>
    <w:p w14:paraId="6BEB4171" w14:textId="77777777" w:rsidR="00B42432" w:rsidRDefault="00B42432" w:rsidP="00615EDF">
      <w:pPr>
        <w:ind w:left="720" w:hanging="720"/>
      </w:pPr>
      <w:r>
        <w:t>P</w:t>
      </w:r>
      <w:r w:rsidRPr="004B2806">
        <w:t xml:space="preserve">orter, M.E. and Teisberg, E.O. (2006) </w:t>
      </w:r>
      <w:r w:rsidRPr="004B2806">
        <w:rPr>
          <w:i/>
          <w:iCs/>
        </w:rPr>
        <w:t>Redefining Health Care: Creating Value-Based Competition on Results</w:t>
      </w:r>
      <w:r w:rsidRPr="004B2806">
        <w:t>. Boston, MA: Harvard Business School Press</w:t>
      </w:r>
      <w:r>
        <w:t>.</w:t>
      </w:r>
    </w:p>
    <w:p w14:paraId="3B3A73AD" w14:textId="77777777" w:rsidR="00B42432" w:rsidRDefault="00B42432" w:rsidP="00615EDF">
      <w:pPr>
        <w:ind w:left="720" w:hanging="720"/>
      </w:pPr>
      <w:r w:rsidRPr="004B2806">
        <w:t xml:space="preserve">Rogers, E.M. (2003) </w:t>
      </w:r>
      <w:r w:rsidRPr="004B2806">
        <w:rPr>
          <w:i/>
          <w:iCs/>
        </w:rPr>
        <w:t>Diffusion of Innovations</w:t>
      </w:r>
      <w:r w:rsidRPr="004B2806">
        <w:t>. 5th edn. New York: Free Press.</w:t>
      </w:r>
    </w:p>
    <w:p w14:paraId="4C7495C7" w14:textId="77777777" w:rsidR="00B42432" w:rsidRDefault="00B42432" w:rsidP="00615EDF">
      <w:pPr>
        <w:ind w:left="720" w:hanging="720"/>
      </w:pPr>
      <w:r w:rsidRPr="004B2806">
        <w:t xml:space="preserve">West, M., Eckert, R., Steward, K. and Pasmore, B. (2015) </w:t>
      </w:r>
      <w:r w:rsidRPr="004B2806">
        <w:rPr>
          <w:i/>
          <w:iCs/>
        </w:rPr>
        <w:t>Leadership and Leadership Development in Health Care: The Evidence Base</w:t>
      </w:r>
      <w:r w:rsidRPr="004B2806">
        <w:t>. London: The King’s Fund.</w:t>
      </w:r>
    </w:p>
    <w:p w14:paraId="2FA2DCA5" w14:textId="77777777" w:rsidR="00B42432" w:rsidRDefault="00B42432" w:rsidP="00615EDF">
      <w:pPr>
        <w:ind w:left="720" w:hanging="720"/>
      </w:pPr>
      <w:r w:rsidRPr="004B2806">
        <w:t xml:space="preserve">World Health Organization (2019) </w:t>
      </w:r>
      <w:r w:rsidRPr="004B2806">
        <w:rPr>
          <w:i/>
          <w:iCs/>
        </w:rPr>
        <w:t>WHO Guideline: Recommendations on Digital Interventions for Health System Strengthening</w:t>
      </w:r>
      <w:r w:rsidRPr="004B2806">
        <w:t>. Geneva: WHO. Available at:</w:t>
      </w:r>
      <w:r w:rsidRPr="004B2806">
        <w:br/>
      </w:r>
      <w:hyperlink r:id="rId9" w:tgtFrame="_new" w:history="1">
        <w:r w:rsidRPr="004B2806">
          <w:rPr>
            <w:rStyle w:val="Hyperlink"/>
          </w:rPr>
          <w:t>https://www.who.int/publications/i/item/9789241550505</w:t>
        </w:r>
      </w:hyperlink>
      <w:r w:rsidRPr="004B2806">
        <w:t xml:space="preserve"> (Accessed: 1 February 2026).</w:t>
      </w:r>
    </w:p>
    <w:p w14:paraId="15F76841" w14:textId="214BF111" w:rsidR="00B42432" w:rsidRPr="004B2806" w:rsidRDefault="00B42432" w:rsidP="00615EDF">
      <w:pPr>
        <w:ind w:left="720" w:hanging="720"/>
      </w:pPr>
      <w:r w:rsidRPr="004B2806">
        <w:t>World Health Organization (202</w:t>
      </w:r>
      <w:r w:rsidR="00BB60CA">
        <w:t>1</w:t>
      </w:r>
      <w:r w:rsidRPr="004B2806">
        <w:t xml:space="preserve">) </w:t>
      </w:r>
      <w:r w:rsidRPr="004B2806">
        <w:rPr>
          <w:i/>
          <w:iCs/>
        </w:rPr>
        <w:t>Ethics and Governance of Artificial Intelligence for Health</w:t>
      </w:r>
      <w:r w:rsidRPr="004B2806">
        <w:t>. Geneva: WHO. Available at:</w:t>
      </w:r>
      <w:r w:rsidRPr="004B2806">
        <w:br/>
      </w:r>
      <w:hyperlink r:id="rId10" w:tgtFrame="_new" w:history="1">
        <w:r w:rsidRPr="004B2806">
          <w:rPr>
            <w:rStyle w:val="Hyperlink"/>
          </w:rPr>
          <w:t>https://iris.who.int/handle/10665/341996</w:t>
        </w:r>
      </w:hyperlink>
      <w:r w:rsidRPr="004B2806">
        <w:t xml:space="preserve"> (Accessed: 1 February 2026).</w:t>
      </w:r>
    </w:p>
    <w:p w14:paraId="613593E5" w14:textId="77777777" w:rsidR="004B2806" w:rsidRPr="004B2806" w:rsidRDefault="004B2806" w:rsidP="00615EDF"/>
    <w:sectPr w:rsidR="004B2806" w:rsidRPr="004B280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0A5C6" w14:textId="77777777" w:rsidR="004E7A21" w:rsidRDefault="004E7A21" w:rsidP="00A46DA2">
      <w:pPr>
        <w:spacing w:after="0" w:line="240" w:lineRule="auto"/>
      </w:pPr>
      <w:r>
        <w:separator/>
      </w:r>
    </w:p>
  </w:endnote>
  <w:endnote w:type="continuationSeparator" w:id="0">
    <w:p w14:paraId="50F23849" w14:textId="77777777" w:rsidR="004E7A21" w:rsidRDefault="004E7A21" w:rsidP="00A46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209652"/>
      <w:docPartObj>
        <w:docPartGallery w:val="Page Numbers (Bottom of Page)"/>
        <w:docPartUnique/>
      </w:docPartObj>
    </w:sdtPr>
    <w:sdtContent>
      <w:sdt>
        <w:sdtPr>
          <w:id w:val="1728636285"/>
          <w:docPartObj>
            <w:docPartGallery w:val="Page Numbers (Top of Page)"/>
            <w:docPartUnique/>
          </w:docPartObj>
        </w:sdtPr>
        <w:sdtContent>
          <w:p w14:paraId="4349443A" w14:textId="4DE2AF2D" w:rsidR="00266AFE" w:rsidRDefault="00266AFE">
            <w:pPr>
              <w:pStyle w:val="Footer"/>
              <w:jc w:val="center"/>
            </w:pPr>
            <w:r>
              <w:t xml:space="preserve">Page </w:t>
            </w:r>
            <w:r>
              <w:rPr>
                <w:b/>
                <w:bCs/>
                <w:sz w:val="24"/>
              </w:rPr>
              <w:fldChar w:fldCharType="begin"/>
            </w:r>
            <w:r>
              <w:rPr>
                <w:b/>
                <w:bCs/>
              </w:rPr>
              <w:instrText>PAGE</w:instrText>
            </w:r>
            <w:r>
              <w:rPr>
                <w:b/>
                <w:bCs/>
                <w:sz w:val="24"/>
              </w:rPr>
              <w:fldChar w:fldCharType="separate"/>
            </w:r>
            <w:r>
              <w:rPr>
                <w:b/>
                <w:bCs/>
              </w:rPr>
              <w:t>2</w:t>
            </w:r>
            <w:r>
              <w:rPr>
                <w:b/>
                <w:bCs/>
                <w:sz w:val="24"/>
              </w:rPr>
              <w:fldChar w:fldCharType="end"/>
            </w:r>
            <w:r>
              <w:t xml:space="preserve"> of </w:t>
            </w:r>
            <w:r>
              <w:rPr>
                <w:b/>
                <w:bCs/>
                <w:sz w:val="24"/>
              </w:rPr>
              <w:fldChar w:fldCharType="begin"/>
            </w:r>
            <w:r>
              <w:rPr>
                <w:b/>
                <w:bCs/>
              </w:rPr>
              <w:instrText>NUMPAGES</w:instrText>
            </w:r>
            <w:r>
              <w:rPr>
                <w:b/>
                <w:bCs/>
                <w:sz w:val="24"/>
              </w:rPr>
              <w:fldChar w:fldCharType="separate"/>
            </w:r>
            <w:r>
              <w:rPr>
                <w:b/>
                <w:bCs/>
              </w:rPr>
              <w:t>2</w:t>
            </w:r>
            <w:r>
              <w:rPr>
                <w:b/>
                <w:bCs/>
                <w:sz w:val="24"/>
              </w:rPr>
              <w:fldChar w:fldCharType="end"/>
            </w:r>
          </w:p>
        </w:sdtContent>
      </w:sdt>
    </w:sdtContent>
  </w:sdt>
  <w:p w14:paraId="792FE425" w14:textId="77777777" w:rsidR="00266AFE" w:rsidRDefault="00266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8FE1E" w14:textId="77777777" w:rsidR="004E7A21" w:rsidRDefault="004E7A21" w:rsidP="00A46DA2">
      <w:pPr>
        <w:spacing w:after="0" w:line="240" w:lineRule="auto"/>
      </w:pPr>
      <w:r>
        <w:separator/>
      </w:r>
    </w:p>
  </w:footnote>
  <w:footnote w:type="continuationSeparator" w:id="0">
    <w:p w14:paraId="7B31C233" w14:textId="77777777" w:rsidR="004E7A21" w:rsidRDefault="004E7A21" w:rsidP="00A46D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C8511" w14:textId="79102468" w:rsidR="00266AFE" w:rsidRPr="00266AFE" w:rsidRDefault="00266AFE">
    <w:pPr>
      <w:pStyle w:val="Header"/>
      <w:rPr>
        <w:color w:val="156082" w:themeColor="accent1"/>
      </w:rPr>
    </w:pPr>
    <w:r w:rsidRPr="00266AFE">
      <w:rPr>
        <w:color w:val="156082" w:themeColor="accent1"/>
      </w:rPr>
      <w:t>Musab Shah 2411894</w:t>
    </w:r>
  </w:p>
  <w:p w14:paraId="14B87BF9" w14:textId="791BB505" w:rsidR="00A46DA2" w:rsidRDefault="00A46D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06"/>
    <w:rsid w:val="000B6857"/>
    <w:rsid w:val="000C39D3"/>
    <w:rsid w:val="00101076"/>
    <w:rsid w:val="00121159"/>
    <w:rsid w:val="001636D2"/>
    <w:rsid w:val="00171632"/>
    <w:rsid w:val="00266AFE"/>
    <w:rsid w:val="002B35C0"/>
    <w:rsid w:val="00325002"/>
    <w:rsid w:val="0043087E"/>
    <w:rsid w:val="004415CF"/>
    <w:rsid w:val="00456EF5"/>
    <w:rsid w:val="004B2806"/>
    <w:rsid w:val="004C2D6C"/>
    <w:rsid w:val="004D3D5C"/>
    <w:rsid w:val="004E7A21"/>
    <w:rsid w:val="00585D0A"/>
    <w:rsid w:val="005D3788"/>
    <w:rsid w:val="00615EDF"/>
    <w:rsid w:val="00647853"/>
    <w:rsid w:val="00662A06"/>
    <w:rsid w:val="007E09C1"/>
    <w:rsid w:val="00861622"/>
    <w:rsid w:val="008B3B40"/>
    <w:rsid w:val="008F0A38"/>
    <w:rsid w:val="00933D00"/>
    <w:rsid w:val="009A315E"/>
    <w:rsid w:val="00A34A27"/>
    <w:rsid w:val="00A46DA2"/>
    <w:rsid w:val="00A84B4A"/>
    <w:rsid w:val="00B269E7"/>
    <w:rsid w:val="00B42432"/>
    <w:rsid w:val="00B50E8A"/>
    <w:rsid w:val="00B93D89"/>
    <w:rsid w:val="00B94DFA"/>
    <w:rsid w:val="00BA52C0"/>
    <w:rsid w:val="00BB60CA"/>
    <w:rsid w:val="00C33305"/>
    <w:rsid w:val="00C44DFE"/>
    <w:rsid w:val="00D223E8"/>
    <w:rsid w:val="00D544F2"/>
    <w:rsid w:val="00D66918"/>
    <w:rsid w:val="00D83271"/>
    <w:rsid w:val="00E8626F"/>
    <w:rsid w:val="00F75B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D3E52"/>
  <w15:chartTrackingRefBased/>
  <w15:docId w15:val="{F92E1225-6ED7-4896-B79C-5E65AAC31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622"/>
    <w:pPr>
      <w:spacing w:line="360" w:lineRule="auto"/>
      <w:jc w:val="both"/>
    </w:pPr>
    <w:rPr>
      <w:rFonts w:ascii="Arial" w:hAnsi="Arial"/>
      <w:sz w:val="22"/>
      <w:lang w:bidi="ur-PK"/>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4B280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B280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B280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280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280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280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4B2806"/>
    <w:rPr>
      <w:rFonts w:eastAsiaTheme="majorEastAsia" w:cstheme="majorBidi"/>
      <w:i/>
      <w:iCs/>
      <w:color w:val="0F4761" w:themeColor="accent1" w:themeShade="BF"/>
      <w:lang w:bidi="ur-PK"/>
    </w:rPr>
  </w:style>
  <w:style w:type="character" w:customStyle="1" w:styleId="Heading5Char">
    <w:name w:val="Heading 5 Char"/>
    <w:basedOn w:val="DefaultParagraphFont"/>
    <w:link w:val="Heading5"/>
    <w:uiPriority w:val="9"/>
    <w:semiHidden/>
    <w:rsid w:val="004B2806"/>
    <w:rPr>
      <w:rFonts w:eastAsiaTheme="majorEastAsia" w:cstheme="majorBidi"/>
      <w:color w:val="0F4761" w:themeColor="accent1" w:themeShade="BF"/>
      <w:lang w:bidi="ur-PK"/>
    </w:rPr>
  </w:style>
  <w:style w:type="character" w:customStyle="1" w:styleId="Heading6Char">
    <w:name w:val="Heading 6 Char"/>
    <w:basedOn w:val="DefaultParagraphFont"/>
    <w:link w:val="Heading6"/>
    <w:uiPriority w:val="9"/>
    <w:semiHidden/>
    <w:rsid w:val="004B2806"/>
    <w:rPr>
      <w:rFonts w:eastAsiaTheme="majorEastAsia" w:cstheme="majorBidi"/>
      <w:i/>
      <w:iCs/>
      <w:color w:val="595959" w:themeColor="text1" w:themeTint="A6"/>
      <w:lang w:bidi="ur-PK"/>
    </w:rPr>
  </w:style>
  <w:style w:type="character" w:customStyle="1" w:styleId="Heading7Char">
    <w:name w:val="Heading 7 Char"/>
    <w:basedOn w:val="DefaultParagraphFont"/>
    <w:link w:val="Heading7"/>
    <w:uiPriority w:val="9"/>
    <w:semiHidden/>
    <w:rsid w:val="004B2806"/>
    <w:rPr>
      <w:rFonts w:eastAsiaTheme="majorEastAsia" w:cstheme="majorBidi"/>
      <w:color w:val="595959" w:themeColor="text1" w:themeTint="A6"/>
      <w:lang w:bidi="ur-PK"/>
    </w:rPr>
  </w:style>
  <w:style w:type="character" w:customStyle="1" w:styleId="Heading8Char">
    <w:name w:val="Heading 8 Char"/>
    <w:basedOn w:val="DefaultParagraphFont"/>
    <w:link w:val="Heading8"/>
    <w:uiPriority w:val="9"/>
    <w:semiHidden/>
    <w:rsid w:val="004B2806"/>
    <w:rPr>
      <w:rFonts w:eastAsiaTheme="majorEastAsia" w:cstheme="majorBidi"/>
      <w:i/>
      <w:iCs/>
      <w:color w:val="272727" w:themeColor="text1" w:themeTint="D8"/>
      <w:lang w:bidi="ur-PK"/>
    </w:rPr>
  </w:style>
  <w:style w:type="character" w:customStyle="1" w:styleId="Heading9Char">
    <w:name w:val="Heading 9 Char"/>
    <w:basedOn w:val="DefaultParagraphFont"/>
    <w:link w:val="Heading9"/>
    <w:uiPriority w:val="9"/>
    <w:semiHidden/>
    <w:rsid w:val="004B2806"/>
    <w:rPr>
      <w:rFonts w:eastAsiaTheme="majorEastAsia" w:cstheme="majorBidi"/>
      <w:color w:val="272727" w:themeColor="text1" w:themeTint="D8"/>
      <w:lang w:bidi="ur-PK"/>
    </w:rPr>
  </w:style>
  <w:style w:type="paragraph" w:styleId="Title">
    <w:name w:val="Title"/>
    <w:basedOn w:val="Normal"/>
    <w:next w:val="Normal"/>
    <w:link w:val="TitleChar"/>
    <w:uiPriority w:val="10"/>
    <w:qFormat/>
    <w:rsid w:val="004B2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806"/>
    <w:rPr>
      <w:rFonts w:asciiTheme="majorHAnsi" w:eastAsiaTheme="majorEastAsia" w:hAnsiTheme="majorHAnsi" w:cstheme="majorBidi"/>
      <w:spacing w:val="-10"/>
      <w:kern w:val="28"/>
      <w:sz w:val="56"/>
      <w:szCs w:val="56"/>
      <w:lang w:bidi="ur-PK"/>
    </w:rPr>
  </w:style>
  <w:style w:type="paragraph" w:styleId="Subtitle">
    <w:name w:val="Subtitle"/>
    <w:basedOn w:val="Normal"/>
    <w:next w:val="Normal"/>
    <w:link w:val="SubtitleChar"/>
    <w:uiPriority w:val="11"/>
    <w:qFormat/>
    <w:rsid w:val="004B280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806"/>
    <w:rPr>
      <w:rFonts w:eastAsiaTheme="majorEastAsia" w:cstheme="majorBidi"/>
      <w:color w:val="595959" w:themeColor="text1" w:themeTint="A6"/>
      <w:spacing w:val="15"/>
      <w:sz w:val="28"/>
      <w:szCs w:val="28"/>
      <w:lang w:bidi="ur-PK"/>
    </w:rPr>
  </w:style>
  <w:style w:type="paragraph" w:styleId="Quote">
    <w:name w:val="Quote"/>
    <w:basedOn w:val="Normal"/>
    <w:next w:val="Normal"/>
    <w:link w:val="QuoteChar"/>
    <w:uiPriority w:val="29"/>
    <w:qFormat/>
    <w:rsid w:val="004B2806"/>
    <w:pPr>
      <w:spacing w:before="160"/>
      <w:jc w:val="center"/>
    </w:pPr>
    <w:rPr>
      <w:i/>
      <w:iCs/>
      <w:color w:val="404040" w:themeColor="text1" w:themeTint="BF"/>
    </w:rPr>
  </w:style>
  <w:style w:type="character" w:customStyle="1" w:styleId="QuoteChar">
    <w:name w:val="Quote Char"/>
    <w:basedOn w:val="DefaultParagraphFont"/>
    <w:link w:val="Quote"/>
    <w:uiPriority w:val="29"/>
    <w:rsid w:val="004B2806"/>
    <w:rPr>
      <w:rFonts w:ascii="Times New Roman" w:hAnsi="Times New Roman"/>
      <w:i/>
      <w:iCs/>
      <w:color w:val="404040" w:themeColor="text1" w:themeTint="BF"/>
      <w:lang w:bidi="ur-PK"/>
    </w:rPr>
  </w:style>
  <w:style w:type="paragraph" w:styleId="ListParagraph">
    <w:name w:val="List Paragraph"/>
    <w:basedOn w:val="Normal"/>
    <w:uiPriority w:val="34"/>
    <w:qFormat/>
    <w:rsid w:val="004B2806"/>
    <w:pPr>
      <w:ind w:left="720"/>
      <w:contextualSpacing/>
    </w:pPr>
  </w:style>
  <w:style w:type="character" w:styleId="IntenseEmphasis">
    <w:name w:val="Intense Emphasis"/>
    <w:basedOn w:val="DefaultParagraphFont"/>
    <w:uiPriority w:val="21"/>
    <w:qFormat/>
    <w:rsid w:val="004B2806"/>
    <w:rPr>
      <w:i/>
      <w:iCs/>
      <w:color w:val="0F4761" w:themeColor="accent1" w:themeShade="BF"/>
    </w:rPr>
  </w:style>
  <w:style w:type="paragraph" w:styleId="IntenseQuote">
    <w:name w:val="Intense Quote"/>
    <w:basedOn w:val="Normal"/>
    <w:next w:val="Normal"/>
    <w:link w:val="IntenseQuoteChar"/>
    <w:uiPriority w:val="30"/>
    <w:qFormat/>
    <w:rsid w:val="004B2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806"/>
    <w:rPr>
      <w:rFonts w:ascii="Times New Roman" w:hAnsi="Times New Roman"/>
      <w:i/>
      <w:iCs/>
      <w:color w:val="0F4761" w:themeColor="accent1" w:themeShade="BF"/>
      <w:lang w:bidi="ur-PK"/>
    </w:rPr>
  </w:style>
  <w:style w:type="character" w:styleId="IntenseReference">
    <w:name w:val="Intense Reference"/>
    <w:basedOn w:val="DefaultParagraphFont"/>
    <w:uiPriority w:val="32"/>
    <w:qFormat/>
    <w:rsid w:val="004B2806"/>
    <w:rPr>
      <w:b/>
      <w:bCs/>
      <w:smallCaps/>
      <w:color w:val="0F4761" w:themeColor="accent1" w:themeShade="BF"/>
      <w:spacing w:val="5"/>
    </w:rPr>
  </w:style>
  <w:style w:type="character" w:styleId="UnresolvedMention">
    <w:name w:val="Unresolved Mention"/>
    <w:basedOn w:val="DefaultParagraphFont"/>
    <w:uiPriority w:val="99"/>
    <w:semiHidden/>
    <w:unhideWhenUsed/>
    <w:rsid w:val="004B2806"/>
    <w:rPr>
      <w:color w:val="605E5C"/>
      <w:shd w:val="clear" w:color="auto" w:fill="E1DFDD"/>
    </w:rPr>
  </w:style>
  <w:style w:type="paragraph" w:styleId="Header">
    <w:name w:val="header"/>
    <w:basedOn w:val="Normal"/>
    <w:link w:val="HeaderChar"/>
    <w:uiPriority w:val="99"/>
    <w:unhideWhenUsed/>
    <w:rsid w:val="00A46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DA2"/>
    <w:rPr>
      <w:rFonts w:ascii="Arial" w:hAnsi="Arial"/>
      <w:sz w:val="22"/>
      <w:lang w:bidi="ur-PK"/>
    </w:rPr>
  </w:style>
  <w:style w:type="paragraph" w:styleId="Footer">
    <w:name w:val="footer"/>
    <w:basedOn w:val="Normal"/>
    <w:link w:val="FooterChar"/>
    <w:uiPriority w:val="99"/>
    <w:unhideWhenUsed/>
    <w:rsid w:val="00A46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DA2"/>
    <w:rPr>
      <w:rFonts w:ascii="Arial" w:hAnsi="Arial"/>
      <w:sz w:val="22"/>
      <w:lang w:bidi="ur-PK"/>
    </w:rPr>
  </w:style>
  <w:style w:type="paragraph" w:styleId="TOCHeading">
    <w:name w:val="TOC Heading"/>
    <w:basedOn w:val="Heading1"/>
    <w:next w:val="Normal"/>
    <w:uiPriority w:val="39"/>
    <w:unhideWhenUsed/>
    <w:qFormat/>
    <w:rsid w:val="00615EDF"/>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615E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sites/default/files/2019-12/nhs-long-term-plan-version-1.2.pdf?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ice.org.uk/Media/Default/About/what-we-do/our-programmes/evidence-standards-framework/digital-evidence-standards-framework.pdf?utm_source=chatgpt.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iris.who.int/handle/10665/341996" TargetMode="External"/><Relationship Id="rId4" Type="http://schemas.openxmlformats.org/officeDocument/2006/relationships/webSettings" Target="webSettings.xml"/><Relationship Id="rId9" Type="http://schemas.openxmlformats.org/officeDocument/2006/relationships/hyperlink" Target="https://www.who.int/publications/i/item/9789241550505?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F57C8-42A7-4147-9CA7-B2E7829D5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2539</Words>
  <Characters>15222</Characters>
  <Application>Microsoft Office Word</Application>
  <DocSecurity>0</DocSecurity>
  <Lines>246</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Musab Umayr Shah (2411894)</cp:lastModifiedBy>
  <cp:revision>3</cp:revision>
  <dcterms:created xsi:type="dcterms:W3CDTF">2026-02-09T19:36:00Z</dcterms:created>
  <dcterms:modified xsi:type="dcterms:W3CDTF">2026-02-19T21:56:00Z</dcterms:modified>
</cp:coreProperties>
</file>