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val="0"/>
          <w:bCs w:val="0"/>
          <w:lang w:val="en-GB"/>
        </w:rPr>
      </w:pPr>
      <w:r>
        <w:rPr>
          <w:rFonts w:hint="default" w:ascii="Times New Roman" w:hAnsi="Times New Roman" w:cs="Times New Roman"/>
          <w:b/>
          <w:bCs/>
          <w:lang w:val="en-GB"/>
        </w:rPr>
        <w:t>Annotated bibliography</w:t>
      </w:r>
    </w:p>
    <w:p>
      <w:pPr>
        <w:rPr>
          <w:rFonts w:hint="default" w:ascii="Times New Roman" w:hAnsi="Times New Roman" w:cs="Times New Roman"/>
          <w:b w:val="0"/>
          <w:bCs w:val="0"/>
          <w:lang w:val="en-GB"/>
        </w:rPr>
      </w:pPr>
    </w:p>
    <w:p>
      <w:pPr>
        <w:rPr>
          <w:rFonts w:hint="default" w:ascii="Times New Roman" w:hAnsi="Times New Roman" w:cs="Times New Roman"/>
          <w:i/>
          <w:iCs/>
          <w:lang w:val="en-GB"/>
        </w:rPr>
      </w:pPr>
      <w:r>
        <w:rPr>
          <w:rFonts w:hint="default" w:ascii="Times New Roman" w:hAnsi="Times New Roman" w:cs="Times New Roman"/>
          <w:i/>
          <w:iCs/>
          <w:lang w:val="en-GB"/>
        </w:rPr>
        <w:t>Aiming for:</w:t>
      </w:r>
    </w:p>
    <w:p>
      <w:pPr>
        <w:rPr>
          <w:rFonts w:hint="default" w:ascii="Times New Roman" w:hAnsi="Times New Roman" w:cs="Times New Roman"/>
          <w:i/>
          <w:iCs/>
          <w:lang w:val="en-GB"/>
        </w:rPr>
      </w:pPr>
      <w:r>
        <w:rPr>
          <w:rFonts w:hint="default" w:ascii="Times New Roman" w:hAnsi="Times New Roman" w:cs="Times New Roman"/>
          <w:i/>
          <w:iCs/>
          <w:lang w:val="en-GB"/>
        </w:rPr>
        <w:t>Extensive range of literature, well-referenced.</w:t>
      </w:r>
    </w:p>
    <w:p>
      <w:pPr>
        <w:rPr>
          <w:rFonts w:hint="default" w:ascii="Times New Roman" w:hAnsi="Times New Roman" w:cs="Times New Roman"/>
          <w:i/>
          <w:iCs/>
          <w:lang w:val="en-GB"/>
        </w:rPr>
      </w:pPr>
      <w:r>
        <w:rPr>
          <w:rFonts w:hint="default" w:ascii="Times New Roman" w:hAnsi="Times New Roman" w:cs="Times New Roman"/>
          <w:i/>
          <w:iCs/>
          <w:lang w:val="en-GB"/>
        </w:rPr>
        <w:t>Mastery of a complex area with systematic understanding.</w:t>
      </w:r>
    </w:p>
    <w:p>
      <w:pPr>
        <w:rPr>
          <w:rFonts w:hint="default" w:ascii="Times New Roman" w:hAnsi="Times New Roman" w:cs="Times New Roman"/>
          <w:i/>
          <w:iCs/>
          <w:lang w:val="en-GB"/>
        </w:rPr>
      </w:pPr>
      <w:r>
        <w:rPr>
          <w:rFonts w:hint="default" w:ascii="Times New Roman" w:hAnsi="Times New Roman" w:cs="Times New Roman"/>
          <w:i/>
          <w:iCs/>
          <w:lang w:val="en-GB"/>
        </w:rPr>
        <w:t xml:space="preserve">Highly critical awareness of new/recent insights. </w:t>
      </w:r>
    </w:p>
    <w:p>
      <w:pPr>
        <w:rPr>
          <w:rFonts w:hint="default" w:ascii="Times New Roman" w:hAnsi="Times New Roman" w:cs="Times New Roman"/>
          <w:i/>
          <w:iCs/>
          <w:lang w:val="en-GB"/>
        </w:rPr>
      </w:pPr>
      <w:r>
        <w:rPr>
          <w:rFonts w:hint="default" w:ascii="Times New Roman" w:hAnsi="Times New Roman" w:cs="Times New Roman"/>
          <w:i/>
          <w:iCs/>
          <w:lang w:val="en-GB"/>
        </w:rPr>
        <w:t>Innovative hypotheses.</w:t>
      </w:r>
    </w:p>
    <w:p>
      <w:pPr>
        <w:rPr>
          <w:rFonts w:hint="default" w:ascii="Times New Roman" w:hAnsi="Times New Roman" w:cs="Times New Roman"/>
          <w:i w:val="0"/>
          <w:iCs w:val="0"/>
          <w:lang w:val="en-GB"/>
        </w:rPr>
      </w:pPr>
      <w:r>
        <w:rPr>
          <w:rFonts w:hint="default" w:ascii="Times New Roman" w:hAnsi="Times New Roman" w:cs="Times New Roman"/>
          <w:i/>
          <w:iCs/>
          <w:lang w:val="en-GB"/>
        </w:rPr>
        <w:t xml:space="preserve">Investigation of incomplete areas or wrong statements. </w:t>
      </w:r>
    </w:p>
    <w:p>
      <w:pPr>
        <w:numPr>
          <w:ilvl w:val="0"/>
          <w:numId w:val="0"/>
        </w:numPr>
        <w:rPr>
          <w:rFonts w:hint="default" w:ascii="Times New Roman" w:hAnsi="Times New Roman" w:cs="Times New Roman"/>
          <w:b/>
          <w:bCs/>
          <w:i w:val="0"/>
          <w:iCs w:val="0"/>
          <w:lang w:val="en-GB"/>
        </w:rPr>
      </w:pPr>
    </w:p>
    <w:p>
      <w:pPr>
        <w:numPr>
          <w:ilvl w:val="0"/>
          <w:numId w:val="11"/>
        </w:numPr>
        <w:rPr>
          <w:rFonts w:hint="default" w:ascii="Times New Roman" w:hAnsi="Times New Roman" w:cs="Times New Roman"/>
          <w:b w:val="0"/>
          <w:bCs w:val="0"/>
          <w:i w:val="0"/>
          <w:iCs w:val="0"/>
          <w:lang w:val="en-GB"/>
        </w:rPr>
      </w:pPr>
      <w:r>
        <w:rPr>
          <w:rFonts w:hint="default" w:ascii="Times New Roman" w:hAnsi="Times New Roman" w:cs="Times New Roman"/>
          <w:b/>
          <w:bCs/>
          <w:i w:val="0"/>
          <w:iCs w:val="0"/>
          <w:lang w:val="en-GB"/>
        </w:rPr>
        <w:t xml:space="preserve">Karl Popper, “Back to the Presocratics”, </w:t>
      </w:r>
      <w:r>
        <w:rPr>
          <w:rFonts w:hint="default" w:ascii="Times New Roman" w:hAnsi="Times New Roman" w:cs="Times New Roman"/>
          <w:b/>
          <w:bCs/>
          <w:i/>
          <w:iCs/>
          <w:lang w:val="en-GB"/>
        </w:rPr>
        <w:t>The World of Parmenides: Essays on the Presocratic Enlightenment</w:t>
      </w:r>
      <w:r>
        <w:rPr>
          <w:rFonts w:hint="default" w:ascii="Times New Roman" w:hAnsi="Times New Roman" w:cs="Times New Roman"/>
          <w:b/>
          <w:bCs/>
          <w:i w:val="0"/>
          <w:iCs w:val="0"/>
          <w:lang w:val="en-GB"/>
        </w:rPr>
        <w:t xml:space="preserve">, Routledge, ed. Popper, 2012 </w:t>
      </w:r>
    </w:p>
    <w:p>
      <w:pPr>
        <w:rPr>
          <w:rFonts w:hint="default" w:ascii="Times New Roman" w:hAnsi="Times New Roman" w:cs="Times New Roman"/>
          <w:b w:val="0"/>
          <w:bCs w:val="0"/>
          <w:i w:val="0"/>
          <w:iCs w:val="0"/>
          <w:lang w:val="en-GB"/>
        </w:rPr>
      </w:pPr>
    </w:p>
    <w:p>
      <w:pPr>
        <w:rPr>
          <w:rFonts w:hint="default" w:ascii="Times New Roman" w:hAnsi="Times New Roman" w:cs="Times New Roman"/>
          <w:b w:val="0"/>
          <w:bCs w:val="0"/>
          <w:i w:val="0"/>
          <w:iCs w:val="0"/>
          <w:lang w:val="en-GB"/>
        </w:rPr>
      </w:pPr>
      <w:r>
        <w:rPr>
          <w:rFonts w:hint="default" w:ascii="Times New Roman" w:hAnsi="Times New Roman" w:cs="Times New Roman"/>
          <w:b w:val="0"/>
          <w:bCs w:val="0"/>
          <w:i w:val="0"/>
          <w:iCs w:val="0"/>
          <w:lang w:val="en-GB"/>
        </w:rPr>
        <w:t xml:space="preserve">Popper tells us that the presocratics were mostly interested in cosmology &amp; knowledge. It is to these areas of philosophy to which we “must return” are we to ever accomplish truly good, meaningful philosophy. There is one basic question which “all thinking men” take: the “problem of understanding the world in which we live; and thus ourselves… and our knowledge of it.” Popper frames this as one question, but fails to consider whether any other questions may be useful in answering this one question of “How can we understand the world, ourselves, and how we ourselves know the world?” However, he does well to give cosmology and epistemology their due credit as foundational for philosophy. Popper claims to admire Wittgenstein not for his philosophy of language, but for his attention to cosmological questions. I do wonder how far Wittgenstein would have gotten--indeed, how far he would have been willing to go--without his philosophy of language, which has been his lasting influence. Many of the great philosophers have taken philosophy of language to be equally foundational as cosmology of epistemology to understanding our place in the universe. The presocratics too engaged in philosophy of language, though inexplicitly and playfully: they engaged in wordplay, experimented with form, and so on, in order to turn our eyes to the nature, follies, and capabilities of language. </w:t>
      </w:r>
    </w:p>
    <w:p>
      <w:pPr>
        <w:rPr>
          <w:rFonts w:hint="default" w:ascii="Times New Roman" w:hAnsi="Times New Roman" w:cs="Times New Roman"/>
          <w:b w:val="0"/>
          <w:bCs w:val="0"/>
          <w:i w:val="0"/>
          <w:iCs w:val="0"/>
          <w:lang w:val="en-GB"/>
        </w:rPr>
      </w:pPr>
    </w:p>
    <w:p>
      <w:pPr>
        <w:rPr>
          <w:rFonts w:hint="default" w:ascii="Times New Roman" w:hAnsi="Times New Roman" w:cs="Times New Roman"/>
          <w:b w:val="0"/>
          <w:bCs w:val="0"/>
          <w:i w:val="0"/>
          <w:iCs w:val="0"/>
          <w:lang w:val="en-GB"/>
        </w:rPr>
      </w:pPr>
      <w:r>
        <w:rPr>
          <w:rFonts w:hint="default" w:ascii="Times New Roman" w:hAnsi="Times New Roman" w:cs="Times New Roman"/>
          <w:b w:val="0"/>
          <w:bCs w:val="0"/>
          <w:i w:val="0"/>
          <w:iCs w:val="0"/>
          <w:lang w:val="en-GB"/>
        </w:rPr>
        <w:t xml:space="preserve">So Popper is concerned primarily with the directly cosmological theories of the presocratics, and these largely in relation to the problem of change. This was indeed a troublesome area for the presocratics, arising continuously throughout the works of otherwise extremely varied philosophers. Though Popper does not consider himself an “expert” in the philosophy of the presocratics, he feels equipped, and indeed certainly is equipped, to examine the consistency of the experts’ opinions. In actuality he goes much further than simply examining the consistency of commentators’ opinions, but what he does have to say is particularly insightful. </w:t>
      </w:r>
    </w:p>
    <w:p>
      <w:pPr>
        <w:rPr>
          <w:rFonts w:hint="default" w:ascii="Times New Roman" w:hAnsi="Times New Roman" w:cs="Times New Roman"/>
          <w:b w:val="0"/>
          <w:bCs w:val="0"/>
          <w:i w:val="0"/>
          <w:iCs w:val="0"/>
          <w:lang w:val="en-GB"/>
        </w:rPr>
      </w:pPr>
    </w:p>
    <w:p>
      <w:pPr>
        <w:rPr>
          <w:rFonts w:hint="default" w:ascii="Times New Roman" w:hAnsi="Times New Roman" w:cs="Times New Roman"/>
          <w:b w:val="0"/>
          <w:bCs w:val="0"/>
          <w:i w:val="0"/>
          <w:iCs w:val="0"/>
          <w:lang w:val="en-GB"/>
        </w:rPr>
      </w:pPr>
      <w:r>
        <w:rPr>
          <w:rFonts w:hint="default" w:ascii="Times New Roman" w:hAnsi="Times New Roman" w:cs="Times New Roman"/>
          <w:b w:val="0"/>
          <w:bCs w:val="0"/>
          <w:i w:val="0"/>
          <w:iCs w:val="0"/>
          <w:lang w:val="en-GB"/>
        </w:rPr>
        <w:t xml:space="preserve">For Popper it is a Baconian “myth” that science begins with small observations (e.g. what we know about “orange”) and moves carefully out to </w:t>
      </w:r>
      <w:r>
        <w:rPr>
          <w:rFonts w:hint="default" w:ascii="Times New Roman" w:hAnsi="Times New Roman" w:cs="Times New Roman"/>
          <w:b w:val="0"/>
          <w:bCs w:val="0"/>
          <w:i/>
          <w:iCs/>
          <w:lang w:val="en-GB"/>
        </w:rPr>
        <w:t xml:space="preserve">theory </w:t>
      </w:r>
      <w:r>
        <w:rPr>
          <w:rFonts w:hint="default" w:ascii="Times New Roman" w:hAnsi="Times New Roman" w:cs="Times New Roman"/>
          <w:b w:val="0"/>
          <w:bCs w:val="0"/>
          <w:i w:val="0"/>
          <w:iCs w:val="0"/>
          <w:lang w:val="en-GB"/>
        </w:rPr>
        <w:t xml:space="preserve">(e.g. what “orange” is, what “orange” means…). The Baconian idea is to explain why scientific statement </w:t>
      </w:r>
      <w:r>
        <w:rPr>
          <w:rFonts w:hint="default" w:ascii="Times New Roman" w:hAnsi="Times New Roman" w:cs="Times New Roman"/>
          <w:b w:val="0"/>
          <w:bCs w:val="0"/>
          <w:i/>
          <w:iCs/>
          <w:lang w:val="en-GB"/>
        </w:rPr>
        <w:t>x</w:t>
      </w:r>
      <w:r>
        <w:rPr>
          <w:rFonts w:hint="default" w:ascii="Times New Roman" w:hAnsi="Times New Roman" w:cs="Times New Roman"/>
          <w:b w:val="0"/>
          <w:bCs w:val="0"/>
          <w:i w:val="0"/>
          <w:iCs w:val="0"/>
          <w:lang w:val="en-GB"/>
        </w:rPr>
        <w:t xml:space="preserve"> is true, because observation is the </w:t>
      </w:r>
      <w:r>
        <w:rPr>
          <w:rFonts w:hint="default" w:ascii="Times New Roman" w:hAnsi="Times New Roman" w:cs="Times New Roman"/>
          <w:b w:val="0"/>
          <w:bCs w:val="0"/>
          <w:i/>
          <w:iCs/>
          <w:lang w:val="en-GB"/>
        </w:rPr>
        <w:t>real</w:t>
      </w:r>
      <w:r>
        <w:rPr>
          <w:rFonts w:hint="default" w:ascii="Times New Roman" w:hAnsi="Times New Roman" w:cs="Times New Roman"/>
          <w:b w:val="0"/>
          <w:bCs w:val="0"/>
          <w:i w:val="0"/>
          <w:iCs w:val="0"/>
          <w:lang w:val="en-GB"/>
        </w:rPr>
        <w:t xml:space="preserve"> source of knowledge. It’s clear in this section that Popper is attempting to defend the more “creative” theories of the world against the Baconian image of science. While his characterisation of the “Baconian myth” is accurate, it is not myth, and his defence is unnecessary. What he doesn’t consider is that we may contend that such things as creative leaps do not meet his Baconian criteria, namely “rooted in observation” and “using observation to inform theory”, without denigrating these things like creative leaps: other styles of reasoning, other projects in the pursuit of truth. It has unfortunately become that a theory need be given the descriptor “scientific” to afford it its merit. Popper does not go explicitly so far as saying non-scientific statements and projects can have no merit, but does imply that “scientific” is what theories need be if they are to achieve the very highest ascertainment of truth, and as such falls in line with the stronger conviction. However, if we </w:t>
      </w:r>
      <w:r>
        <w:rPr>
          <w:rFonts w:hint="default" w:ascii="Times New Roman" w:hAnsi="Times New Roman" w:cs="Times New Roman"/>
          <w:b w:val="0"/>
          <w:bCs w:val="0"/>
          <w:i/>
          <w:iCs/>
          <w:lang w:val="en-GB"/>
        </w:rPr>
        <w:t>must</w:t>
      </w:r>
      <w:r>
        <w:rPr>
          <w:rFonts w:hint="default" w:ascii="Times New Roman" w:hAnsi="Times New Roman" w:cs="Times New Roman"/>
          <w:b w:val="0"/>
          <w:bCs w:val="0"/>
          <w:i w:val="0"/>
          <w:iCs w:val="0"/>
          <w:lang w:val="en-GB"/>
        </w:rPr>
        <w:t xml:space="preserve"> accept the scientific as the highest attribute, we should recognise how deftly Popper redrafts the meaning of the practice of science so as to align it with the presocratics and defend their numerous insights into truth accordingly.</w:t>
      </w:r>
    </w:p>
    <w:p>
      <w:pPr>
        <w:rPr>
          <w:rFonts w:hint="default" w:ascii="Times New Roman" w:hAnsi="Times New Roman" w:cs="Times New Roman"/>
          <w:b w:val="0"/>
          <w:bCs w:val="0"/>
          <w:i w:val="0"/>
          <w:iCs w:val="0"/>
          <w:lang w:val="en-GB"/>
        </w:rPr>
      </w:pPr>
    </w:p>
    <w:p>
      <w:pPr>
        <w:rPr>
          <w:rFonts w:hint="default" w:ascii="Times New Roman" w:hAnsi="Times New Roman" w:cs="Times New Roman"/>
          <w:b w:val="0"/>
          <w:bCs w:val="0"/>
          <w:i w:val="0"/>
          <w:iCs w:val="0"/>
          <w:lang w:val="en-GB"/>
        </w:rPr>
      </w:pPr>
      <w:r>
        <w:rPr>
          <w:rFonts w:hint="default" w:ascii="Times New Roman" w:hAnsi="Times New Roman" w:cs="Times New Roman"/>
          <w:b w:val="0"/>
          <w:bCs w:val="0"/>
          <w:i w:val="0"/>
          <w:iCs w:val="0"/>
          <w:lang w:val="en-GB"/>
        </w:rPr>
        <w:t xml:space="preserve">Popper starts at the beginning. He notes Thales’ world is suspended in water, and how remarkably reminiscent of the observational truth of continental drift this is. Thales did not know of the plates of the earth and their movement, and did not have the equipment to observe them, but somehow he spoke something of a truth about the nature of our world. Popper remarks on Thales’ use of analogy, which he suggests is an empirical project. In analogy, we use something worldly, familiar to us, and usually “smaller” in some sense than the idea we are using it to represent in order to simplify more complex ideas for our own comprehension. And so in some sense we “empiricise” the idea. But so too do we use creativity, even sometimes imbuing our analogy with poetic beauty to bring home the meaningfulness of the idea. So it is not (always) purely an empirical endeavour. But let’s take Popper’s point here: Thales used analogy. Anaximander did not, and applied </w:t>
      </w:r>
      <w:r>
        <w:rPr>
          <w:rFonts w:hint="default" w:ascii="Times New Roman" w:hAnsi="Times New Roman" w:cs="Times New Roman"/>
          <w:b w:val="0"/>
          <w:bCs w:val="0"/>
          <w:i/>
          <w:iCs/>
          <w:lang w:val="en-GB"/>
        </w:rPr>
        <w:t>logical reasoning</w:t>
      </w:r>
      <w:r>
        <w:rPr>
          <w:rFonts w:hint="default" w:ascii="Times New Roman" w:hAnsi="Times New Roman" w:cs="Times New Roman"/>
          <w:b w:val="0"/>
          <w:bCs w:val="0"/>
          <w:i w:val="0"/>
          <w:iCs w:val="0"/>
          <w:lang w:val="en-GB"/>
        </w:rPr>
        <w:t xml:space="preserve"> to conclude that our world is suspended in nothing, for which there is no possible analogy in observation. In other words, to envision the suspended earth, he had to make the non-observational leap. Popper notes that he probably used this poetic reasoning to respond to Thales’ more immature analogical story of the world suspended in water. Unfortunately for the stricter science position (that which claims science must be rooted in observation and proceed from observation), observational experience actually hindered Anaximander in the area of reasoning for a globe earth, rather than the drum-shape he imagined. From looking literally at the world around him, the earth seemed flat--at least on this part of it! It was foresight indeed to think that there may be another “part” of it--one below, and even “sides” to the word. You would be hard pressed to find an analogy for a globe suspended in antimatter </w:t>
      </w:r>
      <w:r>
        <w:rPr>
          <w:rFonts w:hint="default" w:ascii="Times New Roman" w:hAnsi="Times New Roman" w:cs="Times New Roman"/>
          <w:b w:val="0"/>
          <w:bCs w:val="0"/>
          <w:i/>
          <w:iCs/>
          <w:lang w:val="en-GB"/>
        </w:rPr>
        <w:t xml:space="preserve">in </w:t>
      </w:r>
      <w:r>
        <w:rPr>
          <w:rFonts w:hint="default" w:ascii="Times New Roman" w:hAnsi="Times New Roman" w:cs="Times New Roman"/>
          <w:b w:val="0"/>
          <w:bCs w:val="0"/>
          <w:i w:val="0"/>
          <w:iCs w:val="0"/>
          <w:lang w:val="en-GB"/>
        </w:rPr>
        <w:t xml:space="preserve"> the world to successfully imagine outwards to the world itself. Perhaps a bubble, but these are hardly as sturdy bodies as the world. So, for Baconians, this is why Anaximander is not a scientist. Popper points out that very few arguments would appease the strict “observation only” definition of science. What’s important, rather, is a theory’s </w:t>
      </w:r>
      <w:r>
        <w:rPr>
          <w:rFonts w:hint="default" w:ascii="Times New Roman" w:hAnsi="Times New Roman" w:cs="Times New Roman"/>
          <w:b w:val="0"/>
          <w:bCs w:val="0"/>
          <w:i/>
          <w:iCs/>
          <w:lang w:val="en-GB"/>
        </w:rPr>
        <w:t xml:space="preserve">explanatory power </w:t>
      </w:r>
      <w:r>
        <w:rPr>
          <w:rFonts w:hint="default" w:ascii="Times New Roman" w:hAnsi="Times New Roman" w:cs="Times New Roman"/>
          <w:b w:val="0"/>
          <w:bCs w:val="0"/>
          <w:i w:val="0"/>
          <w:iCs w:val="0"/>
          <w:lang w:val="en-GB"/>
        </w:rPr>
        <w:t xml:space="preserve">and its </w:t>
      </w:r>
      <w:r>
        <w:rPr>
          <w:rFonts w:hint="default" w:ascii="Times New Roman" w:hAnsi="Times New Roman" w:cs="Times New Roman"/>
          <w:b w:val="0"/>
          <w:bCs w:val="0"/>
          <w:i/>
          <w:iCs/>
          <w:lang w:val="en-GB"/>
        </w:rPr>
        <w:t>holding against criticism</w:t>
      </w:r>
      <w:r>
        <w:rPr>
          <w:rFonts w:hint="default" w:ascii="Times New Roman" w:hAnsi="Times New Roman" w:cs="Times New Roman"/>
          <w:b w:val="0"/>
          <w:bCs w:val="0"/>
          <w:i w:val="0"/>
          <w:iCs w:val="0"/>
          <w:lang w:val="en-GB"/>
        </w:rPr>
        <w:t xml:space="preserve">. I would have like Popper to explicitly mention that this criticism may be purely non-observational. So perhaps rather than extending the boundaries of science to include everything we appreciate, we might recognise those boundaries. Anaximander was, as Popper describes, scientific in character. But he was a creative philosopher too. </w:t>
      </w:r>
    </w:p>
    <w:p>
      <w:pPr>
        <w:rPr>
          <w:rFonts w:hint="default" w:ascii="Times New Roman" w:hAnsi="Times New Roman" w:cs="Times New Roman"/>
          <w:b w:val="0"/>
          <w:bCs w:val="0"/>
          <w:i w:val="0"/>
          <w:iCs w:val="0"/>
          <w:lang w:val="en-GB"/>
        </w:rPr>
      </w:pPr>
    </w:p>
    <w:p>
      <w:pPr>
        <w:rPr>
          <w:rFonts w:hint="default" w:ascii="Times New Roman" w:hAnsi="Times New Roman" w:cs="Times New Roman"/>
          <w:b w:val="0"/>
          <w:bCs w:val="0"/>
          <w:i w:val="0"/>
          <w:iCs w:val="0"/>
          <w:lang w:val="en-GB"/>
        </w:rPr>
      </w:pPr>
      <w:r>
        <w:rPr>
          <w:rFonts w:hint="default" w:ascii="Times New Roman" w:hAnsi="Times New Roman" w:cs="Times New Roman"/>
          <w:b w:val="0"/>
          <w:bCs w:val="0"/>
          <w:i w:val="0"/>
          <w:iCs w:val="0"/>
          <w:lang w:val="en-GB"/>
        </w:rPr>
        <w:t>Changes are prolific in Anaximander’s world, and indeed became fundamental to much of the presocratic picture of things. Anaximenes placed Air as the main “agent” of motion and change. For Popper, he “common-sensed” Anaximander’s theories. Something is lost of Anaximander, though, in Anaximenes--in his over-reliance on “real” observational metaphor, Anaximenes became less bold and in many ways further from the truth than his predecessor. As Popper recognises, he was “the least philosophically-minded” of the presocratics.</w:t>
      </w:r>
    </w:p>
    <w:p>
      <w:pPr>
        <w:rPr>
          <w:rFonts w:hint="default" w:ascii="Times New Roman" w:hAnsi="Times New Roman" w:cs="Times New Roman"/>
          <w:b w:val="0"/>
          <w:bCs w:val="0"/>
          <w:i w:val="0"/>
          <w:iCs w:val="0"/>
          <w:lang w:val="en-GB"/>
        </w:rPr>
      </w:pPr>
    </w:p>
    <w:p>
      <w:pPr>
        <w:rPr>
          <w:rFonts w:hint="default" w:ascii="Times New Roman" w:hAnsi="Times New Roman" w:cs="Times New Roman"/>
          <w:b w:val="0"/>
          <w:bCs w:val="0"/>
          <w:i w:val="0"/>
          <w:iCs w:val="0"/>
          <w:lang w:val="en-GB"/>
        </w:rPr>
      </w:pPr>
      <w:r>
        <w:rPr>
          <w:rFonts w:hint="default" w:ascii="Times New Roman" w:hAnsi="Times New Roman" w:cs="Times New Roman"/>
          <w:b w:val="0"/>
          <w:bCs w:val="0"/>
          <w:i w:val="0"/>
          <w:iCs w:val="0"/>
          <w:lang w:val="en-GB"/>
        </w:rPr>
        <w:t>Heraclitus strode ahead of Anaximander: Everything is in flux and nothing is at rest. There are “no solid bodies” at all. Fire is the foundation of our world, is how Popper describes Heraclitus’ picture. But I think he take Heraclitus too literally. Heraclitus was attracted to fire as first principle because of its state of constant change, and its unifying ability:</w:t>
      </w:r>
      <w:r>
        <w:rPr>
          <w:rFonts w:hint="default" w:ascii="Times New Roman" w:hAnsi="Times New Roman" w:cs="Times New Roman"/>
          <w:b w:val="0"/>
          <w:bCs w:val="0"/>
          <w:i/>
          <w:iCs/>
          <w:lang w:val="en-GB"/>
        </w:rPr>
        <w:t>“</w:t>
      </w:r>
      <w:r>
        <w:rPr>
          <w:rFonts w:hint="default" w:ascii="Times New Roman" w:hAnsi="Times New Roman" w:cs="Times New Roman"/>
          <w:b w:val="0"/>
          <w:bCs w:val="0"/>
          <w:i w:val="0"/>
          <w:iCs w:val="0"/>
          <w:lang w:val="en-GB"/>
        </w:rPr>
        <w:t xml:space="preserve">It is wise to admit that all things are one”. Popper notes that Heraclitus saw the problem of change more acutely than those before him. Profoundly, he noticed that change presupposes the </w:t>
      </w:r>
      <w:r>
        <w:rPr>
          <w:rFonts w:hint="default" w:ascii="Times New Roman" w:hAnsi="Times New Roman" w:cs="Times New Roman"/>
          <w:b w:val="0"/>
          <w:bCs w:val="0"/>
          <w:i/>
          <w:iCs/>
          <w:lang w:val="en-GB"/>
        </w:rPr>
        <w:t>thing</w:t>
      </w:r>
      <w:r>
        <w:rPr>
          <w:rFonts w:hint="default" w:ascii="Times New Roman" w:hAnsi="Times New Roman" w:cs="Times New Roman"/>
          <w:b w:val="0"/>
          <w:bCs w:val="0"/>
          <w:i w:val="0"/>
          <w:iCs w:val="0"/>
          <w:lang w:val="en-GB"/>
        </w:rPr>
        <w:t xml:space="preserve"> doing the changing. This realisation led Heraclitus to distinguish between reality and appearance, and here I see him as setting the stage for Plato</w:t>
      </w:r>
      <w:r>
        <w:rPr>
          <w:rFonts w:hint="default" w:ascii="Times New Roman" w:hAnsi="Times New Roman" w:cs="Times New Roman"/>
          <w:b w:val="0"/>
          <w:bCs w:val="0"/>
          <w:i/>
          <w:iCs/>
          <w:lang w:val="en-GB"/>
        </w:rPr>
        <w:t xml:space="preserve">. </w:t>
      </w:r>
      <w:r>
        <w:rPr>
          <w:rFonts w:hint="default" w:ascii="Times New Roman" w:hAnsi="Times New Roman" w:cs="Times New Roman"/>
          <w:b w:val="0"/>
          <w:bCs w:val="0"/>
          <w:i w:val="0"/>
          <w:iCs w:val="0"/>
          <w:lang w:val="en-GB"/>
        </w:rPr>
        <w:t xml:space="preserve">Things (such as hot and cold) appear to us to be opposites but in reality (and to God) are </w:t>
      </w:r>
      <w:r>
        <w:rPr>
          <w:rFonts w:hint="default" w:ascii="Times New Roman" w:hAnsi="Times New Roman" w:cs="Times New Roman"/>
          <w:b w:val="0"/>
          <w:bCs w:val="0"/>
          <w:i/>
          <w:iCs/>
          <w:lang w:val="en-GB"/>
        </w:rPr>
        <w:t>identical</w:t>
      </w:r>
      <w:r>
        <w:rPr>
          <w:rFonts w:hint="default" w:ascii="Times New Roman" w:hAnsi="Times New Roman" w:cs="Times New Roman"/>
          <w:b w:val="0"/>
          <w:bCs w:val="0"/>
          <w:i w:val="0"/>
          <w:iCs w:val="0"/>
          <w:lang w:val="en-GB"/>
        </w:rPr>
        <w:t xml:space="preserve">. Heraclitus’ example of this was a hill: we may go up it or down it, and perceive it as uphill or downhill, but it is the same hill regardless. This was very beautiful reasoning, but still roughly based in flawed characterisation of the nature of opposites. It seems appropriate to differentiate between opposites of the kind uphill-downhill, which are describing the same physical object, and the kind day-night, which mark patterns in the passage of time. But Heraclitus uses his hill example to pull on something weighty, something clearly meaningful. In his use of creativity to conclude that different things are of the same ilk, Heraclitus cemented himself as the greatest of the presocratics.  </w:t>
      </w:r>
    </w:p>
    <w:p>
      <w:pPr>
        <w:rPr>
          <w:rFonts w:hint="default" w:ascii="Times New Roman" w:hAnsi="Times New Roman" w:cs="Times New Roman"/>
          <w:b w:val="0"/>
          <w:bCs w:val="0"/>
          <w:i w:val="0"/>
          <w:iCs w:val="0"/>
          <w:lang w:val="en-GB"/>
        </w:rPr>
      </w:pPr>
    </w:p>
    <w:p>
      <w:pPr>
        <w:rPr>
          <w:rFonts w:hint="default" w:ascii="Times New Roman" w:hAnsi="Times New Roman" w:cs="Times New Roman"/>
          <w:b w:val="0"/>
          <w:bCs w:val="0"/>
          <w:i w:val="0"/>
          <w:iCs w:val="0"/>
          <w:lang w:val="en-GB"/>
        </w:rPr>
      </w:pPr>
      <w:r>
        <w:rPr>
          <w:rFonts w:hint="default" w:ascii="Times New Roman" w:hAnsi="Times New Roman" w:cs="Times New Roman"/>
          <w:b w:val="0"/>
          <w:bCs w:val="0"/>
          <w:i w:val="0"/>
          <w:iCs w:val="0"/>
          <w:lang w:val="en-GB"/>
        </w:rPr>
        <w:t xml:space="preserve">The antithesis to Heraclitus, Parmenides taught that the world was “one” in the sense that it was </w:t>
      </w:r>
      <w:r>
        <w:rPr>
          <w:rFonts w:hint="default" w:ascii="Times New Roman" w:hAnsi="Times New Roman" w:cs="Times New Roman"/>
          <w:b w:val="0"/>
          <w:bCs w:val="0"/>
          <w:i/>
          <w:iCs/>
          <w:lang w:val="en-GB"/>
        </w:rPr>
        <w:t>never</w:t>
      </w:r>
      <w:r>
        <w:rPr>
          <w:rFonts w:hint="default" w:ascii="Times New Roman" w:hAnsi="Times New Roman" w:cs="Times New Roman"/>
          <w:b w:val="0"/>
          <w:bCs w:val="0"/>
          <w:i w:val="0"/>
          <w:iCs w:val="0"/>
          <w:lang w:val="en-GB"/>
        </w:rPr>
        <w:t xml:space="preserve"> moving--why, he asked, should it be in different places? Popper notices that his argument looks a lot like a logical proof: </w:t>
      </w:r>
    </w:p>
    <w:p>
      <w:pPr>
        <w:rPr>
          <w:rFonts w:hint="default" w:ascii="Times New Roman" w:hAnsi="Times New Roman" w:cs="Times New Roman"/>
          <w:b w:val="0"/>
          <w:bCs w:val="0"/>
          <w:i w:val="0"/>
          <w:iCs w:val="0"/>
          <w:lang w:val="en-GB"/>
        </w:rPr>
      </w:pPr>
      <w:r>
        <w:rPr>
          <w:rFonts w:hint="default" w:ascii="Times New Roman" w:hAnsi="Times New Roman" w:cs="Times New Roman"/>
          <w:b w:val="0"/>
          <w:bCs w:val="0"/>
          <w:i w:val="0"/>
          <w:iCs w:val="0"/>
          <w:lang w:val="en-GB"/>
        </w:rPr>
        <w:t xml:space="preserve">“What is not is not”, </w:t>
      </w:r>
    </w:p>
    <w:p>
      <w:pPr>
        <w:rPr>
          <w:rFonts w:hint="default" w:ascii="Times New Roman" w:hAnsi="Times New Roman" w:cs="Times New Roman"/>
          <w:b w:val="0"/>
          <w:bCs w:val="0"/>
          <w:i w:val="0"/>
          <w:iCs w:val="0"/>
          <w:lang w:val="en-GB"/>
        </w:rPr>
      </w:pPr>
      <w:r>
        <w:rPr>
          <w:rFonts w:hint="default" w:ascii="Times New Roman" w:hAnsi="Times New Roman" w:cs="Times New Roman"/>
          <w:b w:val="0"/>
          <w:bCs w:val="0"/>
          <w:i w:val="0"/>
          <w:iCs w:val="0"/>
          <w:lang w:val="en-GB"/>
        </w:rPr>
        <w:t xml:space="preserve">so clearly nothing (the no-thing) does not exist. </w:t>
      </w:r>
    </w:p>
    <w:p>
      <w:pPr>
        <w:rPr>
          <w:rFonts w:hint="default" w:ascii="Times New Roman" w:hAnsi="Times New Roman" w:cs="Times New Roman"/>
          <w:b w:val="0"/>
          <w:bCs w:val="0"/>
          <w:i w:val="0"/>
          <w:iCs w:val="0"/>
          <w:lang w:val="en-GB"/>
        </w:rPr>
      </w:pPr>
      <w:r>
        <w:rPr>
          <w:rFonts w:hint="default" w:ascii="Times New Roman" w:hAnsi="Times New Roman" w:cs="Times New Roman"/>
          <w:b w:val="0"/>
          <w:bCs w:val="0"/>
          <w:i w:val="0"/>
          <w:iCs w:val="0"/>
          <w:lang w:val="en-GB"/>
        </w:rPr>
        <w:t xml:space="preserve">In other words, the </w:t>
      </w:r>
      <w:r>
        <w:rPr>
          <w:rFonts w:hint="default" w:ascii="Times New Roman" w:hAnsi="Times New Roman" w:cs="Times New Roman"/>
          <w:b w:val="0"/>
          <w:bCs w:val="0"/>
          <w:i/>
          <w:iCs/>
          <w:lang w:val="en-GB"/>
        </w:rPr>
        <w:t xml:space="preserve">void </w:t>
      </w:r>
      <w:r>
        <w:rPr>
          <w:rFonts w:hint="default" w:ascii="Times New Roman" w:hAnsi="Times New Roman" w:cs="Times New Roman"/>
          <w:b w:val="0"/>
          <w:bCs w:val="0"/>
          <w:i w:val="0"/>
          <w:iCs w:val="0"/>
          <w:lang w:val="en-GB"/>
        </w:rPr>
        <w:t xml:space="preserve">does not exist. </w:t>
      </w:r>
    </w:p>
    <w:p>
      <w:pPr>
        <w:rPr>
          <w:rFonts w:hint="default" w:ascii="Times New Roman" w:hAnsi="Times New Roman" w:cs="Times New Roman"/>
          <w:b w:val="0"/>
          <w:bCs w:val="0"/>
          <w:i w:val="0"/>
          <w:iCs w:val="0"/>
          <w:lang w:val="en-GB"/>
        </w:rPr>
      </w:pPr>
      <w:r>
        <w:rPr>
          <w:rFonts w:hint="default" w:ascii="Times New Roman" w:hAnsi="Times New Roman" w:cs="Times New Roman"/>
          <w:b w:val="0"/>
          <w:bCs w:val="0"/>
          <w:i w:val="0"/>
          <w:iCs w:val="0"/>
          <w:lang w:val="en-GB"/>
        </w:rPr>
        <w:t xml:space="preserve">Therefore, the world is full! </w:t>
      </w: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lang w:val="en-GB"/>
        </w:rPr>
        <w:t xml:space="preserve">This is Parmenides’ “well-rounded truth”. Of course, Parmenides misses a lot to reach his conclusion. It is certainly tempting to nod along and agree that nothing “does not exist”, but even conceptually we can challenge this--the </w:t>
      </w:r>
      <w:r>
        <w:rPr>
          <w:rFonts w:hint="default" w:ascii="Times New Roman" w:hAnsi="Times New Roman" w:cs="Times New Roman"/>
          <w:b w:val="0"/>
          <w:bCs w:val="0"/>
          <w:i/>
          <w:iCs/>
          <w:lang w:val="en-GB"/>
        </w:rPr>
        <w:t>idea</w:t>
      </w:r>
      <w:r>
        <w:rPr>
          <w:rFonts w:hint="default" w:ascii="Times New Roman" w:hAnsi="Times New Roman" w:cs="Times New Roman"/>
          <w:b w:val="0"/>
          <w:bCs w:val="0"/>
          <w:i w:val="0"/>
          <w:iCs w:val="0"/>
          <w:lang w:val="en-GB"/>
        </w:rPr>
        <w:t xml:space="preserve"> of nothing certainly exists. </w:t>
      </w:r>
      <w:r>
        <w:rPr>
          <w:rFonts w:hint="default" w:ascii="Times New Roman" w:hAnsi="Times New Roman" w:cs="Times New Roman"/>
          <w:b w:val="0"/>
          <w:bCs w:val="0"/>
          <w:i w:val="0"/>
          <w:iCs w:val="0"/>
          <w:u w:val="none"/>
          <w:lang w:val="en-GB"/>
        </w:rPr>
        <w:t>We can depict it and communicate about it, albeit often with many linguistic or logical flaws, and so there is either experiential or rational precedent for it existing. There are many ways to refute Parmenides. For the atomists, the void exists, and atoms can move freely within it. “All change… has to be explained by the spatial movement of unchanging bits of matter.” It is more appetising to accept “nothing” as existing when the name of that nothing is changed to “void”, more imaginatively acceptable.</w:t>
      </w:r>
    </w:p>
    <w:p>
      <w:pPr>
        <w:rPr>
          <w:rFonts w:hint="default" w:ascii="Times New Roman" w:hAnsi="Times New Roman" w:cs="Times New Roman"/>
          <w:b w:val="0"/>
          <w:bCs w:val="0"/>
          <w:i w:val="0"/>
          <w:iCs w:val="0"/>
          <w:u w:val="none"/>
          <w:lang w:val="en-GB"/>
        </w:rPr>
      </w:pP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And so Popper draws to a close. He finds that his story “clashes” with others: “I have examined their arguments and… have found them unconvincing.” He does not achieve his initial goal of properly examining the “experts’” pictures of the presocratics. Rather, he weaves a narrative of the passing of the torch from Thales all the way to Parmenides, and in influence a great distance further. He is right to thank critical discussion for the unmatched originality of the presocratics. Schools of thought, by contrast, he tells us, have encouraged condemnation rather than critical argument.</w:t>
      </w:r>
    </w:p>
    <w:p>
      <w:pPr>
        <w:rPr>
          <w:rFonts w:hint="default" w:ascii="Times New Roman" w:hAnsi="Times New Roman" w:cs="Times New Roman"/>
          <w:b w:val="0"/>
          <w:bCs w:val="0"/>
          <w:i w:val="0"/>
          <w:iCs w:val="0"/>
          <w:u w:val="none"/>
          <w:lang w:val="en-GB"/>
        </w:rPr>
      </w:pPr>
    </w:p>
    <w:p>
      <w:pPr>
        <w:numPr>
          <w:ilvl w:val="0"/>
          <w:numId w:val="11"/>
        </w:numPr>
        <w:ind w:left="0" w:leftChars="0" w:firstLine="0" w:firstLineChars="0"/>
        <w:rPr>
          <w:rFonts w:hint="default" w:ascii="Times New Roman" w:hAnsi="Times New Roman" w:cs="Times New Roman"/>
          <w:b w:val="0"/>
          <w:bCs w:val="0"/>
          <w:i w:val="0"/>
          <w:iCs w:val="0"/>
          <w:u w:val="none"/>
          <w:lang w:val="en-GB"/>
        </w:rPr>
      </w:pPr>
      <w:r>
        <w:rPr>
          <w:rFonts w:hint="default" w:ascii="Times New Roman" w:hAnsi="Times New Roman" w:cs="Times New Roman"/>
          <w:b/>
          <w:bCs/>
          <w:i w:val="0"/>
          <w:iCs w:val="0"/>
          <w:u w:val="none"/>
          <w:lang w:val="en-GB"/>
        </w:rPr>
        <w:t xml:space="preserve">Malcolm Schofield, “The Ionians”, </w:t>
      </w:r>
      <w:r>
        <w:rPr>
          <w:rFonts w:hint="default" w:ascii="Times New Roman" w:hAnsi="Times New Roman" w:cs="Times New Roman"/>
          <w:b/>
          <w:bCs/>
          <w:i/>
          <w:iCs/>
          <w:u w:val="none"/>
          <w:lang w:val="en-GB"/>
        </w:rPr>
        <w:t>Routledge History of Philosophy Volume 1: From the Beginning to Plato</w:t>
      </w:r>
      <w:r>
        <w:rPr>
          <w:rFonts w:hint="default" w:ascii="Times New Roman" w:hAnsi="Times New Roman" w:cs="Times New Roman"/>
          <w:b/>
          <w:bCs/>
          <w:i w:val="0"/>
          <w:iCs w:val="0"/>
          <w:u w:val="none"/>
          <w:lang w:val="en-GB"/>
        </w:rPr>
        <w:t>, Routledge, ed. Taylor, 2005</w:t>
      </w:r>
    </w:p>
    <w:p>
      <w:pPr>
        <w:rPr>
          <w:rFonts w:hint="default" w:ascii="Times New Roman" w:hAnsi="Times New Roman" w:cs="Times New Roman"/>
          <w:b w:val="0"/>
          <w:bCs w:val="0"/>
          <w:i w:val="0"/>
          <w:iCs w:val="0"/>
          <w:u w:val="none"/>
          <w:lang w:val="en-GB"/>
        </w:rPr>
      </w:pP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 xml:space="preserve">Schofield too begins with Thales. He testifies to Thales’ great “skill and learning”, which permitted his unlikely accurate prediction of a solar eclipse. Is not this testemant to the role of creative reasoning in philosophical inquiry? It would certainly be highly impractical to rely on empirical obversation for such predictions without the proper tools to do so, particularly if we consider a consistent and existent written record to be such a tool. </w:t>
      </w:r>
    </w:p>
    <w:p>
      <w:pPr>
        <w:rPr>
          <w:rFonts w:hint="default" w:ascii="Times New Roman" w:hAnsi="Times New Roman" w:cs="Times New Roman"/>
          <w:b w:val="0"/>
          <w:bCs w:val="0"/>
          <w:i w:val="0"/>
          <w:iCs w:val="0"/>
          <w:u w:val="none"/>
          <w:lang w:val="en-GB"/>
        </w:rPr>
      </w:pP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Schofield criticises the argument attributed to Thales of magnets having soul because, in short, magnets have the power to move other things without exerting themselves. “Heady speculation,” Schofield terms this. Perhaps he is correct, but I don’t believe Thales’ attempt here worthy of absolute dismissal. Schofield is perfectly aware of the trouble change &amp; motion were giving the presocratics. We speak today of things having or not having the “spark of life”, and in the right quarters we might speak of things having or not having a soul. We speak too of everything in motion being fuelled by non-destructible energy. It was not so ridiculous of Thales to conflate the two, based on the empirical evidence, that things “able” to move other things in the way magnets do, are often considered to have that spark of life, or to have soul.</w:t>
      </w:r>
    </w:p>
    <w:p>
      <w:pPr>
        <w:rPr>
          <w:rFonts w:hint="default" w:ascii="Times New Roman" w:hAnsi="Times New Roman" w:cs="Times New Roman"/>
          <w:b w:val="0"/>
          <w:bCs w:val="0"/>
          <w:i w:val="0"/>
          <w:iCs w:val="0"/>
          <w:u w:val="none"/>
          <w:lang w:val="en-GB"/>
        </w:rPr>
      </w:pP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Considered here and not in Popper is the potential misrepresentation of Thales by Aristotle. It’s likely, Schofield argues, that Aristotle over-represented Thales’ reliance on water as foundational: Aristotle knews only of Thales’ water principle from Hippias of Elies, after all. Schofield also notes that Anaximenes has largely been “reckoned less interesting”. This was Popper’s opinion, and it remains mine also. He does unwittingly attribute to Anaximenes the power of persuasion--of truly influential words--perhaps integral to his lasting influence.</w:t>
      </w: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 xml:space="preserve">While influential on e.g. Parmenides and Zeno, he was a far less creative thinker, and applied his reasoning less boldly than many of the presocratics. Schofield doesn’t sketch any story of the swinging between what we would call now philosophy and science, that pendulum swinging between observational interpretation and rational creativity. Perhaps this is the right approach. Perhaps we see that pendulum because of the fracture which has occurred in the time between us and the presocratics. </w:t>
      </w: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 xml:space="preserve">Schofield is particularly interested in the stability of earth as it existed in the minds of the presocratics. Their perception of the buoyancy of the earth would determine what they took the shape of it to be. This was a particularly important consideration for Anaximander, and also possibly Thales, but this could always be Aristotle’s attribution. “Of course,” Schofield asserts, Anaximander “ought” to have seen that the earth is a globe. It was “fanaticism” with the </w:t>
      </w:r>
      <w:r>
        <w:rPr>
          <w:rFonts w:hint="default" w:ascii="Times New Roman" w:hAnsi="Times New Roman" w:cs="Times New Roman"/>
          <w:b w:val="0"/>
          <w:bCs w:val="0"/>
          <w:i/>
          <w:iCs/>
          <w:u w:val="none"/>
          <w:lang w:val="en-GB"/>
        </w:rPr>
        <w:t xml:space="preserve">a priori </w:t>
      </w:r>
      <w:r>
        <w:rPr>
          <w:rFonts w:hint="default" w:ascii="Times New Roman" w:hAnsi="Times New Roman" w:cs="Times New Roman"/>
          <w:b w:val="0"/>
          <w:bCs w:val="0"/>
          <w:i w:val="0"/>
          <w:iCs w:val="0"/>
          <w:u w:val="none"/>
          <w:lang w:val="en-GB"/>
        </w:rPr>
        <w:t xml:space="preserve">that was to blame for the adherence to flat earth principles. Schofield is uncharitable towards the presocratics use of </w:t>
      </w:r>
      <w:r>
        <w:rPr>
          <w:rFonts w:hint="default" w:ascii="Times New Roman" w:hAnsi="Times New Roman" w:cs="Times New Roman"/>
          <w:b w:val="0"/>
          <w:bCs w:val="0"/>
          <w:i/>
          <w:iCs/>
          <w:u w:val="none"/>
          <w:lang w:val="en-GB"/>
        </w:rPr>
        <w:t xml:space="preserve">a priori </w:t>
      </w:r>
      <w:r>
        <w:rPr>
          <w:rFonts w:hint="default" w:ascii="Times New Roman" w:hAnsi="Times New Roman" w:cs="Times New Roman"/>
          <w:b w:val="0"/>
          <w:bCs w:val="0"/>
          <w:i w:val="0"/>
          <w:iCs w:val="0"/>
          <w:u w:val="none"/>
          <w:lang w:val="en-GB"/>
        </w:rPr>
        <w:t xml:space="preserve">reasoning, and doesn’t do much to support his claim that fanaticism with the </w:t>
      </w:r>
      <w:r>
        <w:rPr>
          <w:rFonts w:hint="default" w:ascii="Times New Roman" w:hAnsi="Times New Roman" w:cs="Times New Roman"/>
          <w:b w:val="0"/>
          <w:bCs w:val="0"/>
          <w:i/>
          <w:iCs/>
          <w:u w:val="none"/>
          <w:lang w:val="en-GB"/>
        </w:rPr>
        <w:t>a priori</w:t>
      </w:r>
      <w:r>
        <w:rPr>
          <w:rFonts w:hint="default" w:ascii="Times New Roman" w:hAnsi="Times New Roman" w:cs="Times New Roman"/>
          <w:b w:val="0"/>
          <w:bCs w:val="0"/>
          <w:i w:val="0"/>
          <w:iCs w:val="0"/>
          <w:u w:val="none"/>
          <w:lang w:val="en-GB"/>
        </w:rPr>
        <w:t xml:space="preserve"> is to blame for the mistake: Anaximander pictured a leaf blowing in the wind. Its flat underside is what keeps it afloat, for however long. This analogy is hardly pure </w:t>
      </w:r>
      <w:r>
        <w:rPr>
          <w:rFonts w:hint="default" w:ascii="Times New Roman" w:hAnsi="Times New Roman" w:cs="Times New Roman"/>
          <w:b w:val="0"/>
          <w:bCs w:val="0"/>
          <w:i/>
          <w:iCs/>
          <w:u w:val="none"/>
          <w:lang w:val="en-GB"/>
        </w:rPr>
        <w:t>a priori</w:t>
      </w:r>
      <w:r>
        <w:rPr>
          <w:rFonts w:hint="default" w:ascii="Times New Roman" w:hAnsi="Times New Roman" w:cs="Times New Roman"/>
          <w:b w:val="0"/>
          <w:bCs w:val="0"/>
          <w:i w:val="0"/>
          <w:iCs w:val="0"/>
          <w:u w:val="none"/>
          <w:lang w:val="en-GB"/>
        </w:rPr>
        <w:t xml:space="preserve">. The principle of things for Anaximander is </w:t>
      </w:r>
      <w:r>
        <w:rPr>
          <w:rFonts w:hint="default" w:ascii="Times New Roman" w:hAnsi="Times New Roman" w:cs="Times New Roman"/>
          <w:b w:val="0"/>
          <w:bCs w:val="0"/>
          <w:i/>
          <w:iCs/>
          <w:u w:val="none"/>
          <w:lang w:val="en-GB"/>
        </w:rPr>
        <w:t>apeiron--</w:t>
      </w:r>
      <w:r>
        <w:rPr>
          <w:rFonts w:hint="default" w:ascii="Times New Roman" w:hAnsi="Times New Roman" w:cs="Times New Roman"/>
          <w:b w:val="0"/>
          <w:bCs w:val="0"/>
          <w:i w:val="0"/>
          <w:iCs w:val="0"/>
          <w:u w:val="none"/>
          <w:lang w:val="en-GB"/>
        </w:rPr>
        <w:t xml:space="preserve">the indefinite, the boundless. Animals were formed from moisture and bark. Hot and cold were cut off at the genesis of things, wherein a sphere of fire was “created”, with the moon and stars. While Schofield notes that for Anaximander everything is interwoven, and nothing perceived is self-reliant--rather than void, this universe is full--he doesn’t recognise that it’s essentially necessary in the </w:t>
      </w:r>
      <w:r>
        <w:rPr>
          <w:rFonts w:hint="default" w:ascii="Times New Roman" w:hAnsi="Times New Roman" w:cs="Times New Roman"/>
          <w:b w:val="0"/>
          <w:bCs w:val="0"/>
          <w:i/>
          <w:iCs/>
          <w:u w:val="none"/>
          <w:lang w:val="en-GB"/>
        </w:rPr>
        <w:t>a posteriori</w:t>
      </w:r>
      <w:r>
        <w:rPr>
          <w:rFonts w:hint="default" w:ascii="Times New Roman" w:hAnsi="Times New Roman" w:cs="Times New Roman"/>
          <w:b w:val="0"/>
          <w:bCs w:val="0"/>
          <w:i w:val="0"/>
          <w:iCs w:val="0"/>
          <w:u w:val="none"/>
          <w:lang w:val="en-GB"/>
        </w:rPr>
        <w:t xml:space="preserve"> to conclude that the world be reliant on “stuff” around it also. It would be an incredible leap for the weight of the earth to be even remotely self-bouyant. And it’s a leap that we could make only in </w:t>
      </w:r>
      <w:r>
        <w:rPr>
          <w:rFonts w:hint="default" w:ascii="Times New Roman" w:hAnsi="Times New Roman" w:cs="Times New Roman"/>
          <w:b w:val="0"/>
          <w:bCs w:val="0"/>
          <w:i/>
          <w:iCs/>
          <w:u w:val="none"/>
          <w:lang w:val="en-GB"/>
        </w:rPr>
        <w:t xml:space="preserve">a priori </w:t>
      </w:r>
      <w:r>
        <w:rPr>
          <w:rFonts w:hint="default" w:ascii="Times New Roman" w:hAnsi="Times New Roman" w:cs="Times New Roman"/>
          <w:b w:val="0"/>
          <w:bCs w:val="0"/>
          <w:i w:val="0"/>
          <w:iCs w:val="0"/>
          <w:u w:val="none"/>
          <w:lang w:val="en-GB"/>
        </w:rPr>
        <w:t>reasoning.</w:t>
      </w:r>
    </w:p>
    <w:p>
      <w:pPr>
        <w:rPr>
          <w:rFonts w:hint="default" w:ascii="Times New Roman" w:hAnsi="Times New Roman" w:cs="Times New Roman"/>
          <w:b w:val="0"/>
          <w:bCs w:val="0"/>
          <w:i w:val="0"/>
          <w:iCs w:val="0"/>
          <w:u w:val="none"/>
          <w:lang w:val="en-GB"/>
        </w:rPr>
      </w:pP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So, in Anaximander’s full universe, when one thing shifts, another takes over and uses that space--essentially, a crowded displacement. There is a clear order to Anaximander’s world, but how the cosmic order exercises its “directive role” Anaximander doesn’t strive to explain. This is perfectly reasonable. Anaximander was concerned primarily with the structure of the universe, not how any external or underlying influence may “power” this.</w:t>
      </w:r>
    </w:p>
    <w:p>
      <w:pPr>
        <w:rPr>
          <w:rFonts w:hint="default" w:ascii="Times New Roman" w:hAnsi="Times New Roman" w:cs="Times New Roman"/>
          <w:b w:val="0"/>
          <w:bCs w:val="0"/>
          <w:i w:val="0"/>
          <w:iCs w:val="0"/>
          <w:lang w:val="en-GB"/>
        </w:rPr>
      </w:pPr>
    </w:p>
    <w:p>
      <w:pPr>
        <w:rPr>
          <w:rFonts w:hint="default" w:ascii="Times New Roman" w:hAnsi="Times New Roman" w:cs="Times New Roman"/>
          <w:b w:val="0"/>
          <w:bCs w:val="0"/>
          <w:i w:val="0"/>
          <w:iCs w:val="0"/>
          <w:lang w:val="en-GB"/>
        </w:rPr>
      </w:pPr>
      <w:r>
        <w:rPr>
          <w:rFonts w:hint="default" w:ascii="Times New Roman" w:hAnsi="Times New Roman" w:cs="Times New Roman"/>
          <w:b w:val="0"/>
          <w:bCs w:val="0"/>
          <w:i w:val="0"/>
          <w:iCs w:val="0"/>
          <w:lang w:val="en-GB"/>
        </w:rPr>
        <w:t xml:space="preserve">Clear as crystal in Schofield’s depiction of events is the unscrupulousness of the following writers when handling Anaximander, particularly Aristotle. And Theophrastus has to tug hopelessly on Anaximander’s string of “opposites being related to one another” in an attempt to tie him in with the atomists who defended the infinite worlds/destruction theory. It’s clear by this point too that Popper over-exaggerates Anaximander’s oneness. Schofield tells us that Anaximander’s interest in fire and water gives “no basis” for the cosmic destruction thesis to which he has been tied on occasion. Anaximenes reduced the infinte to the determinate: He moves from nothing to Air. This may clear up the “how” problem of directivity: It reduces the universe back down to comprehensible levels, and directivity is easier to explain when “nothing” is taken out of the picture. However, it creates a further issue: If everything is air in various states of thickening, </w:t>
      </w:r>
      <w:r>
        <w:rPr>
          <w:rFonts w:hint="default" w:ascii="Times New Roman" w:hAnsi="Times New Roman" w:cs="Times New Roman"/>
          <w:b w:val="0"/>
          <w:bCs w:val="0"/>
          <w:i/>
          <w:iCs/>
          <w:lang w:val="en-GB"/>
        </w:rPr>
        <w:t>what</w:t>
      </w:r>
      <w:r>
        <w:rPr>
          <w:rFonts w:hint="default" w:ascii="Times New Roman" w:hAnsi="Times New Roman" w:cs="Times New Roman"/>
          <w:b w:val="0"/>
          <w:bCs w:val="0"/>
          <w:i w:val="0"/>
          <w:iCs w:val="0"/>
          <w:lang w:val="en-GB"/>
        </w:rPr>
        <w:t xml:space="preserve"> thickens air? This was likely why Anaximander was not convinced by Thales’ water theory to begin with, because at some point the chain of physical “stuff” has to break. “Nothing” has to step in and become the envelope for the physical. And so begins the descent into the faulty empirical. Schofield points out that a physical first principle would have seemed the best or only way to explain transformation--all things are made up of the same matter in a normal state of change, as culturally understood by the presocratics. But this doesn’t hold much consequence if he offers no explanation for it thickening and presumably unthickening. Where we reduce all to the empirical, the </w:t>
      </w:r>
      <w:r>
        <w:rPr>
          <w:rFonts w:hint="default" w:ascii="Times New Roman" w:hAnsi="Times New Roman" w:cs="Times New Roman"/>
          <w:b w:val="0"/>
          <w:bCs w:val="0"/>
          <w:i/>
          <w:iCs/>
          <w:lang w:val="en-GB"/>
        </w:rPr>
        <w:t>why</w:t>
      </w:r>
      <w:r>
        <w:rPr>
          <w:rFonts w:hint="default" w:ascii="Times New Roman" w:hAnsi="Times New Roman" w:cs="Times New Roman"/>
          <w:b w:val="0"/>
          <w:bCs w:val="0"/>
          <w:i w:val="0"/>
          <w:iCs w:val="0"/>
          <w:lang w:val="en-GB"/>
        </w:rPr>
        <w:t xml:space="preserve"> is largely left unanswered. </w:t>
      </w:r>
    </w:p>
    <w:p>
      <w:pPr>
        <w:rPr>
          <w:rFonts w:hint="default" w:ascii="Times New Roman" w:hAnsi="Times New Roman" w:cs="Times New Roman"/>
          <w:b w:val="0"/>
          <w:bCs w:val="0"/>
          <w:i w:val="0"/>
          <w:iCs w:val="0"/>
          <w:lang w:val="en-GB"/>
        </w:rPr>
      </w:pPr>
    </w:p>
    <w:p>
      <w:pPr>
        <w:rPr>
          <w:rFonts w:hint="default" w:ascii="Times New Roman" w:hAnsi="Times New Roman" w:cs="Times New Roman"/>
          <w:b w:val="0"/>
          <w:bCs w:val="0"/>
          <w:i w:val="0"/>
          <w:iCs w:val="0"/>
          <w:lang w:val="en-GB"/>
        </w:rPr>
      </w:pPr>
      <w:r>
        <w:rPr>
          <w:rFonts w:hint="default" w:ascii="Times New Roman" w:hAnsi="Times New Roman" w:cs="Times New Roman"/>
          <w:b w:val="0"/>
          <w:bCs w:val="0"/>
          <w:i w:val="0"/>
          <w:iCs w:val="0"/>
          <w:lang w:val="en-GB"/>
        </w:rPr>
        <w:t xml:space="preserve">Xenophanes spoke of one God above all gods and men. Xenophanes’ focus was on how we can think of God’s being, if we are to move away from man-Gods. He take that this God must have some “body”. Schofield interprets Xenophanes as saying: We can never know the clear and absolute truth on the very big ideas, but we can have </w:t>
      </w:r>
      <w:r>
        <w:rPr>
          <w:rFonts w:hint="default" w:ascii="Times New Roman" w:hAnsi="Times New Roman" w:cs="Times New Roman"/>
          <w:b w:val="0"/>
          <w:bCs w:val="0"/>
          <w:i/>
          <w:iCs/>
          <w:lang w:val="en-GB"/>
        </w:rPr>
        <w:t>some</w:t>
      </w:r>
      <w:r>
        <w:rPr>
          <w:rFonts w:hint="default" w:ascii="Times New Roman" w:hAnsi="Times New Roman" w:cs="Times New Roman"/>
          <w:b w:val="0"/>
          <w:bCs w:val="0"/>
          <w:i w:val="0"/>
          <w:iCs w:val="0"/>
          <w:lang w:val="en-GB"/>
        </w:rPr>
        <w:t xml:space="preserve"> truth nonetheless. Indeed, opinion seems to be the outcome for humans. It’s a state in which we don’t know fully the whole picture. Xenophanes doesn’t say </w:t>
      </w:r>
      <w:r>
        <w:rPr>
          <w:rFonts w:hint="default" w:ascii="Times New Roman" w:hAnsi="Times New Roman" w:cs="Times New Roman"/>
          <w:b w:val="0"/>
          <w:bCs w:val="0"/>
          <w:i/>
          <w:iCs/>
          <w:lang w:val="en-GB"/>
        </w:rPr>
        <w:t>why</w:t>
      </w:r>
      <w:r>
        <w:rPr>
          <w:rFonts w:hint="default" w:ascii="Times New Roman" w:hAnsi="Times New Roman" w:cs="Times New Roman"/>
          <w:b w:val="0"/>
          <w:bCs w:val="0"/>
          <w:i w:val="0"/>
          <w:iCs w:val="0"/>
          <w:lang w:val="en-GB"/>
        </w:rPr>
        <w:t xml:space="preserve"> we would ultimately fail to access the truth, and Schofield doesn’t much explore this area. Perhaps the truth could be inaccessible to human experience or perhaps we have no unfailing means of determining true from false, and if we only had such a means we would theoretically be able to </w:t>
      </w:r>
      <w:r>
        <w:rPr>
          <w:rFonts w:hint="default" w:ascii="Times New Roman" w:hAnsi="Times New Roman" w:cs="Times New Roman"/>
          <w:b w:val="0"/>
          <w:bCs w:val="0"/>
          <w:i/>
          <w:iCs/>
          <w:lang w:val="en-GB"/>
        </w:rPr>
        <w:t>know</w:t>
      </w:r>
      <w:r>
        <w:rPr>
          <w:rFonts w:hint="default" w:ascii="Times New Roman" w:hAnsi="Times New Roman" w:cs="Times New Roman"/>
          <w:b w:val="0"/>
          <w:bCs w:val="0"/>
          <w:i w:val="0"/>
          <w:iCs w:val="0"/>
          <w:lang w:val="en-GB"/>
        </w:rPr>
        <w:t xml:space="preserve"> truth for certain. </w:t>
      </w:r>
    </w:p>
    <w:p>
      <w:pPr>
        <w:rPr>
          <w:rFonts w:hint="default" w:ascii="Times New Roman" w:hAnsi="Times New Roman" w:cs="Times New Roman"/>
          <w:b w:val="0"/>
          <w:bCs w:val="0"/>
          <w:i w:val="0"/>
          <w:iCs w:val="0"/>
          <w:lang w:val="en-GB"/>
        </w:rPr>
      </w:pPr>
    </w:p>
    <w:p>
      <w:pPr>
        <w:numPr>
          <w:ilvl w:val="0"/>
          <w:numId w:val="11"/>
        </w:numPr>
        <w:ind w:left="0" w:leftChars="0" w:firstLine="0" w:firstLineChars="0"/>
        <w:rPr>
          <w:rFonts w:hint="default" w:ascii="Times New Roman" w:hAnsi="Times New Roman" w:cs="Times New Roman"/>
          <w:b/>
          <w:bCs/>
          <w:i w:val="0"/>
          <w:iCs w:val="0"/>
          <w:u w:val="none"/>
          <w:lang w:val="en-GB"/>
        </w:rPr>
      </w:pPr>
      <w:r>
        <w:rPr>
          <w:rFonts w:hint="default" w:ascii="Times New Roman" w:hAnsi="Times New Roman" w:cs="Times New Roman"/>
          <w:b/>
          <w:bCs/>
          <w:i w:val="0"/>
          <w:iCs w:val="0"/>
          <w:u w:val="none"/>
          <w:lang w:val="en-GB"/>
        </w:rPr>
        <w:t xml:space="preserve">Catherine Osborne, “Heraclitus”, </w:t>
      </w:r>
      <w:r>
        <w:rPr>
          <w:rFonts w:hint="default" w:ascii="Times New Roman" w:hAnsi="Times New Roman" w:cs="Times New Roman"/>
          <w:b/>
          <w:bCs/>
          <w:i/>
          <w:iCs/>
          <w:u w:val="none"/>
          <w:lang w:val="en-GB"/>
        </w:rPr>
        <w:t>Routledge History of Philosophy Volume 1: From the Beginning to Plato</w:t>
      </w:r>
      <w:r>
        <w:rPr>
          <w:rFonts w:hint="default" w:ascii="Times New Roman" w:hAnsi="Times New Roman" w:cs="Times New Roman"/>
          <w:b/>
          <w:bCs/>
          <w:i w:val="0"/>
          <w:iCs w:val="0"/>
          <w:u w:val="none"/>
          <w:lang w:val="en-GB"/>
        </w:rPr>
        <w:t>, Routledge, ed. Taylor, 2005</w:t>
      </w:r>
    </w:p>
    <w:p>
      <w:pPr>
        <w:rPr>
          <w:rFonts w:hint="default" w:ascii="Times New Roman" w:hAnsi="Times New Roman" w:cs="Times New Roman"/>
          <w:b w:val="0"/>
          <w:bCs w:val="0"/>
          <w:i w:val="0"/>
          <w:iCs w:val="0"/>
          <w:u w:val="none"/>
          <w:lang w:val="en-GB"/>
        </w:rPr>
      </w:pP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 xml:space="preserve">Osborne is the first in this selection to note </w:t>
      </w:r>
      <w:r>
        <w:rPr>
          <w:rFonts w:hint="default" w:ascii="Times New Roman" w:hAnsi="Times New Roman" w:cs="Times New Roman"/>
          <w:b w:val="0"/>
          <w:bCs w:val="0"/>
          <w:i/>
          <w:iCs/>
          <w:u w:val="none"/>
          <w:lang w:val="en-GB"/>
        </w:rPr>
        <w:t>our</w:t>
      </w:r>
      <w:r>
        <w:rPr>
          <w:rFonts w:hint="default" w:ascii="Times New Roman" w:hAnsi="Times New Roman" w:cs="Times New Roman"/>
          <w:b w:val="0"/>
          <w:bCs w:val="0"/>
          <w:i w:val="0"/>
          <w:iCs w:val="0"/>
          <w:u w:val="none"/>
          <w:lang w:val="en-GB"/>
        </w:rPr>
        <w:t xml:space="preserve"> contemporary perspectival bias when reading the presocratics. The cosmological presocratics are perhaps seen elsewhere as so simple and fundamental that we forget we may interpret them unfairly or incorrectly. The variety of interpretations across this bibliography attests to this. For Osborne, Heraclitus is the “most profound” of the presocratics, and I am inclined to agree. She notes the comparative lack of primary fragments and that Heraclitus was something of a radical for writing in prose. This has an obvious and profound effect on his ability to think freely, explicate ideas, and experiment with structure and form. </w:t>
      </w:r>
    </w:p>
    <w:p>
      <w:pPr>
        <w:rPr>
          <w:rFonts w:hint="default" w:ascii="Times New Roman" w:hAnsi="Times New Roman" w:cs="Times New Roman"/>
          <w:b w:val="0"/>
          <w:bCs w:val="0"/>
          <w:i w:val="0"/>
          <w:iCs w:val="0"/>
          <w:u w:val="none"/>
          <w:lang w:val="en-GB"/>
        </w:rPr>
      </w:pP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 xml:space="preserve">Heraclitus recharacterised the presocratic preoccupation with opposites: For him, what constitutes opposites is determined contextually. Climbing a hill appears as an opposite to descending a hill, but a hill is a hill. A coin may have two faces, and you can only look at one at a time, but it remains a whole. </w:t>
      </w:r>
    </w:p>
    <w:p>
      <w:pPr>
        <w:rPr>
          <w:rFonts w:hint="default" w:ascii="Times New Roman" w:hAnsi="Times New Roman" w:cs="Times New Roman"/>
          <w:b w:val="0"/>
          <w:bCs w:val="0"/>
          <w:i w:val="0"/>
          <w:iCs w:val="0"/>
          <w:u w:val="none"/>
          <w:lang w:val="en-GB"/>
        </w:rPr>
      </w:pP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Before Parmenides, the divine was completely naturalised, but it wasn’t removed from discussion about causation, principles… For Heraclitus, “what is truly divine” is beyond the “humdrum”. Heraclitus compares the blood ritual of bathing in blood to a mud bath. He is able to highlight the “divine” purpose of one over the other in his wordplay: “Purify themselves in a different way.” Indeed, all human practices derive from divine custom/</w:t>
      </w:r>
      <w:r>
        <w:rPr>
          <w:rFonts w:hint="default" w:ascii="Times New Roman" w:hAnsi="Times New Roman" w:cs="Times New Roman"/>
          <w:b w:val="0"/>
          <w:bCs w:val="0"/>
          <w:i/>
          <w:iCs/>
          <w:u w:val="none"/>
          <w:lang w:val="en-GB"/>
        </w:rPr>
        <w:t xml:space="preserve">logos </w:t>
      </w:r>
      <w:r>
        <w:rPr>
          <w:rFonts w:hint="default" w:ascii="Times New Roman" w:hAnsi="Times New Roman" w:cs="Times New Roman"/>
          <w:b w:val="0"/>
          <w:bCs w:val="0"/>
          <w:i w:val="0"/>
          <w:iCs w:val="0"/>
          <w:u w:val="none"/>
          <w:lang w:val="en-GB"/>
        </w:rPr>
        <w:t xml:space="preserve">and are something of an insight into the “truth” of things, however small. </w:t>
      </w:r>
    </w:p>
    <w:p>
      <w:pPr>
        <w:rPr>
          <w:rFonts w:hint="default" w:ascii="Times New Roman" w:hAnsi="Times New Roman" w:cs="Times New Roman"/>
          <w:b w:val="0"/>
          <w:bCs w:val="0"/>
          <w:i w:val="0"/>
          <w:iCs w:val="0"/>
          <w:u w:val="none"/>
          <w:lang w:val="en-GB"/>
        </w:rPr>
      </w:pP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 xml:space="preserve">Heraclitus is unique for humanising philosophy without empiricising everything--elsewhere, to humanise is conflated with only engaging with empirical observation. Heraclitus is not afraid to play with form, words, creative reasoning and the like in his attempts to answer remarkable questions most presocratics were not asking. </w:t>
      </w:r>
    </w:p>
    <w:p>
      <w:pPr>
        <w:rPr>
          <w:rFonts w:hint="default" w:ascii="Times New Roman" w:hAnsi="Times New Roman" w:cs="Times New Roman"/>
          <w:b w:val="0"/>
          <w:bCs w:val="0"/>
          <w:i w:val="0"/>
          <w:iCs w:val="0"/>
          <w:u w:val="none"/>
          <w:lang w:val="en-GB"/>
        </w:rPr>
      </w:pP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 xml:space="preserve">Despite his focus on context and the individual perspective, Heraclitus manages to avoid perspectivism. Again he plays with the meanings of words: “Things can differ while agreeing with themselves”. Our understandings of truths may differ, but they remain truths nonetheless. The truth, in other words, is not </w:t>
      </w:r>
      <w:r>
        <w:rPr>
          <w:rFonts w:hint="default" w:ascii="Times New Roman" w:hAnsi="Times New Roman" w:cs="Times New Roman"/>
          <w:b w:val="0"/>
          <w:bCs w:val="0"/>
          <w:i/>
          <w:iCs/>
          <w:u w:val="none"/>
          <w:lang w:val="en-GB"/>
        </w:rPr>
        <w:t xml:space="preserve">ours </w:t>
      </w:r>
      <w:r>
        <w:rPr>
          <w:rFonts w:hint="default" w:ascii="Times New Roman" w:hAnsi="Times New Roman" w:cs="Times New Roman"/>
          <w:b w:val="0"/>
          <w:bCs w:val="0"/>
          <w:i w:val="0"/>
          <w:iCs w:val="0"/>
          <w:u w:val="none"/>
          <w:lang w:val="en-GB"/>
        </w:rPr>
        <w:t xml:space="preserve">to define. Somehow, Heraclitus humanises our experience of truth without denigrating truth to something for us to decide. </w:t>
      </w:r>
    </w:p>
    <w:p>
      <w:pPr>
        <w:rPr>
          <w:rFonts w:hint="default" w:ascii="Times New Roman" w:hAnsi="Times New Roman" w:cs="Times New Roman"/>
          <w:b w:val="0"/>
          <w:bCs w:val="0"/>
          <w:i w:val="0"/>
          <w:iCs w:val="0"/>
          <w:u w:val="none"/>
          <w:lang w:val="en-GB"/>
        </w:rPr>
      </w:pP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 xml:space="preserve">Let’s look again at what Heraclitus has to say on the divine. “For all human customs are nourished by… the divine one.”  While an extraordinary remark for the presocratics, not often tempted to delve into the nature of God(s), he was not yet differentiating between claiming God IS every opposite and God is IN every opposite. He seems to settle on God “is” every opposite, the less developed of the two. However, Heraclitus’ work here is the first explicitly “rational” theology, a clear implementation of </w:t>
      </w:r>
      <w:r>
        <w:rPr>
          <w:rFonts w:hint="default" w:ascii="Times New Roman" w:hAnsi="Times New Roman" w:cs="Times New Roman"/>
          <w:b w:val="0"/>
          <w:bCs w:val="0"/>
          <w:i/>
          <w:iCs/>
          <w:u w:val="none"/>
          <w:lang w:val="en-GB"/>
        </w:rPr>
        <w:t>logos</w:t>
      </w:r>
      <w:r>
        <w:rPr>
          <w:rFonts w:hint="default" w:ascii="Times New Roman" w:hAnsi="Times New Roman" w:cs="Times New Roman"/>
          <w:b w:val="0"/>
          <w:bCs w:val="0"/>
          <w:i w:val="0"/>
          <w:iCs w:val="0"/>
          <w:u w:val="none"/>
          <w:lang w:val="en-GB"/>
        </w:rPr>
        <w:t xml:space="preserve">. </w:t>
      </w:r>
    </w:p>
    <w:p>
      <w:pPr>
        <w:rPr>
          <w:rFonts w:hint="default" w:ascii="Times New Roman" w:hAnsi="Times New Roman" w:cs="Times New Roman"/>
          <w:b w:val="0"/>
          <w:bCs w:val="0"/>
          <w:i w:val="0"/>
          <w:iCs w:val="0"/>
          <w:u w:val="none"/>
          <w:lang w:val="en-GB"/>
        </w:rPr>
      </w:pP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He also concerned himself with the problem of change which had troubled so many other presocratics, particularly in his river fragments. Most interesting of these fragments is B49a: “We step and do not step into the same rivers, we are and we are not.” This achieves a greater profundity than those who had approached the problem before him. The human soul continues its identity in the face of change.</w:t>
      </w: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 xml:space="preserve">He also comments that the “death of water is to be born air.” Osborne tells us this is the destruction thesis, but rather we should read here that for something to not be what it is, it would have had to have </w:t>
      </w:r>
      <w:r>
        <w:rPr>
          <w:rFonts w:hint="default" w:ascii="Times New Roman" w:hAnsi="Times New Roman" w:cs="Times New Roman"/>
          <w:b w:val="0"/>
          <w:bCs w:val="0"/>
          <w:i/>
          <w:iCs/>
          <w:u w:val="none"/>
          <w:lang w:val="en-GB"/>
        </w:rPr>
        <w:t xml:space="preserve">begun </w:t>
      </w:r>
      <w:r>
        <w:rPr>
          <w:rFonts w:hint="default" w:ascii="Times New Roman" w:hAnsi="Times New Roman" w:cs="Times New Roman"/>
          <w:b w:val="0"/>
          <w:bCs w:val="0"/>
          <w:i w:val="0"/>
          <w:iCs w:val="0"/>
          <w:u w:val="none"/>
          <w:lang w:val="en-GB"/>
        </w:rPr>
        <w:t xml:space="preserve">as something else. If something has </w:t>
      </w:r>
      <w:r>
        <w:rPr>
          <w:rFonts w:hint="default" w:ascii="Times New Roman" w:hAnsi="Times New Roman" w:cs="Times New Roman"/>
          <w:b w:val="0"/>
          <w:bCs w:val="0"/>
          <w:i/>
          <w:iCs/>
          <w:u w:val="none"/>
          <w:lang w:val="en-GB"/>
        </w:rPr>
        <w:t>changed</w:t>
      </w:r>
      <w:r>
        <w:rPr>
          <w:rFonts w:hint="default" w:ascii="Times New Roman" w:hAnsi="Times New Roman" w:cs="Times New Roman"/>
          <w:b w:val="0"/>
          <w:bCs w:val="0"/>
          <w:i w:val="0"/>
          <w:iCs w:val="0"/>
          <w:u w:val="none"/>
          <w:lang w:val="en-GB"/>
        </w:rPr>
        <w:t>, it is something else. A river, despite its best efforts to the contrary, remains the same river so long as it exists. I can only conceive of two ways the river can proceed if it freezes over and becomes a glacier: exist now as the same essence in different state, or cease to exist. This bolder second option is what Heraclitus lands on, but he recognises the poetic sense of both. “None of the fragments implies that fire persists through the changes.”</w:t>
      </w:r>
    </w:p>
    <w:p>
      <w:pPr>
        <w:rPr>
          <w:rFonts w:hint="default" w:ascii="Times New Roman" w:hAnsi="Times New Roman" w:cs="Times New Roman"/>
          <w:b w:val="0"/>
          <w:bCs w:val="0"/>
          <w:i w:val="0"/>
          <w:iCs w:val="0"/>
          <w:u w:val="none"/>
          <w:lang w:val="en-GB"/>
        </w:rPr>
      </w:pPr>
    </w:p>
    <w:p>
      <w:pPr>
        <w:rPr>
          <w:rFonts w:hint="default" w:ascii="Times New Roman" w:hAnsi="Times New Roman" w:cs="Times New Roman"/>
          <w:b w:val="0"/>
          <w:bCs w:val="0"/>
          <w:i w:val="0"/>
          <w:iCs w:val="0"/>
          <w:u w:val="none"/>
          <w:lang w:val="en-GB"/>
        </w:rPr>
      </w:pPr>
      <w:r>
        <w:rPr>
          <w:rFonts w:hint="default" w:ascii="Times New Roman" w:hAnsi="Times New Roman" w:cs="Times New Roman"/>
          <w:b w:val="0"/>
          <w:bCs w:val="0"/>
          <w:i w:val="0"/>
          <w:iCs w:val="0"/>
          <w:u w:val="none"/>
          <w:lang w:val="en-GB"/>
        </w:rPr>
        <w:t>For Heraclitus,</w:t>
      </w:r>
      <w:r>
        <w:rPr>
          <w:rFonts w:hint="default" w:ascii="Times New Roman" w:hAnsi="Times New Roman" w:cs="Times New Roman"/>
          <w:b w:val="0"/>
          <w:bCs w:val="0"/>
          <w:i/>
          <w:iCs/>
          <w:u w:val="none"/>
          <w:lang w:val="en-GB"/>
        </w:rPr>
        <w:t xml:space="preserve"> logos</w:t>
      </w:r>
      <w:r>
        <w:rPr>
          <w:rFonts w:hint="default" w:ascii="Times New Roman" w:hAnsi="Times New Roman" w:cs="Times New Roman"/>
          <w:b w:val="0"/>
          <w:bCs w:val="0"/>
          <w:i w:val="0"/>
          <w:iCs w:val="0"/>
          <w:u w:val="none"/>
          <w:lang w:val="en-GB"/>
        </w:rPr>
        <w:t xml:space="preserve"> is the measure or proportion. The unchanged thing in any transaction is value. </w:t>
      </w:r>
      <w:r>
        <w:rPr>
          <w:rFonts w:hint="default" w:ascii="Times New Roman" w:hAnsi="Times New Roman" w:cs="Times New Roman"/>
          <w:b w:val="0"/>
          <w:bCs w:val="0"/>
          <w:i/>
          <w:iCs/>
          <w:u w:val="none"/>
          <w:lang w:val="en-GB"/>
        </w:rPr>
        <w:t xml:space="preserve">Logos </w:t>
      </w:r>
      <w:r>
        <w:rPr>
          <w:rFonts w:hint="default" w:ascii="Times New Roman" w:hAnsi="Times New Roman" w:cs="Times New Roman"/>
          <w:b w:val="0"/>
          <w:bCs w:val="0"/>
          <w:i w:val="0"/>
          <w:iCs w:val="0"/>
          <w:u w:val="none"/>
          <w:lang w:val="en-GB"/>
        </w:rPr>
        <w:t>gives “coherence” to a world of change, one of NO material substance. Again, Heraclitus is unique, looking externally to the realm of ideas, rather than into substance for the unifying quality of existence (</w:t>
      </w:r>
      <w:r>
        <w:rPr>
          <w:rFonts w:hint="default" w:ascii="Times New Roman" w:hAnsi="Times New Roman" w:cs="Times New Roman"/>
          <w:b w:val="0"/>
          <w:bCs w:val="0"/>
          <w:i/>
          <w:iCs/>
          <w:u w:val="none"/>
          <w:lang w:val="en-GB"/>
        </w:rPr>
        <w:t>apeiron</w:t>
      </w:r>
      <w:r>
        <w:rPr>
          <w:rFonts w:hint="default" w:ascii="Times New Roman" w:hAnsi="Times New Roman" w:cs="Times New Roman"/>
          <w:b w:val="0"/>
          <w:bCs w:val="0"/>
          <w:i w:val="0"/>
          <w:iCs w:val="0"/>
          <w:u w:val="none"/>
          <w:lang w:val="en-GB"/>
        </w:rPr>
        <w:t xml:space="preserve">, cloud, fire, being the choice selections of many of the other presocratics.) </w:t>
      </w:r>
    </w:p>
    <w:p>
      <w:pPr>
        <w:numPr>
          <w:ilvl w:val="0"/>
          <w:numId w:val="0"/>
        </w:numPr>
        <w:ind w:leftChars="0"/>
        <w:rPr>
          <w:rFonts w:hint="default" w:ascii="Times New Roman" w:hAnsi="Times New Roman" w:cs="Times New Roman"/>
          <w:b/>
          <w:bCs/>
          <w:i w:val="0"/>
          <w:iCs w:val="0"/>
          <w:u w:val="none"/>
          <w:lang w:val="en-GB"/>
        </w:rPr>
      </w:pPr>
      <w:bookmarkStart w:id="0" w:name="_GoBack"/>
      <w:bookmarkEnd w:id="0"/>
    </w:p>
    <w:p>
      <w:pPr>
        <w:numPr>
          <w:ilvl w:val="0"/>
          <w:numId w:val="0"/>
        </w:numPr>
        <w:ind w:leftChars="0"/>
        <w:rPr>
          <w:rFonts w:hint="default" w:ascii="Times New Roman" w:hAnsi="Times New Roman" w:cs="Times New Roman"/>
          <w:b w:val="0"/>
          <w:bCs w:val="0"/>
          <w:i w:val="0"/>
          <w:iCs w:val="0"/>
          <w:u w:val="none"/>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abstractNum w:abstractNumId="10">
    <w:nsid w:val="2A7EFF66"/>
    <w:multiLevelType w:val="singleLevel"/>
    <w:tmpl w:val="2A7EFF66"/>
    <w:lvl w:ilvl="0" w:tentative="0">
      <w:start w:val="1"/>
      <w:numFmt w:val="decimal"/>
      <w:suff w:val="space"/>
      <w:lvlText w:val="%1."/>
      <w:lvlJc w:val="left"/>
      <w:rPr>
        <w:rFonts w:hint="default" w:ascii="Times New Roman" w:hAnsi="Times New Roman" w:cs="Times New Roman"/>
        <w:b/>
        <w:b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VerticalSpacing w:val="156"/>
  <w:displayHorizontalDrawingGridEvery w:val="0"/>
  <w:displayVerticalDrawingGridEvery w:val="2"/>
  <w:characterSpacingControl w:val="doNotCompres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BF419C"/>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475E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51F65"/>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21591"/>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8428B"/>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80945"/>
    <w:rsid w:val="00D92BB7"/>
    <w:rsid w:val="00DC76D2"/>
    <w:rsid w:val="00DD30ED"/>
    <w:rsid w:val="00E64C21"/>
    <w:rsid w:val="00EC24C6"/>
    <w:rsid w:val="00EF2933"/>
    <w:rsid w:val="00F05146"/>
    <w:rsid w:val="00F1115D"/>
    <w:rsid w:val="00F3513C"/>
    <w:rsid w:val="00F465C5"/>
    <w:rsid w:val="00F5180D"/>
    <w:rsid w:val="00F51B21"/>
    <w:rsid w:val="00F51D87"/>
    <w:rsid w:val="00F8455C"/>
    <w:rsid w:val="00FC0D5E"/>
    <w:rsid w:val="01196BB4"/>
    <w:rsid w:val="013A56CD"/>
    <w:rsid w:val="015514B2"/>
    <w:rsid w:val="01CA75E8"/>
    <w:rsid w:val="01E65B80"/>
    <w:rsid w:val="01F21968"/>
    <w:rsid w:val="027A5033"/>
    <w:rsid w:val="03434282"/>
    <w:rsid w:val="037A6773"/>
    <w:rsid w:val="038F71C9"/>
    <w:rsid w:val="03D36D1F"/>
    <w:rsid w:val="04070813"/>
    <w:rsid w:val="04177EFA"/>
    <w:rsid w:val="046D4438"/>
    <w:rsid w:val="04AE15FF"/>
    <w:rsid w:val="04C44A87"/>
    <w:rsid w:val="04F274F3"/>
    <w:rsid w:val="050F1997"/>
    <w:rsid w:val="05A56756"/>
    <w:rsid w:val="05BA28F0"/>
    <w:rsid w:val="05C220DB"/>
    <w:rsid w:val="05DC421B"/>
    <w:rsid w:val="05DD5554"/>
    <w:rsid w:val="05E85C94"/>
    <w:rsid w:val="06897172"/>
    <w:rsid w:val="069C665E"/>
    <w:rsid w:val="06E151FA"/>
    <w:rsid w:val="073A70AA"/>
    <w:rsid w:val="074A7253"/>
    <w:rsid w:val="07666648"/>
    <w:rsid w:val="077C5CB6"/>
    <w:rsid w:val="07A860A7"/>
    <w:rsid w:val="08601134"/>
    <w:rsid w:val="08BB13F8"/>
    <w:rsid w:val="08DD2BFE"/>
    <w:rsid w:val="090048DC"/>
    <w:rsid w:val="09615308"/>
    <w:rsid w:val="09635510"/>
    <w:rsid w:val="098C10E8"/>
    <w:rsid w:val="0A3057D5"/>
    <w:rsid w:val="0A736290"/>
    <w:rsid w:val="0A8D1916"/>
    <w:rsid w:val="0A907862"/>
    <w:rsid w:val="0AB92811"/>
    <w:rsid w:val="0B340F7C"/>
    <w:rsid w:val="0B584153"/>
    <w:rsid w:val="0B7F55E3"/>
    <w:rsid w:val="0BFF569C"/>
    <w:rsid w:val="0C0E78BC"/>
    <w:rsid w:val="0C323986"/>
    <w:rsid w:val="0C3E3B90"/>
    <w:rsid w:val="0C970C24"/>
    <w:rsid w:val="0CFB58CF"/>
    <w:rsid w:val="0D7C36AD"/>
    <w:rsid w:val="0DE14AC5"/>
    <w:rsid w:val="0DF53A68"/>
    <w:rsid w:val="0E17107A"/>
    <w:rsid w:val="0E354D48"/>
    <w:rsid w:val="0E5B3B55"/>
    <w:rsid w:val="0E8E59FB"/>
    <w:rsid w:val="0ECE7C48"/>
    <w:rsid w:val="0F762B27"/>
    <w:rsid w:val="0FAD27A1"/>
    <w:rsid w:val="0FFE087C"/>
    <w:rsid w:val="103F1D61"/>
    <w:rsid w:val="10F84C11"/>
    <w:rsid w:val="1129570C"/>
    <w:rsid w:val="113F6CE9"/>
    <w:rsid w:val="118E1893"/>
    <w:rsid w:val="1193235B"/>
    <w:rsid w:val="11B806FD"/>
    <w:rsid w:val="11E6407A"/>
    <w:rsid w:val="11FF47B8"/>
    <w:rsid w:val="12040287"/>
    <w:rsid w:val="12182F14"/>
    <w:rsid w:val="1235791F"/>
    <w:rsid w:val="126B7CB0"/>
    <w:rsid w:val="12A0540C"/>
    <w:rsid w:val="12D335F1"/>
    <w:rsid w:val="12E24D72"/>
    <w:rsid w:val="13366A55"/>
    <w:rsid w:val="133B50BF"/>
    <w:rsid w:val="138E08A4"/>
    <w:rsid w:val="13AD4DEB"/>
    <w:rsid w:val="13FF30E2"/>
    <w:rsid w:val="141618AF"/>
    <w:rsid w:val="141B2FC4"/>
    <w:rsid w:val="145709F8"/>
    <w:rsid w:val="148A3AFD"/>
    <w:rsid w:val="14B91E4B"/>
    <w:rsid w:val="14C22C10"/>
    <w:rsid w:val="15082386"/>
    <w:rsid w:val="151A07EF"/>
    <w:rsid w:val="151D66BC"/>
    <w:rsid w:val="15495590"/>
    <w:rsid w:val="1565449D"/>
    <w:rsid w:val="15862C54"/>
    <w:rsid w:val="15943BE4"/>
    <w:rsid w:val="15B17473"/>
    <w:rsid w:val="15F47192"/>
    <w:rsid w:val="15FC1364"/>
    <w:rsid w:val="16583648"/>
    <w:rsid w:val="16AE05C0"/>
    <w:rsid w:val="16C80FF5"/>
    <w:rsid w:val="16CA74DF"/>
    <w:rsid w:val="16EC2FCF"/>
    <w:rsid w:val="173D7210"/>
    <w:rsid w:val="175F3626"/>
    <w:rsid w:val="176C4AB8"/>
    <w:rsid w:val="177A64C4"/>
    <w:rsid w:val="17D90767"/>
    <w:rsid w:val="17E52553"/>
    <w:rsid w:val="180563B9"/>
    <w:rsid w:val="180B10BC"/>
    <w:rsid w:val="1885241C"/>
    <w:rsid w:val="18A723A1"/>
    <w:rsid w:val="18B572A9"/>
    <w:rsid w:val="19990B9C"/>
    <w:rsid w:val="199D114E"/>
    <w:rsid w:val="19A91E6E"/>
    <w:rsid w:val="19AD1CFF"/>
    <w:rsid w:val="1A1A31FF"/>
    <w:rsid w:val="1A442A69"/>
    <w:rsid w:val="1A48078E"/>
    <w:rsid w:val="1A5C7F26"/>
    <w:rsid w:val="1A5D77AB"/>
    <w:rsid w:val="1A9D2DE0"/>
    <w:rsid w:val="1A9F074C"/>
    <w:rsid w:val="1B0016FF"/>
    <w:rsid w:val="1B1313C0"/>
    <w:rsid w:val="1B1F2C02"/>
    <w:rsid w:val="1B2041A1"/>
    <w:rsid w:val="1CC42B54"/>
    <w:rsid w:val="1CE53EA4"/>
    <w:rsid w:val="1D231209"/>
    <w:rsid w:val="1D256673"/>
    <w:rsid w:val="1D2A3AA4"/>
    <w:rsid w:val="1D9137E4"/>
    <w:rsid w:val="1D951E34"/>
    <w:rsid w:val="1DB52BB9"/>
    <w:rsid w:val="1DC27A41"/>
    <w:rsid w:val="1DC630A4"/>
    <w:rsid w:val="1DF41F0B"/>
    <w:rsid w:val="1E0C1593"/>
    <w:rsid w:val="1E2D2F17"/>
    <w:rsid w:val="1E3B5B2B"/>
    <w:rsid w:val="1E465629"/>
    <w:rsid w:val="1E476CDF"/>
    <w:rsid w:val="1E4B6644"/>
    <w:rsid w:val="1EDE3B19"/>
    <w:rsid w:val="1EF42B3D"/>
    <w:rsid w:val="1F0C0196"/>
    <w:rsid w:val="1F1D7BF6"/>
    <w:rsid w:val="1F307155"/>
    <w:rsid w:val="1FA94314"/>
    <w:rsid w:val="2006717B"/>
    <w:rsid w:val="201B5C14"/>
    <w:rsid w:val="206A6249"/>
    <w:rsid w:val="2099122F"/>
    <w:rsid w:val="2136263D"/>
    <w:rsid w:val="21483E6B"/>
    <w:rsid w:val="21616C87"/>
    <w:rsid w:val="21637C03"/>
    <w:rsid w:val="216A74A3"/>
    <w:rsid w:val="21962144"/>
    <w:rsid w:val="21A734D8"/>
    <w:rsid w:val="21BE54E6"/>
    <w:rsid w:val="21CB5544"/>
    <w:rsid w:val="21EF63FF"/>
    <w:rsid w:val="22014F8A"/>
    <w:rsid w:val="2203567D"/>
    <w:rsid w:val="222B0335"/>
    <w:rsid w:val="225A1E6B"/>
    <w:rsid w:val="225F112A"/>
    <w:rsid w:val="22655D1C"/>
    <w:rsid w:val="22B440FE"/>
    <w:rsid w:val="22C8067F"/>
    <w:rsid w:val="22E479A8"/>
    <w:rsid w:val="23047487"/>
    <w:rsid w:val="23505FB1"/>
    <w:rsid w:val="23643669"/>
    <w:rsid w:val="236D0130"/>
    <w:rsid w:val="239F4407"/>
    <w:rsid w:val="23A71793"/>
    <w:rsid w:val="23CB0CC8"/>
    <w:rsid w:val="23E63F0A"/>
    <w:rsid w:val="23F84E05"/>
    <w:rsid w:val="24184152"/>
    <w:rsid w:val="24532B5A"/>
    <w:rsid w:val="246D025E"/>
    <w:rsid w:val="247E450E"/>
    <w:rsid w:val="24834F09"/>
    <w:rsid w:val="24CC2CBA"/>
    <w:rsid w:val="24CD13A4"/>
    <w:rsid w:val="252B034F"/>
    <w:rsid w:val="25580578"/>
    <w:rsid w:val="25E638BC"/>
    <w:rsid w:val="25F604C2"/>
    <w:rsid w:val="262112BF"/>
    <w:rsid w:val="262B46D7"/>
    <w:rsid w:val="26B571AF"/>
    <w:rsid w:val="26F30BD9"/>
    <w:rsid w:val="27531DF6"/>
    <w:rsid w:val="27922388"/>
    <w:rsid w:val="27A94211"/>
    <w:rsid w:val="27C31BD9"/>
    <w:rsid w:val="27D15584"/>
    <w:rsid w:val="28327355"/>
    <w:rsid w:val="283A344F"/>
    <w:rsid w:val="283D6356"/>
    <w:rsid w:val="284A7358"/>
    <w:rsid w:val="287E53D8"/>
    <w:rsid w:val="292C2C40"/>
    <w:rsid w:val="298079D7"/>
    <w:rsid w:val="29890093"/>
    <w:rsid w:val="29DD6D1C"/>
    <w:rsid w:val="2A5F7045"/>
    <w:rsid w:val="2A74602D"/>
    <w:rsid w:val="2B365FF8"/>
    <w:rsid w:val="2B4247A3"/>
    <w:rsid w:val="2B4A1E3E"/>
    <w:rsid w:val="2B6803A6"/>
    <w:rsid w:val="2B8330C6"/>
    <w:rsid w:val="2B9243BF"/>
    <w:rsid w:val="2B997D40"/>
    <w:rsid w:val="2C2C1183"/>
    <w:rsid w:val="2C63311C"/>
    <w:rsid w:val="2CA71937"/>
    <w:rsid w:val="2CA955D9"/>
    <w:rsid w:val="2CB71FE8"/>
    <w:rsid w:val="2CF5641F"/>
    <w:rsid w:val="2D26260A"/>
    <w:rsid w:val="2DBF69B2"/>
    <w:rsid w:val="2DDB5840"/>
    <w:rsid w:val="2DEE2D62"/>
    <w:rsid w:val="2E3020C2"/>
    <w:rsid w:val="2E5F2166"/>
    <w:rsid w:val="2E6C551B"/>
    <w:rsid w:val="2EA84F38"/>
    <w:rsid w:val="2EE05E59"/>
    <w:rsid w:val="2F7E4885"/>
    <w:rsid w:val="2F802A8E"/>
    <w:rsid w:val="2FC326B9"/>
    <w:rsid w:val="2FFD4E80"/>
    <w:rsid w:val="2FFE15AB"/>
    <w:rsid w:val="301917A7"/>
    <w:rsid w:val="301F40C8"/>
    <w:rsid w:val="304F67CF"/>
    <w:rsid w:val="3058165E"/>
    <w:rsid w:val="30896BCA"/>
    <w:rsid w:val="308B1BCC"/>
    <w:rsid w:val="309E387E"/>
    <w:rsid w:val="31123098"/>
    <w:rsid w:val="31360C10"/>
    <w:rsid w:val="31390C89"/>
    <w:rsid w:val="31466937"/>
    <w:rsid w:val="317733CE"/>
    <w:rsid w:val="318B11AF"/>
    <w:rsid w:val="31C00377"/>
    <w:rsid w:val="31CA6116"/>
    <w:rsid w:val="320034B6"/>
    <w:rsid w:val="3202689B"/>
    <w:rsid w:val="327F2033"/>
    <w:rsid w:val="32D32053"/>
    <w:rsid w:val="32EB1A90"/>
    <w:rsid w:val="32F20B55"/>
    <w:rsid w:val="3304005B"/>
    <w:rsid w:val="33191021"/>
    <w:rsid w:val="332525B0"/>
    <w:rsid w:val="332E54B8"/>
    <w:rsid w:val="33962A97"/>
    <w:rsid w:val="3399180B"/>
    <w:rsid w:val="339F6A9E"/>
    <w:rsid w:val="33FB4D5D"/>
    <w:rsid w:val="34236EBD"/>
    <w:rsid w:val="34692557"/>
    <w:rsid w:val="350827AC"/>
    <w:rsid w:val="35292C91"/>
    <w:rsid w:val="354362C5"/>
    <w:rsid w:val="354B5985"/>
    <w:rsid w:val="355C77E1"/>
    <w:rsid w:val="358704DB"/>
    <w:rsid w:val="35F83CBA"/>
    <w:rsid w:val="363F4A21"/>
    <w:rsid w:val="36402451"/>
    <w:rsid w:val="36934FDA"/>
    <w:rsid w:val="36BE732B"/>
    <w:rsid w:val="36E921AB"/>
    <w:rsid w:val="36FF7BE6"/>
    <w:rsid w:val="373C7888"/>
    <w:rsid w:val="37673DDF"/>
    <w:rsid w:val="3786787E"/>
    <w:rsid w:val="37BE2F3B"/>
    <w:rsid w:val="37F7266B"/>
    <w:rsid w:val="37FF14F7"/>
    <w:rsid w:val="380426F2"/>
    <w:rsid w:val="382F2E63"/>
    <w:rsid w:val="383166DB"/>
    <w:rsid w:val="38B85B40"/>
    <w:rsid w:val="38C06B7A"/>
    <w:rsid w:val="390C4398"/>
    <w:rsid w:val="39261A80"/>
    <w:rsid w:val="39A81D21"/>
    <w:rsid w:val="39D17933"/>
    <w:rsid w:val="39F463E4"/>
    <w:rsid w:val="3A213355"/>
    <w:rsid w:val="3A2B6F44"/>
    <w:rsid w:val="3A4A701C"/>
    <w:rsid w:val="3AAE7D2C"/>
    <w:rsid w:val="3AB111F7"/>
    <w:rsid w:val="3AD03F71"/>
    <w:rsid w:val="3AE03C91"/>
    <w:rsid w:val="3AED190D"/>
    <w:rsid w:val="3B025C8D"/>
    <w:rsid w:val="3B861D7B"/>
    <w:rsid w:val="3BD14849"/>
    <w:rsid w:val="3C26270A"/>
    <w:rsid w:val="3C8F0D40"/>
    <w:rsid w:val="3CBF626F"/>
    <w:rsid w:val="3CE54C69"/>
    <w:rsid w:val="3D393870"/>
    <w:rsid w:val="3D6B7F55"/>
    <w:rsid w:val="3D891EC0"/>
    <w:rsid w:val="3DDA2813"/>
    <w:rsid w:val="3E330175"/>
    <w:rsid w:val="3E477D57"/>
    <w:rsid w:val="3E55633E"/>
    <w:rsid w:val="3E711B99"/>
    <w:rsid w:val="3EA90437"/>
    <w:rsid w:val="3EAE5A4E"/>
    <w:rsid w:val="3EBF6466"/>
    <w:rsid w:val="3ED04F30"/>
    <w:rsid w:val="3EED2A1A"/>
    <w:rsid w:val="3EF04A2D"/>
    <w:rsid w:val="3EFF1FC4"/>
    <w:rsid w:val="3F027F06"/>
    <w:rsid w:val="3F0F5522"/>
    <w:rsid w:val="3FC20A8C"/>
    <w:rsid w:val="3FC7515B"/>
    <w:rsid w:val="3FD87804"/>
    <w:rsid w:val="40800A4B"/>
    <w:rsid w:val="409741F1"/>
    <w:rsid w:val="40AC3D4A"/>
    <w:rsid w:val="4113143D"/>
    <w:rsid w:val="41592C89"/>
    <w:rsid w:val="4163290A"/>
    <w:rsid w:val="41692B8E"/>
    <w:rsid w:val="41AA3FBE"/>
    <w:rsid w:val="41B163EE"/>
    <w:rsid w:val="41E27AC2"/>
    <w:rsid w:val="41EA4E7D"/>
    <w:rsid w:val="41F23385"/>
    <w:rsid w:val="41F84884"/>
    <w:rsid w:val="424526D7"/>
    <w:rsid w:val="42740AC0"/>
    <w:rsid w:val="427C799E"/>
    <w:rsid w:val="42C426E2"/>
    <w:rsid w:val="42C47321"/>
    <w:rsid w:val="42D635B0"/>
    <w:rsid w:val="43355B9F"/>
    <w:rsid w:val="43DF785B"/>
    <w:rsid w:val="44200668"/>
    <w:rsid w:val="44533ED7"/>
    <w:rsid w:val="445E28E1"/>
    <w:rsid w:val="446D42B6"/>
    <w:rsid w:val="448D337E"/>
    <w:rsid w:val="44983C5E"/>
    <w:rsid w:val="44DF3EE1"/>
    <w:rsid w:val="44E23A1D"/>
    <w:rsid w:val="45201EA4"/>
    <w:rsid w:val="453B4224"/>
    <w:rsid w:val="45736708"/>
    <w:rsid w:val="45742F73"/>
    <w:rsid w:val="45A07790"/>
    <w:rsid w:val="45DE3FC2"/>
    <w:rsid w:val="46287A7D"/>
    <w:rsid w:val="464B43DD"/>
    <w:rsid w:val="46970625"/>
    <w:rsid w:val="469F1038"/>
    <w:rsid w:val="46A11D57"/>
    <w:rsid w:val="46AC6D17"/>
    <w:rsid w:val="46B662D7"/>
    <w:rsid w:val="46BE6927"/>
    <w:rsid w:val="47137C0D"/>
    <w:rsid w:val="47266AC9"/>
    <w:rsid w:val="481D44F1"/>
    <w:rsid w:val="483C7101"/>
    <w:rsid w:val="485E2AD0"/>
    <w:rsid w:val="48607A5A"/>
    <w:rsid w:val="48D02C88"/>
    <w:rsid w:val="4945254B"/>
    <w:rsid w:val="496C41A4"/>
    <w:rsid w:val="49AE1A9E"/>
    <w:rsid w:val="49B83560"/>
    <w:rsid w:val="49CC6010"/>
    <w:rsid w:val="49D051F2"/>
    <w:rsid w:val="49E31673"/>
    <w:rsid w:val="4A02471E"/>
    <w:rsid w:val="4A204CF0"/>
    <w:rsid w:val="4A4522E8"/>
    <w:rsid w:val="4B155A8A"/>
    <w:rsid w:val="4B3948AC"/>
    <w:rsid w:val="4B426D7E"/>
    <w:rsid w:val="4B843FBA"/>
    <w:rsid w:val="4B970143"/>
    <w:rsid w:val="4BA57099"/>
    <w:rsid w:val="4BC44B03"/>
    <w:rsid w:val="4BED4C7B"/>
    <w:rsid w:val="4C1954BB"/>
    <w:rsid w:val="4C5354E9"/>
    <w:rsid w:val="4C733CFF"/>
    <w:rsid w:val="4CDC150E"/>
    <w:rsid w:val="4D565121"/>
    <w:rsid w:val="4D845DAE"/>
    <w:rsid w:val="4D8D225A"/>
    <w:rsid w:val="4DD51249"/>
    <w:rsid w:val="4E0D3F4C"/>
    <w:rsid w:val="4E12509C"/>
    <w:rsid w:val="4E261B2B"/>
    <w:rsid w:val="4E2628EC"/>
    <w:rsid w:val="4EC66A03"/>
    <w:rsid w:val="4EDE34AD"/>
    <w:rsid w:val="4F3F325D"/>
    <w:rsid w:val="4F4026F2"/>
    <w:rsid w:val="4F6F4D85"/>
    <w:rsid w:val="4F986314"/>
    <w:rsid w:val="500B2DF8"/>
    <w:rsid w:val="504A5D14"/>
    <w:rsid w:val="5058707D"/>
    <w:rsid w:val="505C4C07"/>
    <w:rsid w:val="505C586D"/>
    <w:rsid w:val="506059D9"/>
    <w:rsid w:val="50976770"/>
    <w:rsid w:val="50B1656A"/>
    <w:rsid w:val="50B2610E"/>
    <w:rsid w:val="50C80BF1"/>
    <w:rsid w:val="50CF5018"/>
    <w:rsid w:val="512075A6"/>
    <w:rsid w:val="517D3175"/>
    <w:rsid w:val="518D1C42"/>
    <w:rsid w:val="519A1BE0"/>
    <w:rsid w:val="51EC0568"/>
    <w:rsid w:val="522D519C"/>
    <w:rsid w:val="526B5049"/>
    <w:rsid w:val="527A416D"/>
    <w:rsid w:val="529D3828"/>
    <w:rsid w:val="52A02931"/>
    <w:rsid w:val="52F24886"/>
    <w:rsid w:val="534E0E94"/>
    <w:rsid w:val="535F2B56"/>
    <w:rsid w:val="536F31CD"/>
    <w:rsid w:val="53826F9C"/>
    <w:rsid w:val="538779D4"/>
    <w:rsid w:val="540A5703"/>
    <w:rsid w:val="54387E3C"/>
    <w:rsid w:val="54A42D62"/>
    <w:rsid w:val="55033331"/>
    <w:rsid w:val="551E1D72"/>
    <w:rsid w:val="55207A5F"/>
    <w:rsid w:val="5587107B"/>
    <w:rsid w:val="558F092A"/>
    <w:rsid w:val="56591451"/>
    <w:rsid w:val="565D1E21"/>
    <w:rsid w:val="567F377D"/>
    <w:rsid w:val="568466E1"/>
    <w:rsid w:val="56CC7D8A"/>
    <w:rsid w:val="56E16A9F"/>
    <w:rsid w:val="56E524FD"/>
    <w:rsid w:val="56F90BA0"/>
    <w:rsid w:val="57002DC1"/>
    <w:rsid w:val="57090A62"/>
    <w:rsid w:val="573D0F38"/>
    <w:rsid w:val="5784550B"/>
    <w:rsid w:val="579B0E0D"/>
    <w:rsid w:val="57B85F76"/>
    <w:rsid w:val="57D101C5"/>
    <w:rsid w:val="58044DE1"/>
    <w:rsid w:val="58231F11"/>
    <w:rsid w:val="583D2911"/>
    <w:rsid w:val="58A937E4"/>
    <w:rsid w:val="58CC57C1"/>
    <w:rsid w:val="58D629C4"/>
    <w:rsid w:val="591B0440"/>
    <w:rsid w:val="593547AC"/>
    <w:rsid w:val="595219A0"/>
    <w:rsid w:val="59622821"/>
    <w:rsid w:val="59B55A23"/>
    <w:rsid w:val="59CD35CE"/>
    <w:rsid w:val="59D94A1E"/>
    <w:rsid w:val="59E720E8"/>
    <w:rsid w:val="59FB52EE"/>
    <w:rsid w:val="5A037476"/>
    <w:rsid w:val="5A094B21"/>
    <w:rsid w:val="5A1C64ED"/>
    <w:rsid w:val="5A1D74F1"/>
    <w:rsid w:val="5A2F6381"/>
    <w:rsid w:val="5A33357F"/>
    <w:rsid w:val="5A950B77"/>
    <w:rsid w:val="5AB755EA"/>
    <w:rsid w:val="5AED1175"/>
    <w:rsid w:val="5AFC5446"/>
    <w:rsid w:val="5B2E3A93"/>
    <w:rsid w:val="5B7219CF"/>
    <w:rsid w:val="5B7B0AE7"/>
    <w:rsid w:val="5BE86DAC"/>
    <w:rsid w:val="5C1F68B2"/>
    <w:rsid w:val="5C5F565F"/>
    <w:rsid w:val="5CB32879"/>
    <w:rsid w:val="5CDC6150"/>
    <w:rsid w:val="5CDF3DD1"/>
    <w:rsid w:val="5CE5683C"/>
    <w:rsid w:val="5CFF005F"/>
    <w:rsid w:val="5DA02187"/>
    <w:rsid w:val="5E566F66"/>
    <w:rsid w:val="5E6E5F24"/>
    <w:rsid w:val="5E973C9F"/>
    <w:rsid w:val="5EC755CA"/>
    <w:rsid w:val="5F085DA4"/>
    <w:rsid w:val="5F3729F3"/>
    <w:rsid w:val="5F4E49B7"/>
    <w:rsid w:val="5F7037FE"/>
    <w:rsid w:val="5F7E21D0"/>
    <w:rsid w:val="5F8F3BE9"/>
    <w:rsid w:val="5FF22753"/>
    <w:rsid w:val="5FFC6E06"/>
    <w:rsid w:val="5FFE7AC8"/>
    <w:rsid w:val="602F17E7"/>
    <w:rsid w:val="603410B9"/>
    <w:rsid w:val="60357131"/>
    <w:rsid w:val="607B1E49"/>
    <w:rsid w:val="608270F7"/>
    <w:rsid w:val="60C71CFE"/>
    <w:rsid w:val="60D1790D"/>
    <w:rsid w:val="60D90BAB"/>
    <w:rsid w:val="60EF627E"/>
    <w:rsid w:val="60FA5AB3"/>
    <w:rsid w:val="61441077"/>
    <w:rsid w:val="616D2728"/>
    <w:rsid w:val="6198199F"/>
    <w:rsid w:val="61D81A0E"/>
    <w:rsid w:val="622C5484"/>
    <w:rsid w:val="62394E13"/>
    <w:rsid w:val="626518B9"/>
    <w:rsid w:val="62A81FE3"/>
    <w:rsid w:val="62B17737"/>
    <w:rsid w:val="62BF419C"/>
    <w:rsid w:val="62C84579"/>
    <w:rsid w:val="62FD41E2"/>
    <w:rsid w:val="63091C39"/>
    <w:rsid w:val="63126166"/>
    <w:rsid w:val="634B5064"/>
    <w:rsid w:val="634D410D"/>
    <w:rsid w:val="63C210E6"/>
    <w:rsid w:val="63E0065D"/>
    <w:rsid w:val="64402948"/>
    <w:rsid w:val="645E6805"/>
    <w:rsid w:val="64CC5391"/>
    <w:rsid w:val="64FE29DC"/>
    <w:rsid w:val="65131794"/>
    <w:rsid w:val="6529347D"/>
    <w:rsid w:val="652F1409"/>
    <w:rsid w:val="656971DE"/>
    <w:rsid w:val="65921C11"/>
    <w:rsid w:val="65EC0A86"/>
    <w:rsid w:val="660A3693"/>
    <w:rsid w:val="660C5ECE"/>
    <w:rsid w:val="66270E43"/>
    <w:rsid w:val="664E482B"/>
    <w:rsid w:val="667A3849"/>
    <w:rsid w:val="667D7139"/>
    <w:rsid w:val="6694158C"/>
    <w:rsid w:val="66CB1135"/>
    <w:rsid w:val="671D4B10"/>
    <w:rsid w:val="67330E41"/>
    <w:rsid w:val="673C3F6A"/>
    <w:rsid w:val="67655480"/>
    <w:rsid w:val="678539B0"/>
    <w:rsid w:val="67F454A9"/>
    <w:rsid w:val="681413E6"/>
    <w:rsid w:val="68155F11"/>
    <w:rsid w:val="682A2B4E"/>
    <w:rsid w:val="690E76EF"/>
    <w:rsid w:val="69E93CEB"/>
    <w:rsid w:val="69F81F97"/>
    <w:rsid w:val="6A3838CD"/>
    <w:rsid w:val="6A386DCC"/>
    <w:rsid w:val="6A3A1F07"/>
    <w:rsid w:val="6A71470C"/>
    <w:rsid w:val="6A80344A"/>
    <w:rsid w:val="6A99664B"/>
    <w:rsid w:val="6A9F14FB"/>
    <w:rsid w:val="6AC42D0A"/>
    <w:rsid w:val="6AF86AEC"/>
    <w:rsid w:val="6AFC53DE"/>
    <w:rsid w:val="6B1B7E43"/>
    <w:rsid w:val="6B535A1E"/>
    <w:rsid w:val="6B802775"/>
    <w:rsid w:val="6BA04519"/>
    <w:rsid w:val="6BD85D34"/>
    <w:rsid w:val="6BF16F9C"/>
    <w:rsid w:val="6C216D11"/>
    <w:rsid w:val="6C6415DA"/>
    <w:rsid w:val="6C8650C3"/>
    <w:rsid w:val="6CD94F5D"/>
    <w:rsid w:val="6D3F07B6"/>
    <w:rsid w:val="6D526EEE"/>
    <w:rsid w:val="6D884C84"/>
    <w:rsid w:val="6DCC3677"/>
    <w:rsid w:val="6E1967BD"/>
    <w:rsid w:val="6E5D69C5"/>
    <w:rsid w:val="6EA1105D"/>
    <w:rsid w:val="6EA50440"/>
    <w:rsid w:val="6EDC23F2"/>
    <w:rsid w:val="6F6D0E8A"/>
    <w:rsid w:val="6FBB4455"/>
    <w:rsid w:val="6FCF744E"/>
    <w:rsid w:val="703D15F7"/>
    <w:rsid w:val="703F52A1"/>
    <w:rsid w:val="707757E9"/>
    <w:rsid w:val="70790B21"/>
    <w:rsid w:val="70A42689"/>
    <w:rsid w:val="71193077"/>
    <w:rsid w:val="713A39CC"/>
    <w:rsid w:val="71946BA2"/>
    <w:rsid w:val="71981370"/>
    <w:rsid w:val="71A26137"/>
    <w:rsid w:val="71AA2CF2"/>
    <w:rsid w:val="71FC4D8C"/>
    <w:rsid w:val="7200616A"/>
    <w:rsid w:val="72390C1D"/>
    <w:rsid w:val="72601DD4"/>
    <w:rsid w:val="729371DB"/>
    <w:rsid w:val="72F47A2B"/>
    <w:rsid w:val="73314150"/>
    <w:rsid w:val="73B74401"/>
    <w:rsid w:val="73DB3596"/>
    <w:rsid w:val="73DF45AA"/>
    <w:rsid w:val="73F82B69"/>
    <w:rsid w:val="741C4DD8"/>
    <w:rsid w:val="742072FA"/>
    <w:rsid w:val="744724C6"/>
    <w:rsid w:val="7456013E"/>
    <w:rsid w:val="74BE35E5"/>
    <w:rsid w:val="74C556D5"/>
    <w:rsid w:val="74CE4179"/>
    <w:rsid w:val="74D33A25"/>
    <w:rsid w:val="760F0086"/>
    <w:rsid w:val="76302717"/>
    <w:rsid w:val="766C3D46"/>
    <w:rsid w:val="76C10199"/>
    <w:rsid w:val="77130DA5"/>
    <w:rsid w:val="77196332"/>
    <w:rsid w:val="773F782D"/>
    <w:rsid w:val="776E7146"/>
    <w:rsid w:val="778D0189"/>
    <w:rsid w:val="77A52087"/>
    <w:rsid w:val="77CA65E2"/>
    <w:rsid w:val="77FB6083"/>
    <w:rsid w:val="783E1615"/>
    <w:rsid w:val="78BE1978"/>
    <w:rsid w:val="78DC45ED"/>
    <w:rsid w:val="78F35090"/>
    <w:rsid w:val="7906426E"/>
    <w:rsid w:val="791E391C"/>
    <w:rsid w:val="798F6CC9"/>
    <w:rsid w:val="7A296296"/>
    <w:rsid w:val="7A441D0F"/>
    <w:rsid w:val="7A9C78ED"/>
    <w:rsid w:val="7AA11F77"/>
    <w:rsid w:val="7AC9049A"/>
    <w:rsid w:val="7ADD2314"/>
    <w:rsid w:val="7B541522"/>
    <w:rsid w:val="7B62487C"/>
    <w:rsid w:val="7B7964C5"/>
    <w:rsid w:val="7B851222"/>
    <w:rsid w:val="7B9A2BE7"/>
    <w:rsid w:val="7BA91D3E"/>
    <w:rsid w:val="7BF676D1"/>
    <w:rsid w:val="7C3C1086"/>
    <w:rsid w:val="7C4453CC"/>
    <w:rsid w:val="7C7C270C"/>
    <w:rsid w:val="7C943EFA"/>
    <w:rsid w:val="7CDA1CDD"/>
    <w:rsid w:val="7D0D6328"/>
    <w:rsid w:val="7D4638A1"/>
    <w:rsid w:val="7D544A9B"/>
    <w:rsid w:val="7D623E0F"/>
    <w:rsid w:val="7D766118"/>
    <w:rsid w:val="7D8D42A9"/>
    <w:rsid w:val="7D9341A0"/>
    <w:rsid w:val="7DB31DBC"/>
    <w:rsid w:val="7DB33B66"/>
    <w:rsid w:val="7DE22C73"/>
    <w:rsid w:val="7EB63E83"/>
    <w:rsid w:val="7EE43B13"/>
    <w:rsid w:val="7EEC0363"/>
    <w:rsid w:val="7F565ECA"/>
    <w:rsid w:val="7F5A13A0"/>
    <w:rsid w:val="7F942556"/>
    <w:rsid w:val="7FAF24BA"/>
    <w:rsid w:val="7FFA49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unhideWhenUsed="0" w:uiPriority="0"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qFormat="1" w:unhideWhenUsed="0" w:uiPriority="0" w:semiHidden="0" w:name="List Continue 2"/>
    <w:lsdException w:qFormat="1" w:unhideWhenUsed="0" w:uiPriority="0" w:semiHidden="0" w:name="List Continue 3"/>
    <w:lsdException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unhideWhenUsed="0" w:uiPriority="0"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2"/>
      <w:szCs w:val="22"/>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semiHidden/>
    <w:unhideWhenUsed/>
    <w:qFormat/>
    <w:uiPriority w:val="0"/>
    <w:pPr>
      <w:keepNext/>
      <w:keepLines/>
      <w:spacing w:before="260" w:after="260" w:line="416" w:lineRule="auto"/>
      <w:outlineLvl w:val="1"/>
    </w:pPr>
    <w:rPr>
      <w:b/>
      <w:bCs/>
      <w:sz w:val="32"/>
      <w:szCs w:val="32"/>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semiHidden/>
    <w:qFormat/>
    <w:uiPriority w:val="0"/>
  </w:style>
  <w:style w:type="table" w:default="1" w:styleId="12">
    <w:name w:val="Normal Table"/>
    <w:semiHidden/>
    <w:uiPriority w:val="0"/>
    <w:tblPr>
      <w:tblCellMar>
        <w:top w:w="0" w:type="dxa"/>
        <w:left w:w="108" w:type="dxa"/>
        <w:bottom w:w="0" w:type="dxa"/>
        <w:right w:w="108" w:type="dxa"/>
      </w:tblCellMar>
    </w:tblPr>
  </w:style>
  <w:style w:type="paragraph" w:styleId="13">
    <w:name w:val="Balloon Text"/>
    <w:basedOn w:val="1"/>
    <w:uiPriority w:val="0"/>
    <w:rPr>
      <w:sz w:val="16"/>
      <w:szCs w:val="16"/>
    </w:rPr>
  </w:style>
  <w:style w:type="paragraph" w:styleId="14">
    <w:name w:val="Block Text"/>
    <w:basedOn w:val="1"/>
    <w:uiPriority w:val="0"/>
    <w:pPr>
      <w:spacing w:after="120"/>
      <w:ind w:left="1440" w:leftChars="700" w:right="1440" w:rightChars="700"/>
    </w:pPr>
  </w:style>
  <w:style w:type="paragraph" w:styleId="15">
    <w:name w:val="Body Text"/>
    <w:basedOn w:val="1"/>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uiPriority w:val="0"/>
    <w:pPr>
      <w:spacing w:after="120"/>
      <w:ind w:left="420" w:leftChars="200"/>
    </w:pPr>
  </w:style>
  <w:style w:type="paragraph" w:styleId="20">
    <w:name w:val="Body Text First Indent 2"/>
    <w:basedOn w:val="19"/>
    <w:uiPriority w:val="0"/>
    <w:pPr>
      <w:ind w:firstLine="420" w:firstLineChars="200"/>
    </w:pPr>
  </w:style>
  <w:style w:type="paragraph" w:styleId="21">
    <w:name w:val="Body Text Indent 2"/>
    <w:basedOn w:val="1"/>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qFormat/>
    <w:uiPriority w:val="0"/>
    <w:pPr>
      <w:ind w:left="100" w:leftChars="2100"/>
    </w:pPr>
  </w:style>
  <w:style w:type="character" w:styleId="25">
    <w:name w:val="annotation reference"/>
    <w:basedOn w:val="11"/>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qFormat/>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qFormat/>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jc w:val="left"/>
    </w:pPr>
    <w:rPr>
      <w:sz w:val="18"/>
      <w:szCs w:val="18"/>
    </w:rPr>
  </w:style>
  <w:style w:type="paragraph" w:styleId="40">
    <w:name w:val="header"/>
    <w:basedOn w:val="1"/>
    <w:qFormat/>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uiPriority w:val="0"/>
    <w:rPr>
      <w:i/>
      <w:iCs/>
    </w:rPr>
  </w:style>
  <w:style w:type="character" w:styleId="43">
    <w:name w:val="HTML Cite"/>
    <w:basedOn w:val="11"/>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qFormat/>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qFormat/>
    <w:uiPriority w:val="0"/>
    <w:rPr>
      <w:rFonts w:ascii="Courier New" w:hAnsi="Courier New" w:cs="Courier New"/>
      <w:sz w:val="20"/>
    </w:rPr>
  </w:style>
  <w:style w:type="character" w:styleId="48">
    <w:name w:val="HTML Sample"/>
    <w:basedOn w:val="11"/>
    <w:qFormat/>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qFormat/>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uiPriority w:val="0"/>
    <w:rPr>
      <w:rFonts w:ascii="Arial" w:hAnsi="Arial" w:cs="Arial"/>
      <w:b/>
      <w:bCs/>
    </w:rPr>
  </w:style>
  <w:style w:type="character" w:styleId="62">
    <w:name w:val="line number"/>
    <w:basedOn w:val="11"/>
    <w:qFormat/>
    <w:uiPriority w:val="0"/>
  </w:style>
  <w:style w:type="paragraph" w:styleId="63">
    <w:name w:val="List"/>
    <w:basedOn w:val="1"/>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qFormat/>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qFormat/>
    <w:uiPriority w:val="0"/>
    <w:pPr>
      <w:ind w:left="100" w:leftChars="800" w:hanging="200" w:hangingChars="200"/>
    </w:pPr>
  </w:style>
  <w:style w:type="paragraph" w:styleId="68">
    <w:name w:val="List Bullet"/>
    <w:basedOn w:val="1"/>
    <w:qFormat/>
    <w:uiPriority w:val="0"/>
    <w:pPr>
      <w:numPr>
        <w:ilvl w:val="0"/>
        <w:numId w:val="1"/>
      </w:numPr>
    </w:pPr>
  </w:style>
  <w:style w:type="paragraph" w:styleId="69">
    <w:name w:val="List Bullet 2"/>
    <w:basedOn w:val="1"/>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qFormat/>
    <w:uiPriority w:val="0"/>
    <w:pPr>
      <w:numPr>
        <w:ilvl w:val="0"/>
        <w:numId w:val="4"/>
      </w:numPr>
    </w:pPr>
  </w:style>
  <w:style w:type="paragraph" w:styleId="72">
    <w:name w:val="List Bullet 5"/>
    <w:basedOn w:val="1"/>
    <w:qFormat/>
    <w:uiPriority w:val="0"/>
    <w:pPr>
      <w:numPr>
        <w:ilvl w:val="0"/>
        <w:numId w:val="5"/>
      </w:numPr>
    </w:pPr>
  </w:style>
  <w:style w:type="paragraph" w:styleId="73">
    <w:name w:val="List Continue"/>
    <w:basedOn w:val="1"/>
    <w:uiPriority w:val="0"/>
    <w:pPr>
      <w:spacing w:after="120"/>
      <w:ind w:left="420" w:leftChars="200"/>
    </w:pPr>
  </w:style>
  <w:style w:type="paragraph" w:styleId="74">
    <w:name w:val="List Continue 2"/>
    <w:basedOn w:val="1"/>
    <w:qFormat/>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uiPriority w:val="0"/>
    <w:pPr>
      <w:spacing w:after="120"/>
      <w:ind w:left="1680" w:leftChars="800"/>
    </w:pPr>
  </w:style>
  <w:style w:type="paragraph" w:styleId="77">
    <w:name w:val="List Continue 5"/>
    <w:basedOn w:val="1"/>
    <w:qFormat/>
    <w:uiPriority w:val="0"/>
    <w:pPr>
      <w:spacing w:after="120"/>
      <w:ind w:left="2100" w:leftChars="1000"/>
    </w:pPr>
  </w:style>
  <w:style w:type="paragraph" w:styleId="78">
    <w:name w:val="List Number"/>
    <w:basedOn w:val="1"/>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basedOn w:val="1"/>
    <w:qFormat/>
    <w:uiPriority w:val="0"/>
    <w:rPr>
      <w:sz w:val="24"/>
      <w:szCs w:val="24"/>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qFormat/>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qFormat/>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qFormat/>
    <w:uiPriority w:val="0"/>
    <w:pPr>
      <w:spacing w:before="120"/>
    </w:pPr>
    <w:rPr>
      <w:rFonts w:ascii="Arial" w:hAnsi="Arial" w:cs="Arial"/>
      <w:sz w:val="24"/>
      <w:szCs w:val="24"/>
    </w:rPr>
  </w:style>
  <w:style w:type="paragraph" w:styleId="142">
    <w:name w:val="toc 1"/>
    <w:basedOn w:val="1"/>
    <w:next w:val="1"/>
    <w:qFormat/>
    <w:uiPriority w:val="0"/>
  </w:style>
  <w:style w:type="paragraph" w:styleId="143">
    <w:name w:val="toc 2"/>
    <w:basedOn w:val="1"/>
    <w:next w:val="1"/>
    <w:qFormat/>
    <w:uiPriority w:val="0"/>
    <w:pPr>
      <w:ind w:left="420" w:leftChars="200"/>
    </w:pPr>
  </w:style>
  <w:style w:type="paragraph" w:styleId="144">
    <w:name w:val="toc 3"/>
    <w:basedOn w:val="1"/>
    <w:next w:val="1"/>
    <w:qFormat/>
    <w:uiPriority w:val="0"/>
    <w:pPr>
      <w:ind w:left="840" w:leftChars="400"/>
    </w:pPr>
  </w:style>
  <w:style w:type="paragraph" w:styleId="145">
    <w:name w:val="toc 4"/>
    <w:basedOn w:val="1"/>
    <w:next w:val="1"/>
    <w:qFormat/>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qFormat/>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qFormat/>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qFormat/>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qFormat/>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qFormat/>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qFormat/>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qFormat/>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qFormat/>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qFormat/>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qFormat/>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qFormat/>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qFormat/>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qFormat/>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qFormat/>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qFormat/>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qFormat/>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qFormat/>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qFormat/>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qFormat/>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qFormat/>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qFormat/>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qFormat/>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qFormat/>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qFormat/>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qFormat/>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37</TotalTime>
  <ScaleCrop>false</ScaleCrop>
  <LinksUpToDate>false</LinksUpToDate>
  <CharactersWithSpaces>0</CharactersWithSpaces>
  <Application>WPS Office_11.2.0.11380_F1E327BC-269C-435d-A152-05C5408002CA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2022-11-12T18:23:00Z</dcterms:created>
  <dc:creator>Właściciel</dc:creator>
  <cp:lastModifiedBy>WPS_1642354804</cp:lastModifiedBy>
  <dcterms:modified xsi:type="dcterms:W3CDTF">2022-11-24T23:24:52Z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2057-11.2.0.11380</vt:lpwstr>
  </property>
  <property fmtid="{D5CDD505-2E9C-101B-9397-08002B2CF9AE}" pid="3" name="ICV">
    <vt:lpwstr>B40053E9292F4F8182A653CA98471B02</vt:lpwstr>
  </property>
</Properties>
</file>