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61ED4" w14:textId="7659684E" w:rsidR="00757F33" w:rsidRPr="00F71A07" w:rsidRDefault="00757F33" w:rsidP="00F71A07">
      <w:pPr>
        <w:jc w:val="center"/>
        <w:rPr>
          <w:rFonts w:cs="Times New Roman"/>
          <w:b/>
          <w:bCs/>
          <w:noProof/>
          <w:sz w:val="32"/>
          <w:szCs w:val="32"/>
        </w:rPr>
      </w:pPr>
      <w:bookmarkStart w:id="0" w:name="_Hlk189341692"/>
      <w:r w:rsidRPr="00F71A07">
        <w:rPr>
          <w:rFonts w:cs="Times New Roman"/>
          <w:b/>
          <w:noProof/>
          <w:sz w:val="32"/>
          <w:szCs w:val="32"/>
        </w:rPr>
        <w:drawing>
          <wp:inline distT="0" distB="0" distL="0" distR="0" wp14:anchorId="5F036881" wp14:editId="20CCF38F">
            <wp:extent cx="2882900" cy="952500"/>
            <wp:effectExtent l="0" t="0" r="0" b="0"/>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78FA8C80" w14:textId="77777777" w:rsidR="00C45B05" w:rsidRPr="00F71A07" w:rsidRDefault="00C45B05" w:rsidP="00F71A07">
      <w:pPr>
        <w:jc w:val="center"/>
        <w:rPr>
          <w:rFonts w:cs="Times New Roman"/>
          <w:b/>
          <w:bCs/>
          <w:noProof/>
          <w:sz w:val="28"/>
          <w:szCs w:val="28"/>
        </w:rPr>
      </w:pPr>
    </w:p>
    <w:p w14:paraId="5D3635C1" w14:textId="3EED0575" w:rsidR="00840FA3" w:rsidRPr="00F71A07" w:rsidRDefault="00840FA3" w:rsidP="00F71A07">
      <w:pPr>
        <w:jc w:val="center"/>
        <w:rPr>
          <w:rFonts w:cs="Times New Roman"/>
          <w:b/>
          <w:bCs/>
          <w:noProof/>
          <w:sz w:val="28"/>
          <w:szCs w:val="28"/>
        </w:rPr>
      </w:pPr>
      <w:r w:rsidRPr="00F71A07">
        <w:rPr>
          <w:rFonts w:cs="Times New Roman"/>
          <w:b/>
          <w:bCs/>
          <w:noProof/>
          <w:sz w:val="28"/>
          <w:szCs w:val="28"/>
        </w:rPr>
        <w:t xml:space="preserve">Module Code: </w:t>
      </w:r>
      <w:r w:rsidR="00397704" w:rsidRPr="00F71A07">
        <w:rPr>
          <w:rFonts w:cs="Times New Roman"/>
          <w:b/>
          <w:bCs/>
          <w:noProof/>
          <w:sz w:val="28"/>
          <w:szCs w:val="28"/>
        </w:rPr>
        <w:t>BMIH6001</w:t>
      </w:r>
    </w:p>
    <w:p w14:paraId="41BDE6AA" w14:textId="3C6D7547" w:rsidR="00397704" w:rsidRPr="00F71A07" w:rsidRDefault="00840FA3" w:rsidP="00F71A07">
      <w:pPr>
        <w:jc w:val="center"/>
        <w:rPr>
          <w:rFonts w:cs="Times New Roman"/>
          <w:b/>
          <w:bCs/>
          <w:noProof/>
          <w:sz w:val="28"/>
          <w:szCs w:val="28"/>
        </w:rPr>
      </w:pPr>
      <w:r w:rsidRPr="00F71A07">
        <w:rPr>
          <w:rFonts w:cs="Times New Roman"/>
          <w:b/>
          <w:bCs/>
          <w:noProof/>
          <w:sz w:val="28"/>
          <w:szCs w:val="28"/>
        </w:rPr>
        <w:t>Module</w:t>
      </w:r>
      <w:r w:rsidR="000E0336" w:rsidRPr="00F71A07">
        <w:rPr>
          <w:rFonts w:cs="Times New Roman"/>
          <w:b/>
          <w:bCs/>
          <w:noProof/>
          <w:sz w:val="28"/>
          <w:szCs w:val="28"/>
        </w:rPr>
        <w:t xml:space="preserve"> Title</w:t>
      </w:r>
      <w:r w:rsidRPr="00F71A07">
        <w:rPr>
          <w:rFonts w:cs="Times New Roman"/>
          <w:b/>
          <w:bCs/>
          <w:noProof/>
          <w:sz w:val="28"/>
          <w:szCs w:val="28"/>
        </w:rPr>
        <w:t>: Contemporary Themes in the Hotel and Hospitality Sector</w:t>
      </w:r>
    </w:p>
    <w:p w14:paraId="139FB861" w14:textId="77777777" w:rsidR="00397704" w:rsidRPr="00F71A07" w:rsidRDefault="00397704" w:rsidP="00F71A07">
      <w:pPr>
        <w:jc w:val="center"/>
        <w:rPr>
          <w:rFonts w:cs="Times New Roman"/>
          <w:noProof/>
          <w:sz w:val="28"/>
          <w:szCs w:val="28"/>
        </w:rPr>
      </w:pPr>
    </w:p>
    <w:p w14:paraId="52CE4104" w14:textId="0104E937" w:rsidR="00397704" w:rsidRPr="00F71A07" w:rsidRDefault="00397704" w:rsidP="00F71A07">
      <w:pPr>
        <w:jc w:val="center"/>
        <w:rPr>
          <w:rFonts w:cs="Times New Roman"/>
          <w:b/>
          <w:bCs/>
          <w:i/>
          <w:iCs/>
          <w:noProof/>
          <w:sz w:val="28"/>
          <w:szCs w:val="28"/>
        </w:rPr>
      </w:pPr>
      <w:r w:rsidRPr="00F71A07">
        <w:rPr>
          <w:rFonts w:cs="Times New Roman"/>
          <w:b/>
          <w:bCs/>
          <w:i/>
          <w:iCs/>
          <w:noProof/>
          <w:sz w:val="28"/>
          <w:szCs w:val="28"/>
        </w:rPr>
        <w:t>Research Title: “Advancing Sustainability in Hospitality: Waste Management and Circular Economy Strategies for Zero-Waste Hotel Operations”</w:t>
      </w:r>
    </w:p>
    <w:p w14:paraId="28017041" w14:textId="77777777" w:rsidR="00397704" w:rsidRPr="00F71A07" w:rsidRDefault="00397704" w:rsidP="00F71A07">
      <w:pPr>
        <w:jc w:val="center"/>
        <w:rPr>
          <w:rFonts w:cs="Times New Roman"/>
          <w:noProof/>
          <w:sz w:val="28"/>
          <w:szCs w:val="28"/>
        </w:rPr>
      </w:pPr>
    </w:p>
    <w:p w14:paraId="670409D8" w14:textId="77777777" w:rsidR="00757F33" w:rsidRPr="00F71A07" w:rsidRDefault="00757F33" w:rsidP="00F71A07">
      <w:pPr>
        <w:jc w:val="center"/>
        <w:rPr>
          <w:rFonts w:cs="Times New Roman"/>
          <w:b/>
          <w:bCs/>
          <w:noProof/>
          <w:sz w:val="28"/>
          <w:szCs w:val="28"/>
        </w:rPr>
      </w:pPr>
      <w:r w:rsidRPr="00F71A07">
        <w:rPr>
          <w:rFonts w:cs="Times New Roman"/>
          <w:b/>
          <w:bCs/>
          <w:noProof/>
          <w:sz w:val="28"/>
          <w:szCs w:val="28"/>
        </w:rPr>
        <w:t>Lecturer: Dr Ernest Balutie Wavei</w:t>
      </w:r>
    </w:p>
    <w:p w14:paraId="20FA9690" w14:textId="77777777" w:rsidR="00757F33" w:rsidRPr="00F71A07" w:rsidRDefault="00757F33" w:rsidP="00F71A07">
      <w:pPr>
        <w:jc w:val="center"/>
        <w:rPr>
          <w:rFonts w:cs="Times New Roman"/>
          <w:b/>
          <w:bCs/>
          <w:noProof/>
          <w:sz w:val="28"/>
          <w:szCs w:val="28"/>
        </w:rPr>
      </w:pPr>
      <w:r w:rsidRPr="00F71A07">
        <w:rPr>
          <w:rFonts w:cs="Times New Roman"/>
          <w:b/>
          <w:bCs/>
          <w:noProof/>
          <w:sz w:val="28"/>
          <w:szCs w:val="28"/>
        </w:rPr>
        <w:t>Natalie Brailsford</w:t>
      </w:r>
    </w:p>
    <w:p w14:paraId="3650E8DC" w14:textId="486EC5CA" w:rsidR="00757F33" w:rsidRPr="00F71A07" w:rsidRDefault="00757F33" w:rsidP="00F71A07">
      <w:pPr>
        <w:jc w:val="center"/>
        <w:rPr>
          <w:rFonts w:cs="Times New Roman"/>
          <w:b/>
          <w:bCs/>
          <w:noProof/>
          <w:sz w:val="28"/>
          <w:szCs w:val="28"/>
        </w:rPr>
      </w:pPr>
      <w:r w:rsidRPr="00F71A07">
        <w:rPr>
          <w:rFonts w:cs="Times New Roman"/>
          <w:b/>
          <w:bCs/>
          <w:noProof/>
          <w:sz w:val="28"/>
          <w:szCs w:val="28"/>
        </w:rPr>
        <w:t>Ben Chong</w:t>
      </w:r>
    </w:p>
    <w:p w14:paraId="4E6609AE" w14:textId="77777777" w:rsidR="007F5EFF" w:rsidRPr="00F71A07" w:rsidRDefault="007F5EFF" w:rsidP="00F71A07">
      <w:pPr>
        <w:rPr>
          <w:rFonts w:cs="Times New Roman"/>
          <w:noProof/>
          <w:sz w:val="28"/>
          <w:szCs w:val="28"/>
        </w:rPr>
      </w:pPr>
    </w:p>
    <w:p w14:paraId="5717C5EE" w14:textId="77777777" w:rsidR="007F5EFF" w:rsidRPr="00F71A07" w:rsidRDefault="007F5EFF" w:rsidP="00F71A07">
      <w:pPr>
        <w:jc w:val="center"/>
        <w:rPr>
          <w:rFonts w:cs="Times New Roman"/>
          <w:noProof/>
          <w:sz w:val="28"/>
          <w:szCs w:val="28"/>
        </w:rPr>
      </w:pPr>
    </w:p>
    <w:p w14:paraId="05CA8D5A" w14:textId="77777777" w:rsidR="00757F33" w:rsidRPr="00F71A07" w:rsidRDefault="00757F33" w:rsidP="00F71A07">
      <w:pPr>
        <w:jc w:val="center"/>
        <w:rPr>
          <w:rFonts w:cs="Times New Roman"/>
          <w:b/>
          <w:bCs/>
          <w:noProof/>
          <w:sz w:val="28"/>
          <w:szCs w:val="28"/>
        </w:rPr>
      </w:pPr>
      <w:r w:rsidRPr="00F71A07">
        <w:rPr>
          <w:rFonts w:cs="Times New Roman"/>
          <w:b/>
          <w:bCs/>
          <w:noProof/>
          <w:sz w:val="28"/>
          <w:szCs w:val="28"/>
        </w:rPr>
        <w:t>Student Name: Dillu Miah</w:t>
      </w:r>
    </w:p>
    <w:p w14:paraId="469D6CEB" w14:textId="77777777" w:rsidR="00757F33" w:rsidRPr="00F71A07" w:rsidRDefault="00757F33" w:rsidP="00F71A07">
      <w:pPr>
        <w:jc w:val="center"/>
        <w:rPr>
          <w:rFonts w:cs="Times New Roman"/>
          <w:b/>
          <w:bCs/>
          <w:noProof/>
          <w:sz w:val="28"/>
          <w:szCs w:val="28"/>
        </w:rPr>
      </w:pPr>
      <w:r w:rsidRPr="00F71A07">
        <w:rPr>
          <w:rFonts w:cs="Times New Roman"/>
          <w:b/>
          <w:bCs/>
          <w:noProof/>
          <w:sz w:val="28"/>
          <w:szCs w:val="28"/>
        </w:rPr>
        <w:t>Student ID: 2118854</w:t>
      </w:r>
    </w:p>
    <w:p w14:paraId="20684831" w14:textId="22DC2D4E" w:rsidR="00757F33" w:rsidRPr="00F71A07" w:rsidRDefault="00757F33" w:rsidP="00F71A07">
      <w:pPr>
        <w:jc w:val="center"/>
        <w:rPr>
          <w:rFonts w:cs="Times New Roman"/>
          <w:b/>
          <w:bCs/>
          <w:noProof/>
          <w:sz w:val="28"/>
          <w:szCs w:val="28"/>
        </w:rPr>
      </w:pPr>
      <w:r w:rsidRPr="00F71A07">
        <w:rPr>
          <w:rFonts w:cs="Times New Roman"/>
          <w:b/>
          <w:bCs/>
          <w:noProof/>
          <w:sz w:val="28"/>
          <w:szCs w:val="28"/>
        </w:rPr>
        <w:t xml:space="preserve">Word Count: </w:t>
      </w:r>
      <w:r w:rsidR="00A128AD" w:rsidRPr="00F71A07">
        <w:rPr>
          <w:rFonts w:cs="Times New Roman"/>
          <w:b/>
          <w:bCs/>
          <w:noProof/>
          <w:sz w:val="28"/>
          <w:szCs w:val="28"/>
        </w:rPr>
        <w:t>2687</w:t>
      </w:r>
    </w:p>
    <w:p w14:paraId="4DA118E9" w14:textId="77777777" w:rsidR="00397704" w:rsidRPr="00F71A07" w:rsidRDefault="00397704" w:rsidP="00F71A07">
      <w:pPr>
        <w:jc w:val="left"/>
        <w:rPr>
          <w:rFonts w:cs="Times New Roman"/>
          <w:noProof/>
        </w:rPr>
      </w:pPr>
    </w:p>
    <w:p w14:paraId="3845700C" w14:textId="77777777" w:rsidR="00397704" w:rsidRPr="00F71A07" w:rsidRDefault="00397704" w:rsidP="00F71A07">
      <w:pPr>
        <w:jc w:val="left"/>
        <w:rPr>
          <w:rFonts w:cs="Times New Roman"/>
          <w:noProof/>
        </w:rPr>
      </w:pPr>
    </w:p>
    <w:p w14:paraId="6D7B90BB" w14:textId="5CA6A80E" w:rsidR="00701507" w:rsidRPr="00F71A07" w:rsidRDefault="00701507" w:rsidP="00F71A07">
      <w:pPr>
        <w:jc w:val="left"/>
        <w:rPr>
          <w:rFonts w:cs="Times New Roman"/>
          <w:noProof/>
        </w:rPr>
      </w:pPr>
    </w:p>
    <w:p w14:paraId="7B02452F" w14:textId="77777777" w:rsidR="00757F33" w:rsidRPr="00F71A07" w:rsidRDefault="00757F33" w:rsidP="00F71A07">
      <w:pPr>
        <w:jc w:val="left"/>
        <w:rPr>
          <w:rFonts w:eastAsiaTheme="majorEastAsia" w:cs="Times New Roman"/>
          <w:b/>
          <w:noProof/>
          <w:sz w:val="32"/>
          <w:szCs w:val="32"/>
        </w:rPr>
      </w:pPr>
      <w:r w:rsidRPr="00F71A07">
        <w:rPr>
          <w:rFonts w:cs="Times New Roman"/>
          <w:noProof/>
        </w:rPr>
        <w:br w:type="page"/>
      </w:r>
    </w:p>
    <w:p w14:paraId="46F0C1F7" w14:textId="7E757479" w:rsidR="004E2E97" w:rsidRPr="00F71A07" w:rsidRDefault="004E2E97" w:rsidP="00F71A07">
      <w:pPr>
        <w:pStyle w:val="Heading1"/>
        <w:rPr>
          <w:rFonts w:cs="Times New Roman"/>
          <w:noProof/>
        </w:rPr>
      </w:pPr>
      <w:bookmarkStart w:id="1" w:name="_Toc189422220"/>
      <w:r w:rsidRPr="00F71A07">
        <w:rPr>
          <w:rFonts w:cs="Times New Roman"/>
          <w:noProof/>
        </w:rPr>
        <w:lastRenderedPageBreak/>
        <w:t>Abstract</w:t>
      </w:r>
      <w:bookmarkEnd w:id="1"/>
    </w:p>
    <w:p w14:paraId="3EAE1C5C" w14:textId="77777777" w:rsidR="00157BA8" w:rsidRPr="00F71A07" w:rsidRDefault="00157BA8" w:rsidP="00F71A07">
      <w:pPr>
        <w:rPr>
          <w:rFonts w:cs="Times New Roman"/>
          <w:noProof/>
        </w:rPr>
      </w:pPr>
      <w:r w:rsidRPr="00F71A07">
        <w:rPr>
          <w:rFonts w:cs="Times New Roman"/>
          <w:noProof/>
        </w:rPr>
        <w:t>Textile, food, and single-use plastic waste generated by hotels raises serious economic and environmental concerns. Hotels are implementing circular economy techniques and waste management to improve efficiency while reducing their environmental effect. This study looks at how zero-waste programs, circular economy techniques, and hospitality refuse management can help hotels improve their sustainability.</w:t>
      </w:r>
    </w:p>
    <w:p w14:paraId="3882DCD3" w14:textId="77777777" w:rsidR="00157BA8" w:rsidRPr="00F71A07" w:rsidRDefault="00157BA8" w:rsidP="00F71A07">
      <w:pPr>
        <w:rPr>
          <w:rFonts w:cs="Times New Roman"/>
          <w:noProof/>
        </w:rPr>
      </w:pPr>
      <w:r w:rsidRPr="00F71A07">
        <w:rPr>
          <w:rFonts w:cs="Times New Roman"/>
          <w:noProof/>
        </w:rPr>
        <w:t>To achieve sustainable and resource-efficient hotel operations, the research objectives include incorporating circular economy principles, implementing zero-waste practices like decomposition, waste segregation, and upcycling, and reducing food waste through AI-powered inventory management and donation programs. The literature-based approach examines academic magazines, industry papers, government laws, and hotel sustainability programs. The political, economic, social, technological, legal, and environmental elements of hospitality waste management are examined using the PESTLE framework. Case studies highlight the sustainability problems that smaller hotels confront, as well as Marriott, Hilton, Accor, and Six Senses' successful zero-waste initiatives.</w:t>
      </w:r>
    </w:p>
    <w:p w14:paraId="0F5E579B" w14:textId="77777777" w:rsidR="00157BA8" w:rsidRPr="00F71A07" w:rsidRDefault="00157BA8" w:rsidP="00F71A07">
      <w:pPr>
        <w:rPr>
          <w:rFonts w:cs="Times New Roman"/>
          <w:noProof/>
        </w:rPr>
      </w:pPr>
      <w:r w:rsidRPr="00F71A07">
        <w:rPr>
          <w:rFonts w:cs="Times New Roman"/>
          <w:noProof/>
        </w:rPr>
        <w:t>Hotels that employ systematic waste management systems save 20-30% on operational costs while also improving brand reputation and client loyalty. Greenwashing, regulatory disparities, and financial limits remain major challenges. The report promotes the use of government incentives, industry-wide waste auditing, and consumer participation in sustainable hospitality programs.</w:t>
      </w:r>
    </w:p>
    <w:p w14:paraId="39E435EF" w14:textId="49361DFC" w:rsidR="00701507" w:rsidRPr="00F71A07" w:rsidRDefault="00157BA8" w:rsidP="00F71A07">
      <w:pPr>
        <w:rPr>
          <w:rFonts w:cs="Times New Roman"/>
          <w:noProof/>
        </w:rPr>
      </w:pPr>
      <w:r w:rsidRPr="00F71A07">
        <w:rPr>
          <w:rFonts w:cs="Times New Roman"/>
          <w:noProof/>
        </w:rPr>
        <w:t>Sustainability in the hospitality business is no longer a choice. Hotels may achieve zero-waste operations by cooperating with the industry, leveraging technology, and enacting legislative changes. This will assure financial stability, consumer trust, and compliance with global environmental goals.</w:t>
      </w:r>
      <w:r w:rsidR="00701507" w:rsidRPr="00F71A07">
        <w:rPr>
          <w:rFonts w:cs="Times New Roman"/>
          <w:noProof/>
        </w:rPr>
        <w:br w:type="page"/>
      </w:r>
    </w:p>
    <w:sdt>
      <w:sdtPr>
        <w:rPr>
          <w:rFonts w:ascii="Times New Roman" w:eastAsiaTheme="minorHAnsi" w:hAnsi="Times New Roman" w:cs="Times New Roman"/>
          <w:noProof/>
          <w:color w:val="auto"/>
          <w:sz w:val="24"/>
          <w:szCs w:val="24"/>
          <w:lang w:eastAsia="en-US"/>
        </w:rPr>
        <w:id w:val="699362990"/>
        <w:docPartObj>
          <w:docPartGallery w:val="Table of Contents"/>
          <w:docPartUnique/>
        </w:docPartObj>
      </w:sdtPr>
      <w:sdtEndPr>
        <w:rPr>
          <w:b/>
          <w:bCs/>
        </w:rPr>
      </w:sdtEndPr>
      <w:sdtContent>
        <w:p w14:paraId="2DBE63F6" w14:textId="102920B1" w:rsidR="000A54A9" w:rsidRPr="00F71A07" w:rsidRDefault="000A54A9" w:rsidP="00F71A07">
          <w:pPr>
            <w:pStyle w:val="TOCHeading"/>
            <w:spacing w:line="360" w:lineRule="auto"/>
            <w:rPr>
              <w:rFonts w:ascii="Times New Roman" w:hAnsi="Times New Roman" w:cs="Times New Roman"/>
              <w:noProof/>
            </w:rPr>
          </w:pPr>
          <w:r w:rsidRPr="00F71A07">
            <w:rPr>
              <w:rFonts w:ascii="Times New Roman" w:hAnsi="Times New Roman" w:cs="Times New Roman"/>
              <w:noProof/>
            </w:rPr>
            <w:t>Table of Contents</w:t>
          </w:r>
        </w:p>
        <w:p w14:paraId="33A47A80" w14:textId="5180CED1" w:rsidR="00956FF9" w:rsidRPr="00F71A07" w:rsidRDefault="000A54A9" w:rsidP="00F71A07">
          <w:pPr>
            <w:pStyle w:val="TOC1"/>
            <w:tabs>
              <w:tab w:val="right" w:leader="dot" w:pos="9016"/>
            </w:tabs>
            <w:rPr>
              <w:rFonts w:eastAsiaTheme="minorEastAsia" w:cs="Times New Roman"/>
              <w:noProof/>
              <w:kern w:val="2"/>
              <w:lang w:eastAsia="en-GB"/>
              <w14:ligatures w14:val="standardContextual"/>
            </w:rPr>
          </w:pPr>
          <w:r w:rsidRPr="00F71A07">
            <w:rPr>
              <w:rFonts w:cs="Times New Roman"/>
              <w:noProof/>
            </w:rPr>
            <w:fldChar w:fldCharType="begin"/>
          </w:r>
          <w:r w:rsidRPr="00F71A07">
            <w:rPr>
              <w:rFonts w:cs="Times New Roman"/>
              <w:noProof/>
            </w:rPr>
            <w:instrText xml:space="preserve"> TOC \o "1-3" \h \z \u </w:instrText>
          </w:r>
          <w:r w:rsidRPr="00F71A07">
            <w:rPr>
              <w:rFonts w:cs="Times New Roman"/>
              <w:noProof/>
            </w:rPr>
            <w:fldChar w:fldCharType="separate"/>
          </w:r>
          <w:hyperlink w:anchor="_Toc189422220" w:history="1">
            <w:r w:rsidR="00956FF9" w:rsidRPr="00F71A07">
              <w:rPr>
                <w:rStyle w:val="Hyperlink"/>
                <w:rFonts w:cs="Times New Roman"/>
                <w:noProof/>
              </w:rPr>
              <w:t>Abstract</w:t>
            </w:r>
            <w:r w:rsidR="00956FF9" w:rsidRPr="00F71A07">
              <w:rPr>
                <w:rFonts w:cs="Times New Roman"/>
                <w:noProof/>
                <w:webHidden/>
              </w:rPr>
              <w:tab/>
            </w:r>
            <w:r w:rsidR="00956FF9" w:rsidRPr="00F71A07">
              <w:rPr>
                <w:rFonts w:cs="Times New Roman"/>
                <w:noProof/>
                <w:webHidden/>
              </w:rPr>
              <w:fldChar w:fldCharType="begin"/>
            </w:r>
            <w:r w:rsidR="00956FF9" w:rsidRPr="00F71A07">
              <w:rPr>
                <w:rFonts w:cs="Times New Roman"/>
                <w:noProof/>
                <w:webHidden/>
              </w:rPr>
              <w:instrText xml:space="preserve"> PAGEREF _Toc189422220 \h </w:instrText>
            </w:r>
            <w:r w:rsidR="00956FF9" w:rsidRPr="00F71A07">
              <w:rPr>
                <w:rFonts w:cs="Times New Roman"/>
                <w:noProof/>
                <w:webHidden/>
              </w:rPr>
            </w:r>
            <w:r w:rsidR="00956FF9" w:rsidRPr="00F71A07">
              <w:rPr>
                <w:rFonts w:cs="Times New Roman"/>
                <w:noProof/>
                <w:webHidden/>
              </w:rPr>
              <w:fldChar w:fldCharType="separate"/>
            </w:r>
            <w:r w:rsidR="00956FF9" w:rsidRPr="00F71A07">
              <w:rPr>
                <w:rFonts w:cs="Times New Roman"/>
                <w:noProof/>
                <w:webHidden/>
              </w:rPr>
              <w:t>2</w:t>
            </w:r>
            <w:r w:rsidR="00956FF9" w:rsidRPr="00F71A07">
              <w:rPr>
                <w:rFonts w:cs="Times New Roman"/>
                <w:noProof/>
                <w:webHidden/>
              </w:rPr>
              <w:fldChar w:fldCharType="end"/>
            </w:r>
          </w:hyperlink>
        </w:p>
        <w:p w14:paraId="47FC3FE4" w14:textId="35EE2BEF"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21" w:history="1">
            <w:r w:rsidRPr="00F71A07">
              <w:rPr>
                <w:rStyle w:val="Hyperlink"/>
                <w:rFonts w:cs="Times New Roman"/>
                <w:noProof/>
              </w:rPr>
              <w:t>1. Introduction</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_Toc189422221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4</w:t>
            </w:r>
            <w:r w:rsidRPr="00F71A07">
              <w:rPr>
                <w:rFonts w:cs="Times New Roman"/>
                <w:noProof/>
                <w:webHidden/>
              </w:rPr>
              <w:fldChar w:fldCharType="end"/>
            </w:r>
          </w:hyperlink>
        </w:p>
        <w:p w14:paraId="332BDAEE" w14:textId="4E6A3929"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22" w:history="1">
            <w:r w:rsidRPr="00F71A07">
              <w:rPr>
                <w:rStyle w:val="Hyperlink"/>
                <w:rFonts w:cs="Times New Roman"/>
                <w:noProof/>
              </w:rPr>
              <w:t xml:space="preserve">2. </w:t>
            </w:r>
            <w:r w:rsidRPr="00F71A07">
              <w:rPr>
                <w:rStyle w:val="Hyperlink"/>
                <w:rFonts w:eastAsia="Times New Roman" w:cs="Times New Roman"/>
                <w:noProof/>
                <w:lang w:eastAsia="en-GB"/>
              </w:rPr>
              <w:t>Literature Review</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_Toc189422222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4</w:t>
            </w:r>
            <w:r w:rsidRPr="00F71A07">
              <w:rPr>
                <w:rFonts w:cs="Times New Roman"/>
                <w:noProof/>
                <w:webHidden/>
              </w:rPr>
              <w:fldChar w:fldCharType="end"/>
            </w:r>
          </w:hyperlink>
        </w:p>
        <w:p w14:paraId="347AB2C8" w14:textId="719F2F61"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3" w:history="1">
            <w:r w:rsidRPr="00F71A07">
              <w:rPr>
                <w:rStyle w:val="Hyperlink"/>
                <w:rFonts w:eastAsia="Times New Roman" w:cs="Times New Roman"/>
                <w:noProof/>
                <w:lang w:eastAsia="en-GB"/>
              </w:rPr>
              <w:t>2.1 The Scale of Waste in the Hospitality Industry</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_Toc189422223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4</w:t>
            </w:r>
            <w:r w:rsidRPr="00F71A07">
              <w:rPr>
                <w:rFonts w:cs="Times New Roman"/>
                <w:noProof/>
                <w:webHidden/>
              </w:rPr>
              <w:fldChar w:fldCharType="end"/>
            </w:r>
          </w:hyperlink>
        </w:p>
        <w:p w14:paraId="62295FB9" w14:textId="5BCD98D2"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4" w:history="1">
            <w:r w:rsidRPr="00F71A07">
              <w:rPr>
                <w:rStyle w:val="Hyperlink"/>
                <w:rFonts w:eastAsia="Times New Roman" w:cs="Times New Roman"/>
                <w:noProof/>
                <w:lang w:eastAsia="en-GB"/>
              </w:rPr>
              <w:t>2.2 Circular Economy Principles in Hospitality</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_Toc189422224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5</w:t>
            </w:r>
            <w:r w:rsidRPr="00F71A07">
              <w:rPr>
                <w:rFonts w:cs="Times New Roman"/>
                <w:noProof/>
                <w:webHidden/>
              </w:rPr>
              <w:fldChar w:fldCharType="end"/>
            </w:r>
          </w:hyperlink>
        </w:p>
        <w:p w14:paraId="684A1778" w14:textId="57A4B9B3"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5" w:history="1">
            <w:r w:rsidRPr="00F71A07">
              <w:rPr>
                <w:rStyle w:val="Hyperlink"/>
                <w:rFonts w:eastAsia="Times New Roman" w:cs="Times New Roman"/>
                <w:noProof/>
                <w:lang w:eastAsia="en-GB"/>
              </w:rPr>
              <w:t>2.3 Strategies for Reducing Food Waste in Hotel Restaurants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_Toc189422225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5</w:t>
            </w:r>
            <w:r w:rsidRPr="00F71A07">
              <w:rPr>
                <w:rFonts w:cs="Times New Roman"/>
                <w:noProof/>
                <w:webHidden/>
              </w:rPr>
              <w:fldChar w:fldCharType="end"/>
            </w:r>
          </w:hyperlink>
        </w:p>
        <w:p w14:paraId="7D733992" w14:textId="766B981A"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6" w:history="1">
            <w:r w:rsidRPr="00F71A07">
              <w:rPr>
                <w:rStyle w:val="Hyperlink"/>
                <w:rFonts w:eastAsia="Times New Roman" w:cs="Times New Roman"/>
                <w:noProof/>
                <w:lang w:eastAsia="en-GB"/>
              </w:rPr>
              <w:t>2.4 Implementing Zero-Waste Practices in Hotel Operations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_Toc189422226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6</w:t>
            </w:r>
            <w:r w:rsidRPr="00F71A07">
              <w:rPr>
                <w:rFonts w:cs="Times New Roman"/>
                <w:noProof/>
                <w:webHidden/>
              </w:rPr>
              <w:fldChar w:fldCharType="end"/>
            </w:r>
          </w:hyperlink>
        </w:p>
        <w:p w14:paraId="48749438" w14:textId="160F62A6"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27" w:history="1">
            <w:r w:rsidRPr="00F71A07">
              <w:rPr>
                <w:rStyle w:val="Hyperlink"/>
                <w:rFonts w:cs="Times New Roman"/>
                <w:noProof/>
              </w:rPr>
              <w:t>3. Methodology</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_Toc189422227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7</w:t>
            </w:r>
            <w:r w:rsidRPr="00F71A07">
              <w:rPr>
                <w:rFonts w:cs="Times New Roman"/>
                <w:noProof/>
                <w:webHidden/>
              </w:rPr>
              <w:fldChar w:fldCharType="end"/>
            </w:r>
          </w:hyperlink>
        </w:p>
        <w:p w14:paraId="3B66FDB0" w14:textId="4746ECB1"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8" w:history="1">
            <w:r w:rsidRPr="00F71A07">
              <w:rPr>
                <w:rStyle w:val="Hyperlink"/>
                <w:rFonts w:cs="Times New Roman"/>
                <w:noProof/>
              </w:rPr>
              <w:t>3.1 Research Approach</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_Toc189422228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7</w:t>
            </w:r>
            <w:r w:rsidRPr="00F71A07">
              <w:rPr>
                <w:rFonts w:cs="Times New Roman"/>
                <w:noProof/>
                <w:webHidden/>
              </w:rPr>
              <w:fldChar w:fldCharType="end"/>
            </w:r>
          </w:hyperlink>
        </w:p>
        <w:p w14:paraId="791F1E81" w14:textId="26AB3100"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29" w:history="1">
            <w:r w:rsidRPr="00F71A07">
              <w:rPr>
                <w:rStyle w:val="Hyperlink"/>
                <w:rFonts w:cs="Times New Roman"/>
                <w:noProof/>
              </w:rPr>
              <w:t>3.2 Data Sources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_Toc189422229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7</w:t>
            </w:r>
            <w:r w:rsidRPr="00F71A07">
              <w:rPr>
                <w:rFonts w:cs="Times New Roman"/>
                <w:noProof/>
                <w:webHidden/>
              </w:rPr>
              <w:fldChar w:fldCharType="end"/>
            </w:r>
          </w:hyperlink>
        </w:p>
        <w:p w14:paraId="39E22556" w14:textId="4AC500EC"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30" w:history="1">
            <w:r w:rsidRPr="00F71A07">
              <w:rPr>
                <w:rStyle w:val="Hyperlink"/>
                <w:rFonts w:cs="Times New Roman"/>
                <w:noProof/>
              </w:rPr>
              <w:t>3.3 Analytical Framework: Application of PESTLE Analysis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_Toc189422230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7</w:t>
            </w:r>
            <w:r w:rsidRPr="00F71A07">
              <w:rPr>
                <w:rFonts w:cs="Times New Roman"/>
                <w:noProof/>
                <w:webHidden/>
              </w:rPr>
              <w:fldChar w:fldCharType="end"/>
            </w:r>
          </w:hyperlink>
        </w:p>
        <w:p w14:paraId="33BF326E" w14:textId="73069480"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31" w:history="1">
            <w:r w:rsidRPr="00F71A07">
              <w:rPr>
                <w:rStyle w:val="Hyperlink"/>
                <w:rFonts w:cs="Times New Roman"/>
                <w:noProof/>
              </w:rPr>
              <w:t>4. Theme Impact Analysis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_Toc189422231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8</w:t>
            </w:r>
            <w:r w:rsidRPr="00F71A07">
              <w:rPr>
                <w:rFonts w:cs="Times New Roman"/>
                <w:noProof/>
                <w:webHidden/>
              </w:rPr>
              <w:fldChar w:fldCharType="end"/>
            </w:r>
          </w:hyperlink>
        </w:p>
        <w:p w14:paraId="48FE65CD" w14:textId="56B4A698" w:rsidR="00956FF9" w:rsidRPr="00F71A07" w:rsidRDefault="00956FF9" w:rsidP="00F71A07">
          <w:pPr>
            <w:pStyle w:val="TOC2"/>
            <w:tabs>
              <w:tab w:val="right" w:leader="dot" w:pos="9016"/>
            </w:tabs>
            <w:rPr>
              <w:rFonts w:eastAsiaTheme="minorEastAsia" w:cs="Times New Roman"/>
              <w:noProof/>
              <w:kern w:val="2"/>
              <w:lang w:eastAsia="en-GB"/>
              <w14:ligatures w14:val="standardContextual"/>
            </w:rPr>
          </w:pPr>
          <w:hyperlink w:anchor="_Toc189422232" w:history="1">
            <w:r w:rsidRPr="00F71A07">
              <w:rPr>
                <w:rStyle w:val="Hyperlink"/>
                <w:rFonts w:cs="Times New Roman"/>
                <w:noProof/>
              </w:rPr>
              <w:t>4.1 PESTLE Analysis of Waste Management in Hospitality</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_Toc189422232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8</w:t>
            </w:r>
            <w:r w:rsidRPr="00F71A07">
              <w:rPr>
                <w:rFonts w:cs="Times New Roman"/>
                <w:noProof/>
                <w:webHidden/>
              </w:rPr>
              <w:fldChar w:fldCharType="end"/>
            </w:r>
          </w:hyperlink>
        </w:p>
        <w:p w14:paraId="62943A05" w14:textId="5BDE758E"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3" w:history="1">
            <w:r w:rsidRPr="00F71A07">
              <w:rPr>
                <w:rStyle w:val="Hyperlink"/>
                <w:rFonts w:cs="Times New Roman"/>
                <w:noProof/>
              </w:rPr>
              <w:t>4.1.1 Political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_Toc189422233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8</w:t>
            </w:r>
            <w:r w:rsidRPr="00F71A07">
              <w:rPr>
                <w:rFonts w:cs="Times New Roman"/>
                <w:noProof/>
                <w:webHidden/>
              </w:rPr>
              <w:fldChar w:fldCharType="end"/>
            </w:r>
          </w:hyperlink>
        </w:p>
        <w:p w14:paraId="6B82B5C5" w14:textId="3F53E6F5"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4" w:history="1">
            <w:r w:rsidRPr="00F71A07">
              <w:rPr>
                <w:rStyle w:val="Hyperlink"/>
                <w:rFonts w:cs="Times New Roman"/>
                <w:noProof/>
              </w:rPr>
              <w:t>4.1.2 Economic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_Toc189422234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8</w:t>
            </w:r>
            <w:r w:rsidRPr="00F71A07">
              <w:rPr>
                <w:rFonts w:cs="Times New Roman"/>
                <w:noProof/>
                <w:webHidden/>
              </w:rPr>
              <w:fldChar w:fldCharType="end"/>
            </w:r>
          </w:hyperlink>
        </w:p>
        <w:p w14:paraId="10842C3F" w14:textId="41C429D8"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5" w:history="1">
            <w:r w:rsidRPr="00F71A07">
              <w:rPr>
                <w:rStyle w:val="Hyperlink"/>
                <w:rFonts w:cs="Times New Roman"/>
                <w:noProof/>
              </w:rPr>
              <w:t>4.1.3 Social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_Toc189422235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8</w:t>
            </w:r>
            <w:r w:rsidRPr="00F71A07">
              <w:rPr>
                <w:rFonts w:cs="Times New Roman"/>
                <w:noProof/>
                <w:webHidden/>
              </w:rPr>
              <w:fldChar w:fldCharType="end"/>
            </w:r>
          </w:hyperlink>
        </w:p>
        <w:p w14:paraId="39A23318" w14:textId="5D1568BA"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6" w:history="1">
            <w:r w:rsidRPr="00F71A07">
              <w:rPr>
                <w:rStyle w:val="Hyperlink"/>
                <w:rFonts w:cs="Times New Roman"/>
                <w:noProof/>
              </w:rPr>
              <w:t>4.1.4 Technological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_Toc189422236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9</w:t>
            </w:r>
            <w:r w:rsidRPr="00F71A07">
              <w:rPr>
                <w:rFonts w:cs="Times New Roman"/>
                <w:noProof/>
                <w:webHidden/>
              </w:rPr>
              <w:fldChar w:fldCharType="end"/>
            </w:r>
          </w:hyperlink>
        </w:p>
        <w:p w14:paraId="1E8F0121" w14:textId="44C1F56A"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7" w:history="1">
            <w:r w:rsidRPr="00F71A07">
              <w:rPr>
                <w:rStyle w:val="Hyperlink"/>
                <w:rFonts w:cs="Times New Roman"/>
                <w:noProof/>
              </w:rPr>
              <w:t>4.1.5 Legal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_Toc189422237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9</w:t>
            </w:r>
            <w:r w:rsidRPr="00F71A07">
              <w:rPr>
                <w:rFonts w:cs="Times New Roman"/>
                <w:noProof/>
                <w:webHidden/>
              </w:rPr>
              <w:fldChar w:fldCharType="end"/>
            </w:r>
          </w:hyperlink>
        </w:p>
        <w:p w14:paraId="6F2B078E" w14:textId="1853E87C" w:rsidR="00956FF9" w:rsidRPr="00F71A07" w:rsidRDefault="00956FF9" w:rsidP="00F71A07">
          <w:pPr>
            <w:pStyle w:val="TOC3"/>
            <w:tabs>
              <w:tab w:val="right" w:leader="dot" w:pos="9016"/>
            </w:tabs>
            <w:rPr>
              <w:rFonts w:eastAsiaTheme="minorEastAsia" w:cs="Times New Roman"/>
              <w:noProof/>
              <w:kern w:val="2"/>
              <w:lang w:eastAsia="en-GB"/>
              <w14:ligatures w14:val="standardContextual"/>
            </w:rPr>
          </w:pPr>
          <w:hyperlink w:anchor="_Toc189422238" w:history="1">
            <w:r w:rsidRPr="00F71A07">
              <w:rPr>
                <w:rStyle w:val="Hyperlink"/>
                <w:rFonts w:cs="Times New Roman"/>
                <w:noProof/>
              </w:rPr>
              <w:t>4.1.6 Environmental Factors</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_Toc189422238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10</w:t>
            </w:r>
            <w:r w:rsidRPr="00F71A07">
              <w:rPr>
                <w:rFonts w:cs="Times New Roman"/>
                <w:noProof/>
                <w:webHidden/>
              </w:rPr>
              <w:fldChar w:fldCharType="end"/>
            </w:r>
          </w:hyperlink>
        </w:p>
        <w:p w14:paraId="60CDD81B" w14:textId="71BA64F1"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39" w:history="1">
            <w:r w:rsidRPr="00F71A07">
              <w:rPr>
                <w:rStyle w:val="Hyperlink"/>
                <w:rFonts w:cs="Times New Roman"/>
                <w:noProof/>
              </w:rPr>
              <w:t>5. Conclusion</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_Toc189422239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10</w:t>
            </w:r>
            <w:r w:rsidRPr="00F71A07">
              <w:rPr>
                <w:rFonts w:cs="Times New Roman"/>
                <w:noProof/>
                <w:webHidden/>
              </w:rPr>
              <w:fldChar w:fldCharType="end"/>
            </w:r>
          </w:hyperlink>
        </w:p>
        <w:p w14:paraId="53E87805" w14:textId="23235189"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40" w:history="1">
            <w:r w:rsidRPr="00F71A07">
              <w:rPr>
                <w:rStyle w:val="Hyperlink"/>
                <w:rFonts w:cs="Times New Roman"/>
                <w:noProof/>
              </w:rPr>
              <w:t>6. Recommendation</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_Toc189422240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11</w:t>
            </w:r>
            <w:r w:rsidRPr="00F71A07">
              <w:rPr>
                <w:rFonts w:cs="Times New Roman"/>
                <w:noProof/>
                <w:webHidden/>
              </w:rPr>
              <w:fldChar w:fldCharType="end"/>
            </w:r>
          </w:hyperlink>
        </w:p>
        <w:p w14:paraId="18514D75" w14:textId="7CE5C090" w:rsidR="00956FF9" w:rsidRPr="00F71A07" w:rsidRDefault="00956FF9" w:rsidP="00F71A07">
          <w:pPr>
            <w:pStyle w:val="TOC1"/>
            <w:tabs>
              <w:tab w:val="right" w:leader="dot" w:pos="9016"/>
            </w:tabs>
            <w:rPr>
              <w:rFonts w:eastAsiaTheme="minorEastAsia" w:cs="Times New Roman"/>
              <w:noProof/>
              <w:kern w:val="2"/>
              <w:lang w:eastAsia="en-GB"/>
              <w14:ligatures w14:val="standardContextual"/>
            </w:rPr>
          </w:pPr>
          <w:hyperlink w:anchor="_Toc189422241" w:history="1">
            <w:r w:rsidRPr="00F71A07">
              <w:rPr>
                <w:rStyle w:val="Hyperlink"/>
                <w:rFonts w:cs="Times New Roman"/>
                <w:noProof/>
              </w:rPr>
              <w:t>Reference List</w:t>
            </w:r>
            <w:r w:rsidRPr="00F71A07">
              <w:rPr>
                <w:rFonts w:cs="Times New Roman"/>
                <w:noProof/>
                <w:webHidden/>
              </w:rPr>
              <w:tab/>
            </w:r>
            <w:r w:rsidRPr="00F71A07">
              <w:rPr>
                <w:rFonts w:cs="Times New Roman"/>
                <w:noProof/>
                <w:webHidden/>
              </w:rPr>
              <w:fldChar w:fldCharType="begin"/>
            </w:r>
            <w:r w:rsidRPr="00F71A07">
              <w:rPr>
                <w:rFonts w:cs="Times New Roman"/>
                <w:noProof/>
                <w:webHidden/>
              </w:rPr>
              <w:instrText xml:space="preserve"> PAGEREF _Toc189422241 \h </w:instrText>
            </w:r>
            <w:r w:rsidRPr="00F71A07">
              <w:rPr>
                <w:rFonts w:cs="Times New Roman"/>
                <w:noProof/>
                <w:webHidden/>
              </w:rPr>
            </w:r>
            <w:r w:rsidRPr="00F71A07">
              <w:rPr>
                <w:rFonts w:cs="Times New Roman"/>
                <w:noProof/>
                <w:webHidden/>
              </w:rPr>
              <w:fldChar w:fldCharType="separate"/>
            </w:r>
            <w:r w:rsidRPr="00F71A07">
              <w:rPr>
                <w:rFonts w:cs="Times New Roman"/>
                <w:noProof/>
                <w:webHidden/>
              </w:rPr>
              <w:t>13</w:t>
            </w:r>
            <w:r w:rsidRPr="00F71A07">
              <w:rPr>
                <w:rFonts w:cs="Times New Roman"/>
                <w:noProof/>
                <w:webHidden/>
              </w:rPr>
              <w:fldChar w:fldCharType="end"/>
            </w:r>
          </w:hyperlink>
        </w:p>
        <w:p w14:paraId="7C0DA3A3" w14:textId="02153BBA" w:rsidR="000A54A9" w:rsidRPr="00F71A07" w:rsidRDefault="000A54A9" w:rsidP="00F71A07">
          <w:pPr>
            <w:rPr>
              <w:rFonts w:cs="Times New Roman"/>
              <w:noProof/>
            </w:rPr>
          </w:pPr>
          <w:r w:rsidRPr="00F71A07">
            <w:rPr>
              <w:rFonts w:cs="Times New Roman"/>
              <w:b/>
              <w:bCs/>
              <w:noProof/>
            </w:rPr>
            <w:fldChar w:fldCharType="end"/>
          </w:r>
        </w:p>
      </w:sdtContent>
    </w:sdt>
    <w:p w14:paraId="184E7BDF" w14:textId="32581858" w:rsidR="00701507" w:rsidRPr="00F71A07" w:rsidRDefault="00701507" w:rsidP="00F71A07">
      <w:pPr>
        <w:jc w:val="left"/>
        <w:rPr>
          <w:rFonts w:cs="Times New Roman"/>
          <w:noProof/>
        </w:rPr>
      </w:pPr>
      <w:r w:rsidRPr="00F71A07">
        <w:rPr>
          <w:rFonts w:cs="Times New Roman"/>
          <w:noProof/>
        </w:rPr>
        <w:br w:type="page"/>
      </w:r>
    </w:p>
    <w:p w14:paraId="1EC20616" w14:textId="2BDBBB1B" w:rsidR="00701507" w:rsidRPr="00F71A07" w:rsidRDefault="00701507" w:rsidP="00F71A07">
      <w:pPr>
        <w:pStyle w:val="Heading1"/>
        <w:rPr>
          <w:rFonts w:cs="Times New Roman"/>
          <w:noProof/>
        </w:rPr>
      </w:pPr>
      <w:bookmarkStart w:id="2" w:name="_Toc189422221"/>
      <w:r w:rsidRPr="00F71A07">
        <w:rPr>
          <w:rFonts w:cs="Times New Roman"/>
          <w:noProof/>
        </w:rPr>
        <w:lastRenderedPageBreak/>
        <w:t>1. Introduction</w:t>
      </w:r>
      <w:bookmarkEnd w:id="2"/>
    </w:p>
    <w:p w14:paraId="786C34D3" w14:textId="0D5DE991" w:rsidR="00B25912" w:rsidRPr="00F71A07" w:rsidRDefault="000E0336" w:rsidP="00F71A07">
      <w:pPr>
        <w:rPr>
          <w:rFonts w:cs="Times New Roman"/>
          <w:noProof/>
        </w:rPr>
      </w:pPr>
      <w:r w:rsidRPr="00F71A07">
        <w:rPr>
          <w:rFonts w:cs="Times New Roman"/>
          <w:noProof/>
        </w:rPr>
        <w:t>Since</w:t>
      </w:r>
      <w:r w:rsidR="00B25912" w:rsidRPr="00F71A07">
        <w:rPr>
          <w:rFonts w:cs="Times New Roman"/>
          <w:noProof/>
        </w:rPr>
        <w:t xml:space="preserve"> hospitality </w:t>
      </w:r>
      <w:r w:rsidRPr="00F71A07">
        <w:rPr>
          <w:rFonts w:cs="Times New Roman"/>
          <w:noProof/>
        </w:rPr>
        <w:t>waste</w:t>
      </w:r>
      <w:r w:rsidR="00B25912" w:rsidRPr="00F71A07">
        <w:rPr>
          <w:rFonts w:cs="Times New Roman"/>
          <w:noProof/>
        </w:rPr>
        <w:t xml:space="preserve"> contributes significantly to global waste, effective waste management and circular economy strategies are required</w:t>
      </w:r>
      <w:r w:rsidRPr="00F71A07">
        <w:rPr>
          <w:rFonts w:cs="Times New Roman"/>
          <w:noProof/>
        </w:rPr>
        <w:t xml:space="preserve"> (Zaki, 2024)</w:t>
      </w:r>
      <w:r w:rsidR="00B25912" w:rsidRPr="00F71A07">
        <w:rPr>
          <w:rFonts w:cs="Times New Roman"/>
          <w:noProof/>
        </w:rPr>
        <w:t xml:space="preserve">. Waste is reduced, recycled, reused, and disposed of to lessen its environmental impact (Wan, Shen, </w:t>
      </w:r>
      <w:r w:rsidR="007F5EFF" w:rsidRPr="00F71A07">
        <w:rPr>
          <w:rFonts w:cs="Times New Roman"/>
          <w:noProof/>
        </w:rPr>
        <w:t>and</w:t>
      </w:r>
      <w:r w:rsidR="00B25912" w:rsidRPr="00F71A07">
        <w:rPr>
          <w:rFonts w:cs="Times New Roman"/>
          <w:noProof/>
        </w:rPr>
        <w:t xml:space="preserve"> Choi, 2019). The circular economy shifts from "take-make-dispose" to regenerative as resource efficiency and closed-loop systems become more important (Jones and Wynn, 2019).</w:t>
      </w:r>
    </w:p>
    <w:p w14:paraId="6A336E53" w14:textId="5E038A73" w:rsidR="00B25912" w:rsidRPr="00F71A07" w:rsidRDefault="00B25912" w:rsidP="00F71A07">
      <w:pPr>
        <w:rPr>
          <w:rFonts w:cs="Times New Roman"/>
          <w:noProof/>
        </w:rPr>
      </w:pPr>
      <w:r w:rsidRPr="00F71A07">
        <w:rPr>
          <w:rFonts w:cs="Times New Roman"/>
          <w:noProof/>
        </w:rPr>
        <w:t xml:space="preserve">The sustainability challenges in the hospitality business have grown </w:t>
      </w:r>
      <w:r w:rsidR="00E6510F" w:rsidRPr="00F71A07">
        <w:rPr>
          <w:rFonts w:cs="Times New Roman"/>
          <w:noProof/>
        </w:rPr>
        <w:t>because of</w:t>
      </w:r>
      <w:r w:rsidRPr="00F71A07">
        <w:rPr>
          <w:rFonts w:cs="Times New Roman"/>
          <w:noProof/>
        </w:rPr>
        <w:t xml:space="preserve"> resource exploitation. Hotels create around 79 million tonnes of solid waste, with food accounting for 30% of that total (UNEP, 2021). Juvan, Grün, and Dolnicar (2023) discovered that 70% of hotel waste, which includes food, single-use plastics, and disposable materials, is preventable. Food disposal, packaging waste, and non-recyclable products all contribute to higher carbon emissions in the hotel industry.</w:t>
      </w:r>
    </w:p>
    <w:p w14:paraId="24466539" w14:textId="380E99A2" w:rsidR="00701507" w:rsidRPr="00F71A07" w:rsidRDefault="00B25912" w:rsidP="00F71A07">
      <w:pPr>
        <w:rPr>
          <w:rFonts w:cs="Times New Roman"/>
          <w:noProof/>
        </w:rPr>
      </w:pPr>
      <w:r w:rsidRPr="00F71A07">
        <w:rPr>
          <w:rFonts w:cs="Times New Roman"/>
          <w:noProof/>
        </w:rPr>
        <w:t xml:space="preserve">Buffet service and overproduction account for 17-20% of hotel food waste (Dhir et al., 2020). Only 9% of hotel </w:t>
      </w:r>
      <w:r w:rsidR="00D40CC0" w:rsidRPr="00F71A07">
        <w:rPr>
          <w:rFonts w:cs="Times New Roman"/>
          <w:noProof/>
        </w:rPr>
        <w:t>waste</w:t>
      </w:r>
      <w:r w:rsidRPr="00F71A07">
        <w:rPr>
          <w:rFonts w:cs="Times New Roman"/>
          <w:noProof/>
        </w:rPr>
        <w:t xml:space="preserve"> is recycled, with the majority made up of single-use plastics such miniature toiletries and disposable cutlery (McCaffery, Hendrickx, </w:t>
      </w:r>
      <w:r w:rsidR="007F5EFF" w:rsidRPr="00F71A07">
        <w:rPr>
          <w:rFonts w:cs="Times New Roman"/>
          <w:noProof/>
        </w:rPr>
        <w:t>and</w:t>
      </w:r>
      <w:r w:rsidRPr="00F71A07">
        <w:rPr>
          <w:rFonts w:cs="Times New Roman"/>
          <w:noProof/>
        </w:rPr>
        <w:t xml:space="preserve"> Dubrocard, 2023). Composting, AI-driven inventory management, and upcycling can reduce </w:t>
      </w:r>
      <w:r w:rsidR="007F5EFF" w:rsidRPr="00F71A07">
        <w:rPr>
          <w:rFonts w:cs="Times New Roman"/>
          <w:noProof/>
        </w:rPr>
        <w:t>waste</w:t>
      </w:r>
      <w:r w:rsidRPr="00F71A07">
        <w:rPr>
          <w:rFonts w:cs="Times New Roman"/>
          <w:noProof/>
        </w:rPr>
        <w:t xml:space="preserve"> disposal costs by 30% while also improving company reputation, as 65% of visitors prefer eco-friendly accommodations (Deloitte, 2023). This </w:t>
      </w:r>
      <w:r w:rsidR="0007636F" w:rsidRPr="00F71A07">
        <w:rPr>
          <w:rFonts w:cs="Times New Roman"/>
          <w:noProof/>
        </w:rPr>
        <w:t>paper</w:t>
      </w:r>
      <w:r w:rsidRPr="00F71A07">
        <w:rPr>
          <w:rFonts w:cs="Times New Roman"/>
          <w:noProof/>
        </w:rPr>
        <w:t xml:space="preserve"> looks at sustainable hospitality techniques, industry reactions, and </w:t>
      </w:r>
      <w:r w:rsidR="007F5EFF" w:rsidRPr="00F71A07">
        <w:rPr>
          <w:rFonts w:cs="Times New Roman"/>
          <w:noProof/>
        </w:rPr>
        <w:t>waste</w:t>
      </w:r>
      <w:r w:rsidRPr="00F71A07">
        <w:rPr>
          <w:rFonts w:cs="Times New Roman"/>
          <w:noProof/>
        </w:rPr>
        <w:t xml:space="preserve"> management.</w:t>
      </w:r>
    </w:p>
    <w:p w14:paraId="14DD0370" w14:textId="77777777" w:rsidR="00701507" w:rsidRPr="00F71A07" w:rsidRDefault="00701507" w:rsidP="00F71A07">
      <w:pPr>
        <w:pStyle w:val="Heading1"/>
        <w:rPr>
          <w:rFonts w:eastAsia="Times New Roman" w:cs="Times New Roman"/>
          <w:noProof/>
          <w:lang w:eastAsia="en-GB"/>
        </w:rPr>
      </w:pPr>
      <w:bookmarkStart w:id="3" w:name="_Toc189422222"/>
      <w:r w:rsidRPr="00F71A07">
        <w:rPr>
          <w:rFonts w:cs="Times New Roman"/>
          <w:noProof/>
        </w:rPr>
        <w:t xml:space="preserve">2. </w:t>
      </w:r>
      <w:r w:rsidRPr="00F71A07">
        <w:rPr>
          <w:rFonts w:eastAsia="Times New Roman" w:cs="Times New Roman"/>
          <w:noProof/>
          <w:lang w:eastAsia="en-GB"/>
        </w:rPr>
        <w:t>Literature Review</w:t>
      </w:r>
      <w:bookmarkEnd w:id="3"/>
    </w:p>
    <w:p w14:paraId="7DD9A3CB" w14:textId="77777777" w:rsidR="00701507" w:rsidRPr="00F71A07" w:rsidRDefault="00701507" w:rsidP="00F71A07">
      <w:pPr>
        <w:pStyle w:val="Heading2"/>
        <w:rPr>
          <w:rFonts w:eastAsia="Times New Roman" w:cs="Times New Roman"/>
          <w:noProof/>
          <w:lang w:eastAsia="en-GB"/>
        </w:rPr>
      </w:pPr>
      <w:bookmarkStart w:id="4" w:name="_Toc189422223"/>
      <w:r w:rsidRPr="00F71A07">
        <w:rPr>
          <w:rFonts w:eastAsia="Times New Roman" w:cs="Times New Roman"/>
          <w:noProof/>
          <w:lang w:eastAsia="en-GB"/>
        </w:rPr>
        <w:t>2.1 The Scale of Waste in the Hospitality Industry</w:t>
      </w:r>
      <w:bookmarkEnd w:id="4"/>
    </w:p>
    <w:p w14:paraId="10A98291" w14:textId="515E6F15" w:rsidR="000E0336" w:rsidRPr="00F71A07" w:rsidRDefault="000E0336" w:rsidP="00F71A07">
      <w:pPr>
        <w:rPr>
          <w:rFonts w:cs="Times New Roman"/>
          <w:noProof/>
          <w:lang w:eastAsia="en-GB"/>
        </w:rPr>
      </w:pPr>
      <w:r w:rsidRPr="00F71A07">
        <w:rPr>
          <w:rFonts w:cs="Times New Roman"/>
          <w:noProof/>
          <w:lang w:eastAsia="en-GB"/>
        </w:rPr>
        <w:t xml:space="preserve">Producing significant amounts of food, plastic, and textile waste (McCaffery, Hendrickx, </w:t>
      </w:r>
      <w:r w:rsidR="007F5EFF" w:rsidRPr="00F71A07">
        <w:rPr>
          <w:rFonts w:cs="Times New Roman"/>
          <w:noProof/>
          <w:lang w:eastAsia="en-GB"/>
        </w:rPr>
        <w:t>and</w:t>
      </w:r>
      <w:r w:rsidRPr="00F71A07">
        <w:rPr>
          <w:rFonts w:cs="Times New Roman"/>
          <w:noProof/>
          <w:lang w:eastAsia="en-GB"/>
        </w:rPr>
        <w:t xml:space="preserve"> Dubrocard, 2023), the hotel sector is among the most waste-intensive one. Hotels create over 79 million tonnes of solid </w:t>
      </w:r>
      <w:r w:rsidR="007F5EFF" w:rsidRPr="00F71A07">
        <w:rPr>
          <w:rFonts w:cs="Times New Roman"/>
          <w:noProof/>
          <w:lang w:eastAsia="en-GB"/>
        </w:rPr>
        <w:t>waste</w:t>
      </w:r>
      <w:r w:rsidRPr="00F71A07">
        <w:rPr>
          <w:rFonts w:cs="Times New Roman"/>
          <w:noProof/>
          <w:lang w:eastAsia="en-GB"/>
        </w:rPr>
        <w:t xml:space="preserve"> per year; food waste makes up 30% of the total (UNEP, 2021). Food waste mostly comes from poor inventory management, overproduction, and too </w:t>
      </w:r>
      <w:r w:rsidR="00D40CC0" w:rsidRPr="00F71A07">
        <w:rPr>
          <w:rFonts w:cs="Times New Roman"/>
          <w:noProof/>
          <w:lang w:eastAsia="en-GB"/>
        </w:rPr>
        <w:t>substantial portion</w:t>
      </w:r>
      <w:r w:rsidRPr="00F71A07">
        <w:rPr>
          <w:rFonts w:cs="Times New Roman"/>
          <w:noProof/>
          <w:lang w:eastAsia="en-GB"/>
        </w:rPr>
        <w:t xml:space="preserve"> sizes; hence, 17–20% of bought food is thrown away, costing the sector billions of dollars yearly (Juvan, Grün, </w:t>
      </w:r>
      <w:r w:rsidR="007F5EFF" w:rsidRPr="00F71A07">
        <w:rPr>
          <w:rFonts w:cs="Times New Roman"/>
          <w:noProof/>
          <w:lang w:eastAsia="en-GB"/>
        </w:rPr>
        <w:t>and</w:t>
      </w:r>
      <w:r w:rsidRPr="00F71A07">
        <w:rPr>
          <w:rFonts w:cs="Times New Roman"/>
          <w:noProof/>
          <w:lang w:eastAsia="en-GB"/>
        </w:rPr>
        <w:t xml:space="preserve"> Dolnicar, 2023; Vashishth et al., 2024).</w:t>
      </w:r>
    </w:p>
    <w:p w14:paraId="477316AE" w14:textId="0DC8CE64" w:rsidR="000E0336" w:rsidRPr="00F71A07" w:rsidRDefault="000E0336" w:rsidP="00F71A07">
      <w:pPr>
        <w:rPr>
          <w:rFonts w:cs="Times New Roman"/>
          <w:noProof/>
          <w:lang w:eastAsia="en-GB"/>
        </w:rPr>
      </w:pPr>
      <w:r w:rsidRPr="00F71A07">
        <w:rPr>
          <w:rFonts w:cs="Times New Roman"/>
          <w:noProof/>
          <w:lang w:eastAsia="en-GB"/>
        </w:rPr>
        <w:t xml:space="preserve">Waste has a </w:t>
      </w:r>
      <w:r w:rsidR="00E6510F" w:rsidRPr="00F71A07">
        <w:rPr>
          <w:rFonts w:cs="Times New Roman"/>
          <w:noProof/>
          <w:lang w:eastAsia="en-GB"/>
        </w:rPr>
        <w:t>significant</w:t>
      </w:r>
      <w:r w:rsidRPr="00F71A07">
        <w:rPr>
          <w:rFonts w:cs="Times New Roman"/>
          <w:noProof/>
          <w:lang w:eastAsia="en-GB"/>
        </w:rPr>
        <w:t xml:space="preserve"> environmental effect. 25 times more powerful than CO₂, methane is emitted by food waste disposal </w:t>
      </w:r>
      <w:r w:rsidR="00D40CC0" w:rsidRPr="00F71A07">
        <w:rPr>
          <w:rFonts w:cs="Times New Roman"/>
          <w:noProof/>
          <w:lang w:eastAsia="en-GB"/>
        </w:rPr>
        <w:t>(</w:t>
      </w:r>
      <w:r w:rsidR="00D40CC0" w:rsidRPr="00F71A07">
        <w:rPr>
          <w:rFonts w:eastAsia="Times New Roman" w:cs="Times New Roman"/>
          <w:noProof/>
          <w:lang w:eastAsia="en-GB"/>
        </w:rPr>
        <w:t>Karki, Bennett, and Mishra, 2021)</w:t>
      </w:r>
      <w:r w:rsidRPr="00F71A07">
        <w:rPr>
          <w:rFonts w:cs="Times New Roman"/>
          <w:noProof/>
          <w:lang w:eastAsia="en-GB"/>
        </w:rPr>
        <w:t xml:space="preserve">. </w:t>
      </w:r>
      <w:r w:rsidR="00E6510F" w:rsidRPr="00F71A07">
        <w:rPr>
          <w:rFonts w:cs="Times New Roman"/>
          <w:noProof/>
          <w:lang w:eastAsia="en-GB"/>
        </w:rPr>
        <w:t>Furthermore,</w:t>
      </w:r>
      <w:r w:rsidRPr="00F71A07">
        <w:rPr>
          <w:rFonts w:cs="Times New Roman"/>
          <w:noProof/>
          <w:lang w:eastAsia="en-GB"/>
        </w:rPr>
        <w:t xml:space="preserve"> created yearly are approximately 150 million tonnes of plastic </w:t>
      </w:r>
      <w:r w:rsidR="00D40CC0" w:rsidRPr="00F71A07">
        <w:rPr>
          <w:rFonts w:cs="Times New Roman"/>
          <w:noProof/>
          <w:lang w:eastAsia="en-GB"/>
        </w:rPr>
        <w:t>waste</w:t>
      </w:r>
      <w:r w:rsidRPr="00F71A07">
        <w:rPr>
          <w:rFonts w:cs="Times New Roman"/>
          <w:noProof/>
          <w:lang w:eastAsia="en-GB"/>
        </w:rPr>
        <w:t xml:space="preserve">, of which just 9% are recycled (McCaffery, Hendrickx, </w:t>
      </w:r>
      <w:r w:rsidR="007F5EFF" w:rsidRPr="00F71A07">
        <w:rPr>
          <w:rFonts w:cs="Times New Roman"/>
          <w:noProof/>
          <w:lang w:eastAsia="en-GB"/>
        </w:rPr>
        <w:t>and</w:t>
      </w:r>
      <w:r w:rsidRPr="00F71A07">
        <w:rPr>
          <w:rFonts w:cs="Times New Roman"/>
          <w:noProof/>
          <w:lang w:eastAsia="en-GB"/>
        </w:rPr>
        <w:t xml:space="preserve"> Dubrocard, 2023).</w:t>
      </w:r>
      <w:r w:rsidR="00D40CC0" w:rsidRPr="00F71A07">
        <w:rPr>
          <w:rFonts w:cs="Times New Roman"/>
          <w:noProof/>
          <w:lang w:eastAsia="en-GB"/>
        </w:rPr>
        <w:t xml:space="preserve"> </w:t>
      </w:r>
      <w:r w:rsidRPr="00F71A07">
        <w:rPr>
          <w:rFonts w:cs="Times New Roman"/>
          <w:noProof/>
          <w:lang w:eastAsia="en-GB"/>
        </w:rPr>
        <w:t xml:space="preserve">Beyond harm to the surroundings, </w:t>
      </w:r>
      <w:r w:rsidR="007F5EFF" w:rsidRPr="00F71A07">
        <w:rPr>
          <w:rFonts w:cs="Times New Roman"/>
          <w:noProof/>
          <w:lang w:eastAsia="en-GB"/>
        </w:rPr>
        <w:t>waste</w:t>
      </w:r>
      <w:r w:rsidRPr="00F71A07">
        <w:rPr>
          <w:rFonts w:cs="Times New Roman"/>
          <w:noProof/>
          <w:lang w:eastAsia="en-GB"/>
        </w:rPr>
        <w:t xml:space="preserve"> </w:t>
      </w:r>
      <w:r w:rsidRPr="00F71A07">
        <w:rPr>
          <w:rFonts w:cs="Times New Roman"/>
          <w:noProof/>
          <w:lang w:eastAsia="en-GB"/>
        </w:rPr>
        <w:lastRenderedPageBreak/>
        <w:t>presents moral and financial difficulties. Food waste costs the hotel sector $100 billion yearly, or $0.50 every meal served (</w:t>
      </w:r>
      <w:r w:rsidR="00D40CC0" w:rsidRPr="00F71A07">
        <w:rPr>
          <w:rFonts w:eastAsia="Times New Roman" w:cs="Times New Roman"/>
          <w:noProof/>
          <w:lang w:eastAsia="en-GB"/>
        </w:rPr>
        <w:t>Karki, Bennett, and Mishra</w:t>
      </w:r>
      <w:r w:rsidRPr="00F71A07">
        <w:rPr>
          <w:rFonts w:cs="Times New Roman"/>
          <w:noProof/>
          <w:lang w:eastAsia="en-GB"/>
        </w:rPr>
        <w:t>, 2021). Circular economy solutions are crucial to minimise waste, maximise operations, and lower the industry's carbon footprint (FAO, 2022) because 800 million people suffer with food insecurity.</w:t>
      </w:r>
    </w:p>
    <w:p w14:paraId="12E61DE8" w14:textId="2096777F" w:rsidR="00701507" w:rsidRPr="00F71A07" w:rsidRDefault="00701507" w:rsidP="00F71A07">
      <w:pPr>
        <w:pStyle w:val="Heading2"/>
        <w:rPr>
          <w:rFonts w:eastAsia="Times New Roman" w:cs="Times New Roman"/>
          <w:noProof/>
          <w:lang w:eastAsia="en-GB"/>
        </w:rPr>
      </w:pPr>
      <w:bookmarkStart w:id="5" w:name="_Toc189422224"/>
      <w:r w:rsidRPr="00F71A07">
        <w:rPr>
          <w:rFonts w:eastAsia="Times New Roman" w:cs="Times New Roman"/>
          <w:noProof/>
          <w:lang w:eastAsia="en-GB"/>
        </w:rPr>
        <w:t>2.2 Circular Economy Principles in Hospitality</w:t>
      </w:r>
      <w:bookmarkEnd w:id="5"/>
    </w:p>
    <w:p w14:paraId="70655EF8" w14:textId="0C9172DA" w:rsidR="00B25912" w:rsidRPr="00F71A07" w:rsidRDefault="00B25912" w:rsidP="00F71A07">
      <w:pPr>
        <w:rPr>
          <w:rFonts w:cs="Times New Roman"/>
          <w:noProof/>
          <w:lang w:eastAsia="en-GB"/>
        </w:rPr>
      </w:pPr>
      <w:r w:rsidRPr="00F71A07">
        <w:rPr>
          <w:rFonts w:cs="Times New Roman"/>
          <w:noProof/>
          <w:lang w:eastAsia="en-GB"/>
        </w:rPr>
        <w:t>The circular economy optimises resources, increases product lifecycles, and lowers pollution (Jones and Wynn, 2019</w:t>
      </w:r>
      <w:r w:rsidR="00DF3B33">
        <w:rPr>
          <w:rFonts w:cs="Times New Roman"/>
          <w:noProof/>
          <w:lang w:eastAsia="en-GB"/>
        </w:rPr>
        <w:t xml:space="preserve">; </w:t>
      </w:r>
      <w:r w:rsidR="00DF3B33" w:rsidRPr="00DF3B33">
        <w:rPr>
          <w:rFonts w:cs="Times New Roman"/>
          <w:noProof/>
        </w:rPr>
        <w:t>Costa</w:t>
      </w:r>
      <w:r w:rsidR="00DF3B33">
        <w:rPr>
          <w:rFonts w:cs="Times New Roman"/>
          <w:noProof/>
        </w:rPr>
        <w:t xml:space="preserve"> </w:t>
      </w:r>
      <w:r w:rsidR="00DF3B33" w:rsidRPr="00DF3B33">
        <w:rPr>
          <w:rFonts w:cs="Times New Roman"/>
          <w:noProof/>
        </w:rPr>
        <w:t>and Costa</w:t>
      </w:r>
      <w:r w:rsidR="00DF3B33">
        <w:rPr>
          <w:rFonts w:cs="Times New Roman"/>
          <w:noProof/>
        </w:rPr>
        <w:t>, 2022</w:t>
      </w:r>
      <w:r w:rsidRPr="00F71A07">
        <w:rPr>
          <w:rFonts w:cs="Times New Roman"/>
          <w:noProof/>
          <w:lang w:eastAsia="en-GB"/>
        </w:rPr>
        <w:t>). Unlike the linear economy (take-make-dispose), the circular economy is guided by four principles –</w:t>
      </w:r>
    </w:p>
    <w:p w14:paraId="78F4A409" w14:textId="77777777" w:rsidR="00D40CC0" w:rsidRPr="00F71A07" w:rsidRDefault="00157BA8" w:rsidP="00F71A07">
      <w:pPr>
        <w:keepNext/>
        <w:jc w:val="center"/>
        <w:rPr>
          <w:rFonts w:cs="Times New Roman"/>
          <w:noProof/>
        </w:rPr>
      </w:pPr>
      <w:r w:rsidRPr="00F71A07">
        <w:rPr>
          <w:rFonts w:cs="Times New Roman"/>
          <w:noProof/>
          <w:lang w:eastAsia="en-GB"/>
        </w:rPr>
        <w:drawing>
          <wp:inline distT="0" distB="0" distL="0" distR="0" wp14:anchorId="706DB31E" wp14:editId="7F7D1F01">
            <wp:extent cx="4914900" cy="2705100"/>
            <wp:effectExtent l="0" t="19050" r="19050" b="38100"/>
            <wp:docPr id="9226991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7353DEC" w14:textId="17D03969" w:rsidR="00157BA8" w:rsidRPr="00F71A07" w:rsidRDefault="00D40CC0" w:rsidP="00F71A07">
      <w:pPr>
        <w:pStyle w:val="Caption"/>
        <w:spacing w:line="360" w:lineRule="auto"/>
        <w:jc w:val="center"/>
        <w:rPr>
          <w:rFonts w:cs="Times New Roman"/>
          <w:noProof/>
          <w:lang w:eastAsia="en-GB"/>
        </w:rPr>
      </w:pPr>
      <w:r w:rsidRPr="00F71A07">
        <w:rPr>
          <w:rFonts w:cs="Times New Roman"/>
          <w:noProof/>
        </w:rPr>
        <w:t xml:space="preserve">Figure </w:t>
      </w:r>
      <w:r w:rsidRPr="00F71A07">
        <w:rPr>
          <w:rFonts w:cs="Times New Roman"/>
          <w:noProof/>
        </w:rPr>
        <w:fldChar w:fldCharType="begin"/>
      </w:r>
      <w:r w:rsidRPr="00F71A07">
        <w:rPr>
          <w:rFonts w:cs="Times New Roman"/>
          <w:noProof/>
        </w:rPr>
        <w:instrText xml:space="preserve"> SEQ Figure \* ARABIC </w:instrText>
      </w:r>
      <w:r w:rsidRPr="00F71A07">
        <w:rPr>
          <w:rFonts w:cs="Times New Roman"/>
          <w:noProof/>
        </w:rPr>
        <w:fldChar w:fldCharType="separate"/>
      </w:r>
      <w:r w:rsidRPr="00F71A07">
        <w:rPr>
          <w:rFonts w:cs="Times New Roman"/>
          <w:noProof/>
        </w:rPr>
        <w:t>1</w:t>
      </w:r>
      <w:r w:rsidRPr="00F71A07">
        <w:rPr>
          <w:rFonts w:cs="Times New Roman"/>
          <w:noProof/>
        </w:rPr>
        <w:fldChar w:fldCharType="end"/>
      </w:r>
      <w:r w:rsidRPr="00F71A07">
        <w:rPr>
          <w:rFonts w:cs="Times New Roman"/>
          <w:noProof/>
        </w:rPr>
        <w:t>: Circular Economy Model/Source: (Glöser-Chahoud and Schultmann, 2024)</w:t>
      </w:r>
    </w:p>
    <w:p w14:paraId="39BD3599" w14:textId="6F9D7A0B" w:rsidR="00B25912" w:rsidRPr="00F71A07" w:rsidRDefault="00B25912" w:rsidP="00F71A07">
      <w:pPr>
        <w:rPr>
          <w:rFonts w:cs="Times New Roman"/>
          <w:noProof/>
          <w:lang w:eastAsia="en-GB"/>
        </w:rPr>
      </w:pPr>
      <w:r w:rsidRPr="00F71A07">
        <w:rPr>
          <w:rFonts w:cs="Times New Roman"/>
          <w:noProof/>
          <w:lang w:eastAsia="en-GB"/>
        </w:rPr>
        <w:t xml:space="preserve">Hoteliers are increasingly drawn to circular economy ideas. To assist this transformation, procurement, waste management, and recycling systems must be redesigned (Zaki, 2024). Scandic Hotels' zero-waste initiatives have reduced visitor </w:t>
      </w:r>
      <w:r w:rsidR="007F5EFF" w:rsidRPr="00F71A07">
        <w:rPr>
          <w:rFonts w:cs="Times New Roman"/>
          <w:noProof/>
          <w:lang w:eastAsia="en-GB"/>
        </w:rPr>
        <w:t>waste</w:t>
      </w:r>
      <w:r w:rsidRPr="00F71A07">
        <w:rPr>
          <w:rFonts w:cs="Times New Roman"/>
          <w:noProof/>
          <w:lang w:eastAsia="en-GB"/>
        </w:rPr>
        <w:t xml:space="preserve"> by 40% since 2018 (World Sustainable Hospitality Alliance, 2023). Marriott International will cut plastic waste by 500 million bottles per year by removing single-use plastics and deploying large-format toiletries (Marriott International, 2023).</w:t>
      </w:r>
      <w:r w:rsidRPr="00F71A07">
        <w:rPr>
          <w:rFonts w:cs="Times New Roman"/>
          <w:b/>
          <w:noProof/>
          <w:lang w:eastAsia="en-GB"/>
        </w:rPr>
        <w:t xml:space="preserve"> </w:t>
      </w:r>
      <w:r w:rsidRPr="00F71A07">
        <w:rPr>
          <w:rFonts w:cs="Times New Roman"/>
          <w:noProof/>
          <w:lang w:eastAsia="en-GB"/>
        </w:rPr>
        <w:t xml:space="preserve">Six Senses Hotels uses composting, water recycling, and upcycling to divert over 50% of its </w:t>
      </w:r>
      <w:r w:rsidR="007F5EFF" w:rsidRPr="00F71A07">
        <w:rPr>
          <w:rFonts w:cs="Times New Roman"/>
          <w:noProof/>
          <w:lang w:eastAsia="en-GB"/>
        </w:rPr>
        <w:t>waste</w:t>
      </w:r>
      <w:r w:rsidRPr="00F71A07">
        <w:rPr>
          <w:rFonts w:cs="Times New Roman"/>
          <w:noProof/>
          <w:lang w:eastAsia="en-GB"/>
        </w:rPr>
        <w:t xml:space="preserve"> from landfills (Green Lodging Trends Report, 2023). These examples highlight how circular economy techniques can benefit the environment and the economy.</w:t>
      </w:r>
    </w:p>
    <w:p w14:paraId="7FA15CE0" w14:textId="77777777" w:rsidR="00701507" w:rsidRPr="00F71A07" w:rsidRDefault="00701507" w:rsidP="00F71A07">
      <w:pPr>
        <w:pStyle w:val="Heading2"/>
        <w:rPr>
          <w:rFonts w:eastAsia="Times New Roman" w:cs="Times New Roman"/>
          <w:noProof/>
          <w:lang w:eastAsia="en-GB"/>
        </w:rPr>
      </w:pPr>
      <w:bookmarkStart w:id="6" w:name="_Toc189422225"/>
      <w:r w:rsidRPr="00F71A07">
        <w:rPr>
          <w:rFonts w:eastAsia="Times New Roman" w:cs="Times New Roman"/>
          <w:noProof/>
          <w:lang w:eastAsia="en-GB"/>
        </w:rPr>
        <w:t>2.3 Strategies for Reducing Food Waste in Hotel Restaurants</w:t>
      </w:r>
      <w:bookmarkEnd w:id="6"/>
    </w:p>
    <w:p w14:paraId="7C9DBE45" w14:textId="77777777" w:rsidR="00B25912" w:rsidRPr="00F71A07" w:rsidRDefault="00B25912" w:rsidP="00F71A07">
      <w:pPr>
        <w:rPr>
          <w:rFonts w:cs="Times New Roman"/>
          <w:noProof/>
          <w:lang w:eastAsia="en-GB"/>
        </w:rPr>
      </w:pPr>
      <w:r w:rsidRPr="00F71A07">
        <w:rPr>
          <w:rFonts w:cs="Times New Roman"/>
          <w:noProof/>
          <w:lang w:eastAsia="en-GB"/>
        </w:rPr>
        <w:t xml:space="preserve">Technology is vital for reducing food waste. Food overproduction is reduced using AI-powered inventory management solutions that incorporate predictive analytics, demand forecasting, and </w:t>
      </w:r>
      <w:r w:rsidRPr="00F71A07">
        <w:rPr>
          <w:rFonts w:cs="Times New Roman"/>
          <w:noProof/>
          <w:lang w:eastAsia="en-GB"/>
        </w:rPr>
        <w:lastRenderedPageBreak/>
        <w:t>dynamic pricing (Dhir et al., 2020). Hotels may cut food waste by 50% in a year by implementing Winnow's AI-powered food waste monitoring technology (Winnow Solutions, 2023). Hilton properties introduced equivalent technology throughout its properties in 2020, reducing food waste by 61% (Hilton Sustainability Report, 2022).</w:t>
      </w:r>
    </w:p>
    <w:p w14:paraId="4A996031" w14:textId="05F5A2F8" w:rsidR="00B25912" w:rsidRPr="00F71A07" w:rsidRDefault="00B25912" w:rsidP="00F71A07">
      <w:pPr>
        <w:rPr>
          <w:rFonts w:cs="Times New Roman"/>
          <w:noProof/>
          <w:lang w:eastAsia="en-GB"/>
        </w:rPr>
      </w:pPr>
      <w:r w:rsidRPr="00F71A07">
        <w:rPr>
          <w:rFonts w:cs="Times New Roman"/>
          <w:noProof/>
          <w:lang w:eastAsia="en-GB"/>
        </w:rPr>
        <w:t xml:space="preserve">Composting is an alternative for hotels to reduce </w:t>
      </w:r>
      <w:r w:rsidR="007F5EFF" w:rsidRPr="00F71A07">
        <w:rPr>
          <w:rFonts w:cs="Times New Roman"/>
          <w:noProof/>
          <w:lang w:eastAsia="en-GB"/>
        </w:rPr>
        <w:t>waste</w:t>
      </w:r>
      <w:r w:rsidRPr="00F71A07">
        <w:rPr>
          <w:rFonts w:cs="Times New Roman"/>
          <w:noProof/>
          <w:lang w:eastAsia="en-GB"/>
        </w:rPr>
        <w:t>. According to the FAO (2022), on-site decomposition systems have the potential to divert 60% of organic waste away from landfills, lowering methane emissions and disposal costs. The Hyatt Regency and other hotels use anaerobic digesters to turn food waste into biogas and organic fertiliser (Hyatt Corporate Responsibility Report, 2022).</w:t>
      </w:r>
    </w:p>
    <w:p w14:paraId="3FED126C" w14:textId="084F6692" w:rsidR="007F1135" w:rsidRPr="00F71A07" w:rsidRDefault="00B25912" w:rsidP="00F71A07">
      <w:pPr>
        <w:rPr>
          <w:rFonts w:cs="Times New Roman"/>
          <w:noProof/>
          <w:lang w:eastAsia="en-GB"/>
        </w:rPr>
      </w:pPr>
      <w:r w:rsidRPr="00F71A07">
        <w:rPr>
          <w:rFonts w:cs="Times New Roman"/>
          <w:noProof/>
          <w:lang w:eastAsia="en-GB"/>
        </w:rPr>
        <w:t>Food giving is another effective way. The Good Samaritan Food Donation Act (USA) and the Waste and Resources Action Programme (UK) protect hotels that donate extra food (Sweet, 2020). According to a case study undertaken by Accor Hotels, food donation initiatives lowered waste disposal costs by 20% while also benefiting local communities.</w:t>
      </w:r>
    </w:p>
    <w:p w14:paraId="3EB60192" w14:textId="77777777" w:rsidR="00701507" w:rsidRPr="00F71A07" w:rsidRDefault="00701507" w:rsidP="00F71A07">
      <w:pPr>
        <w:pStyle w:val="Heading2"/>
        <w:rPr>
          <w:rFonts w:eastAsia="Times New Roman" w:cs="Times New Roman"/>
          <w:noProof/>
          <w:lang w:eastAsia="en-GB"/>
        </w:rPr>
      </w:pPr>
      <w:bookmarkStart w:id="7" w:name="_Toc189422226"/>
      <w:r w:rsidRPr="00F71A07">
        <w:rPr>
          <w:rFonts w:eastAsia="Times New Roman" w:cs="Times New Roman"/>
          <w:noProof/>
          <w:lang w:eastAsia="en-GB"/>
        </w:rPr>
        <w:t>2.4 Implementing Zero-Waste Practices in Hotel Operations</w:t>
      </w:r>
      <w:bookmarkEnd w:id="7"/>
    </w:p>
    <w:p w14:paraId="009B796B" w14:textId="15B05AA9" w:rsidR="00B25912" w:rsidRPr="00F71A07" w:rsidRDefault="00B25912" w:rsidP="00F71A07">
      <w:pPr>
        <w:rPr>
          <w:rFonts w:cs="Times New Roman"/>
          <w:noProof/>
          <w:lang w:eastAsia="en-GB"/>
        </w:rPr>
      </w:pPr>
      <w:r w:rsidRPr="00F71A07">
        <w:rPr>
          <w:rFonts w:cs="Times New Roman"/>
          <w:noProof/>
          <w:lang w:eastAsia="en-GB"/>
        </w:rPr>
        <w:t xml:space="preserve">Sustainable purchasing prioritises products that are biodegradable, recyclable, and ecologically friendly. According to Wan, Shen, and Choi (2019), sustainable purchasing techniques led to a 30% reduction in hotel waste. Numerous premium hotels have included refillable facilities, resulting in an annual decrease in plastic waste of 1.5 million units (Marriott International, 2023). Innovative </w:t>
      </w:r>
      <w:r w:rsidR="00E6510F" w:rsidRPr="00F71A07">
        <w:rPr>
          <w:rFonts w:cs="Times New Roman"/>
          <w:noProof/>
          <w:lang w:eastAsia="en-GB"/>
        </w:rPr>
        <w:t>waste</w:t>
      </w:r>
      <w:r w:rsidRPr="00F71A07">
        <w:rPr>
          <w:rFonts w:cs="Times New Roman"/>
          <w:noProof/>
          <w:lang w:eastAsia="en-GB"/>
        </w:rPr>
        <w:t xml:space="preserve"> segregation and recycling are transforming hotel waste management. To promote recycling, the InterContinental Hotels Group (IHG) separates culinary </w:t>
      </w:r>
      <w:r w:rsidR="007F5EFF" w:rsidRPr="00F71A07">
        <w:rPr>
          <w:rFonts w:cs="Times New Roman"/>
          <w:noProof/>
          <w:lang w:eastAsia="en-GB"/>
        </w:rPr>
        <w:t>waste</w:t>
      </w:r>
      <w:r w:rsidRPr="00F71A07">
        <w:rPr>
          <w:rFonts w:cs="Times New Roman"/>
          <w:noProof/>
          <w:lang w:eastAsia="en-GB"/>
        </w:rPr>
        <w:t>, plastics, and glass. Vaishishth et al. (2024) discovered that hotels with structured recycling programs reduced landfill waste by 70%.</w:t>
      </w:r>
    </w:p>
    <w:p w14:paraId="4335455B" w14:textId="574EFAA2" w:rsidR="00B25912" w:rsidRPr="00F71A07" w:rsidRDefault="00B25912" w:rsidP="00F71A07">
      <w:pPr>
        <w:rPr>
          <w:rFonts w:cs="Times New Roman"/>
          <w:noProof/>
          <w:lang w:eastAsia="en-GB"/>
        </w:rPr>
      </w:pPr>
      <w:r w:rsidRPr="00F71A07">
        <w:rPr>
          <w:rFonts w:cs="Times New Roman"/>
          <w:noProof/>
          <w:lang w:eastAsia="en-GB"/>
        </w:rPr>
        <w:t xml:space="preserve">Upcycling </w:t>
      </w:r>
      <w:r w:rsidR="00D40CC0" w:rsidRPr="00F71A07">
        <w:rPr>
          <w:rFonts w:cs="Times New Roman"/>
          <w:noProof/>
          <w:lang w:eastAsia="en-GB"/>
        </w:rPr>
        <w:t>waste</w:t>
      </w:r>
      <w:r w:rsidRPr="00F71A07">
        <w:rPr>
          <w:rFonts w:cs="Times New Roman"/>
          <w:noProof/>
          <w:lang w:eastAsia="en-GB"/>
        </w:rPr>
        <w:t xml:space="preserve"> into new goods is a growing trend in the hotel business (Kumar and Rout, 2025). Six Senses Resorts minimises landfill emissions by 25% by reusing existing wooden furniture in </w:t>
      </w:r>
      <w:r w:rsidR="00D40CC0" w:rsidRPr="00F71A07">
        <w:rPr>
          <w:rFonts w:cs="Times New Roman"/>
          <w:noProof/>
          <w:lang w:eastAsia="en-GB"/>
        </w:rPr>
        <w:t>innovative designs</w:t>
      </w:r>
      <w:r w:rsidRPr="00F71A07">
        <w:rPr>
          <w:rFonts w:cs="Times New Roman"/>
          <w:noProof/>
          <w:lang w:eastAsia="en-GB"/>
        </w:rPr>
        <w:t xml:space="preserve"> (Six Senses Sustainability Report, 2023). According to research, the hotel business has substantial waste management difficulties, such as impermanent materials, single-use plastics, and waste food. Case studies show that circular economy models reduce waste while saving money (Glöser-Chahoud and Schultmann, 2024). Upcycling, sustainable buying, decomposition, and AI-driven inventory management are the most effective waste-reduction strategies. Zero-waste hotel operations are financially, ecologically, and socially responsible.</w:t>
      </w:r>
    </w:p>
    <w:p w14:paraId="523F1762" w14:textId="77777777" w:rsidR="00701507" w:rsidRPr="00F71A07" w:rsidRDefault="00701507" w:rsidP="00F71A07">
      <w:pPr>
        <w:pStyle w:val="Heading1"/>
        <w:rPr>
          <w:rFonts w:cs="Times New Roman"/>
          <w:noProof/>
        </w:rPr>
      </w:pPr>
      <w:bookmarkStart w:id="8" w:name="_Toc189422227"/>
      <w:r w:rsidRPr="00F71A07">
        <w:rPr>
          <w:rFonts w:cs="Times New Roman"/>
          <w:noProof/>
        </w:rPr>
        <w:lastRenderedPageBreak/>
        <w:t>3. Methodology</w:t>
      </w:r>
      <w:bookmarkEnd w:id="8"/>
    </w:p>
    <w:p w14:paraId="57E43CF2" w14:textId="763B8CEE" w:rsidR="00701507" w:rsidRPr="00F71A07" w:rsidRDefault="008F7153" w:rsidP="00F71A07">
      <w:pPr>
        <w:pStyle w:val="Heading2"/>
        <w:rPr>
          <w:rFonts w:cs="Times New Roman"/>
          <w:noProof/>
        </w:rPr>
      </w:pPr>
      <w:bookmarkStart w:id="9" w:name="_Toc189422228"/>
      <w:r w:rsidRPr="00F71A07">
        <w:rPr>
          <w:rFonts w:cs="Times New Roman"/>
          <w:noProof/>
        </w:rPr>
        <w:t xml:space="preserve">3.1 </w:t>
      </w:r>
      <w:r w:rsidR="00701507" w:rsidRPr="00F71A07">
        <w:rPr>
          <w:rFonts w:cs="Times New Roman"/>
          <w:noProof/>
        </w:rPr>
        <w:t>Research Approach</w:t>
      </w:r>
      <w:bookmarkEnd w:id="9"/>
    </w:p>
    <w:p w14:paraId="18FFC839" w14:textId="77777777" w:rsidR="00B25912" w:rsidRPr="00F71A07" w:rsidRDefault="00B25912" w:rsidP="00F71A07">
      <w:pPr>
        <w:rPr>
          <w:rFonts w:cs="Times New Roman"/>
          <w:noProof/>
        </w:rPr>
      </w:pPr>
      <w:r w:rsidRPr="00F71A07">
        <w:rPr>
          <w:rFonts w:cs="Times New Roman"/>
          <w:noProof/>
        </w:rPr>
        <w:t>Qualitative research is used to investigate hospitality refuse management techniques. This method looks for trends, difficulties, and solutions in case studies and studies (Hennink, Hutter, and Bailey, 2020). This study uses secondary data to provide a complete and well-documented review of industry improvements (Bandara et al. 2015). Marriott International (2023), Hilton Sustainability Report (2022), and Green Lodging Trends Report (2023) present real-world examples of circular economy initiatives in the hospitality industry.</w:t>
      </w:r>
    </w:p>
    <w:p w14:paraId="07882D19" w14:textId="04B3CB36" w:rsidR="00701507" w:rsidRPr="00F71A07" w:rsidRDefault="008F7153" w:rsidP="00F71A07">
      <w:pPr>
        <w:pStyle w:val="Heading2"/>
        <w:rPr>
          <w:rFonts w:cs="Times New Roman"/>
          <w:noProof/>
        </w:rPr>
      </w:pPr>
      <w:bookmarkStart w:id="10" w:name="_Toc189422229"/>
      <w:r w:rsidRPr="00F71A07">
        <w:rPr>
          <w:rFonts w:cs="Times New Roman"/>
          <w:noProof/>
        </w:rPr>
        <w:t xml:space="preserve">3.2 </w:t>
      </w:r>
      <w:r w:rsidR="00701507" w:rsidRPr="00F71A07">
        <w:rPr>
          <w:rFonts w:cs="Times New Roman"/>
          <w:noProof/>
        </w:rPr>
        <w:t>Data Sources</w:t>
      </w:r>
      <w:bookmarkEnd w:id="10"/>
    </w:p>
    <w:p w14:paraId="553D07D8" w14:textId="72F18E99" w:rsidR="00B25912" w:rsidRPr="00F71A07" w:rsidRDefault="00B25912" w:rsidP="00F71A07">
      <w:pPr>
        <w:rPr>
          <w:rFonts w:cs="Times New Roman"/>
          <w:noProof/>
        </w:rPr>
      </w:pPr>
      <w:r w:rsidRPr="00F71A07">
        <w:rPr>
          <w:rFonts w:cs="Times New Roman"/>
          <w:noProof/>
        </w:rPr>
        <w:t xml:space="preserve">To ensure credibility and accuracy, the study draws on many sources. Waste reduction strategies are published in peer-reviewed academic journals such as the Journal of Sustainable Tourism and Waste Management &amp; Research. The Global Viscardi, Colicchia, and Creazza (2023) studies provide information on sustainability trends and best practices. Corporate sustainability obligations are based on IHG, Accor, and Radisson hotel sustainability policies. Government regulations governing hospitality </w:t>
      </w:r>
      <w:r w:rsidR="00D40CC0" w:rsidRPr="00F71A07">
        <w:rPr>
          <w:rFonts w:cs="Times New Roman"/>
          <w:noProof/>
        </w:rPr>
        <w:t>waste</w:t>
      </w:r>
      <w:r w:rsidRPr="00F71A07">
        <w:rPr>
          <w:rFonts w:cs="Times New Roman"/>
          <w:noProof/>
        </w:rPr>
        <w:t xml:space="preserve"> management include the EU </w:t>
      </w:r>
      <w:r w:rsidR="00D40CC0" w:rsidRPr="00F71A07">
        <w:rPr>
          <w:rFonts w:cs="Times New Roman"/>
          <w:noProof/>
        </w:rPr>
        <w:t>waste</w:t>
      </w:r>
      <w:r w:rsidRPr="00F71A07">
        <w:rPr>
          <w:rFonts w:cs="Times New Roman"/>
          <w:noProof/>
        </w:rPr>
        <w:t xml:space="preserve"> Framework Directive and the United States Food Donation Improvement Act. Combining academic, industry, and governmental perspectives allows for a fair and objective analysis of hotel sustainable waste management.</w:t>
      </w:r>
    </w:p>
    <w:p w14:paraId="213CD022" w14:textId="4570AE90" w:rsidR="00701507" w:rsidRPr="00F71A07" w:rsidRDefault="008F7153" w:rsidP="00F71A07">
      <w:pPr>
        <w:pStyle w:val="Heading2"/>
        <w:rPr>
          <w:rFonts w:cs="Times New Roman"/>
          <w:noProof/>
        </w:rPr>
      </w:pPr>
      <w:bookmarkStart w:id="11" w:name="_Toc189422230"/>
      <w:r w:rsidRPr="00F71A07">
        <w:rPr>
          <w:rFonts w:cs="Times New Roman"/>
          <w:noProof/>
        </w:rPr>
        <w:t xml:space="preserve">3.3 </w:t>
      </w:r>
      <w:r w:rsidR="00701507" w:rsidRPr="00F71A07">
        <w:rPr>
          <w:rFonts w:cs="Times New Roman"/>
          <w:noProof/>
        </w:rPr>
        <w:t>Analytical Framework: Application of PESTLE Analysis</w:t>
      </w:r>
      <w:bookmarkEnd w:id="11"/>
    </w:p>
    <w:p w14:paraId="62273838" w14:textId="77777777" w:rsidR="00B25912" w:rsidRPr="00F71A07" w:rsidRDefault="00B25912" w:rsidP="00F71A07">
      <w:pPr>
        <w:rPr>
          <w:rFonts w:cs="Times New Roman"/>
          <w:noProof/>
        </w:rPr>
      </w:pPr>
      <w:r w:rsidRPr="00F71A07">
        <w:rPr>
          <w:rFonts w:cs="Times New Roman"/>
          <w:noProof/>
        </w:rPr>
        <w:t>Using PESTLE analysis, this study evaluates the external factors that influence hotel waste management and circular economy activities. The PESTLE framework evaluates industry practices by considering political, economic, social, technological, legal, and environmental factors (Rothaermel, 2019).</w:t>
      </w:r>
    </w:p>
    <w:p w14:paraId="512B7FEE" w14:textId="5FB37D4D" w:rsidR="00397704" w:rsidRPr="00F71A07" w:rsidRDefault="00B25912" w:rsidP="00F71A07">
      <w:pPr>
        <w:rPr>
          <w:rFonts w:cs="Times New Roman"/>
          <w:noProof/>
        </w:rPr>
      </w:pPr>
      <w:r w:rsidRPr="00F71A07">
        <w:rPr>
          <w:rFonts w:cs="Times New Roman"/>
          <w:noProof/>
        </w:rPr>
        <w:t xml:space="preserve">The European Commission (2023) studies the impact of government legislation, waste reduction measures, and sustainability incentives on hotel waste management from a political perspective. Economic aspects determine the financial consequences, cost savings, and profitability of circular economy efforts (Sweet, 2020). Deloitte (2023) </w:t>
      </w:r>
      <w:r w:rsidR="00E6510F" w:rsidRPr="00F71A07">
        <w:rPr>
          <w:rFonts w:cs="Times New Roman"/>
          <w:noProof/>
        </w:rPr>
        <w:t>investigates</w:t>
      </w:r>
      <w:r w:rsidRPr="00F71A07">
        <w:rPr>
          <w:rFonts w:cs="Times New Roman"/>
          <w:noProof/>
        </w:rPr>
        <w:t xml:space="preserve"> consumer preferences, corporate social responsibility, and ethics in relation to sustainability-conscious visitors' choice for eco-friendly hotels. Technological components include artificial intelligence-driven waste monitoring, blockchain sustainability applications, and breakthroughs in composting. Rothaermel (2019) investigates waste disposal, food giving, and </w:t>
      </w:r>
      <w:r w:rsidRPr="00F71A07">
        <w:rPr>
          <w:rFonts w:cs="Times New Roman"/>
          <w:noProof/>
        </w:rPr>
        <w:lastRenderedPageBreak/>
        <w:t>compliance rules. Finally, environmental factors include pollution reduction, landfill waste, and carbon emissions (Jones and Wynn, 2019). This paradigm allows for a thorough evaluation of the limits and opportunities connected with sustainable hospitality.</w:t>
      </w:r>
    </w:p>
    <w:p w14:paraId="439E79C7" w14:textId="17F94728" w:rsidR="0050451D" w:rsidRPr="00F71A07" w:rsidRDefault="0050451D" w:rsidP="00F71A07">
      <w:pPr>
        <w:pStyle w:val="Heading1"/>
        <w:rPr>
          <w:rFonts w:cs="Times New Roman"/>
          <w:noProof/>
        </w:rPr>
      </w:pPr>
      <w:bookmarkStart w:id="12" w:name="_Toc189422231"/>
      <w:r w:rsidRPr="00F71A07">
        <w:rPr>
          <w:rFonts w:cs="Times New Roman"/>
          <w:noProof/>
        </w:rPr>
        <w:t>4. Theme Impact Analysis</w:t>
      </w:r>
      <w:bookmarkEnd w:id="12"/>
    </w:p>
    <w:p w14:paraId="12C197FA" w14:textId="77777777" w:rsidR="0050451D" w:rsidRPr="00F71A07" w:rsidRDefault="0050451D" w:rsidP="00F71A07">
      <w:pPr>
        <w:pStyle w:val="Heading2"/>
        <w:rPr>
          <w:rFonts w:cs="Times New Roman"/>
          <w:noProof/>
        </w:rPr>
      </w:pPr>
      <w:bookmarkStart w:id="13" w:name="_Toc189422232"/>
      <w:r w:rsidRPr="00F71A07">
        <w:rPr>
          <w:rFonts w:cs="Times New Roman"/>
          <w:noProof/>
        </w:rPr>
        <w:t>4.1 PESTLE Analysis of Waste Management in Hospitality</w:t>
      </w:r>
      <w:bookmarkEnd w:id="13"/>
    </w:p>
    <w:p w14:paraId="27EFFFD4" w14:textId="62EEB49F" w:rsidR="0050451D" w:rsidRPr="00F71A07" w:rsidRDefault="0050451D" w:rsidP="00F71A07">
      <w:pPr>
        <w:pStyle w:val="Heading3"/>
        <w:rPr>
          <w:rFonts w:cs="Times New Roman"/>
          <w:noProof/>
        </w:rPr>
      </w:pPr>
      <w:bookmarkStart w:id="14" w:name="_Toc189422233"/>
      <w:r w:rsidRPr="00F71A07">
        <w:rPr>
          <w:rFonts w:cs="Times New Roman"/>
          <w:noProof/>
        </w:rPr>
        <w:t>4.1.1 Political Factors</w:t>
      </w:r>
      <w:bookmarkEnd w:id="14"/>
    </w:p>
    <w:p w14:paraId="47ABFB63" w14:textId="1799C940" w:rsidR="000E0336" w:rsidRPr="00F71A07" w:rsidRDefault="000E0336" w:rsidP="00F71A07">
      <w:pPr>
        <w:rPr>
          <w:rFonts w:cs="Times New Roman"/>
          <w:noProof/>
        </w:rPr>
      </w:pPr>
      <w:r w:rsidRPr="00F71A07">
        <w:rPr>
          <w:rFonts w:cs="Times New Roman"/>
          <w:noProof/>
        </w:rPr>
        <w:t xml:space="preserve">Governments all over have imposed landfill levies, </w:t>
      </w:r>
      <w:r w:rsidR="00D40CC0" w:rsidRPr="00F71A07">
        <w:rPr>
          <w:rFonts w:cs="Times New Roman"/>
          <w:noProof/>
        </w:rPr>
        <w:t>waste</w:t>
      </w:r>
      <w:r w:rsidRPr="00F71A07">
        <w:rPr>
          <w:rFonts w:cs="Times New Roman"/>
          <w:noProof/>
        </w:rPr>
        <w:t xml:space="preserve"> disposal rules, and bans on single-use plastics and therefore, helping to forward sustainability in the hotel sector</w:t>
      </w:r>
      <w:r w:rsidR="00DF3B33">
        <w:rPr>
          <w:rFonts w:cs="Times New Roman"/>
          <w:noProof/>
        </w:rPr>
        <w:t xml:space="preserve"> </w:t>
      </w:r>
      <w:r w:rsidR="00DF3B33" w:rsidRPr="00F71A07">
        <w:rPr>
          <w:rFonts w:cs="Times New Roman"/>
          <w:noProof/>
        </w:rPr>
        <w:t>(European Commission, 2023)</w:t>
      </w:r>
      <w:r w:rsidRPr="00F71A07">
        <w:rPr>
          <w:rFonts w:cs="Times New Roman"/>
          <w:noProof/>
        </w:rPr>
        <w:t xml:space="preserve">. While the EU </w:t>
      </w:r>
      <w:r w:rsidR="00E6510F" w:rsidRPr="00F71A07">
        <w:rPr>
          <w:rFonts w:cs="Times New Roman"/>
          <w:noProof/>
        </w:rPr>
        <w:t xml:space="preserve">Waste </w:t>
      </w:r>
      <w:r w:rsidRPr="00F71A07">
        <w:rPr>
          <w:rFonts w:cs="Times New Roman"/>
          <w:noProof/>
        </w:rPr>
        <w:t xml:space="preserve">Framework Directive regulates appropriate </w:t>
      </w:r>
      <w:r w:rsidR="007F5EFF" w:rsidRPr="00F71A07">
        <w:rPr>
          <w:rFonts w:cs="Times New Roman"/>
          <w:noProof/>
        </w:rPr>
        <w:t>waste</w:t>
      </w:r>
      <w:r w:rsidRPr="00F71A07">
        <w:rPr>
          <w:rFonts w:cs="Times New Roman"/>
          <w:noProof/>
        </w:rPr>
        <w:t xml:space="preserve"> collecting and recycling, hotels must reveal food waste and follow reduction activities in line with the UK Hospitality and Food Waste Reduction Strategy (Sweet, 2020).</w:t>
      </w:r>
      <w:r w:rsidRPr="00F71A07">
        <w:rPr>
          <w:rFonts w:cs="Times New Roman"/>
          <w:b/>
          <w:i/>
          <w:noProof/>
        </w:rPr>
        <w:t xml:space="preserve"> </w:t>
      </w:r>
      <w:r w:rsidRPr="00F71A07">
        <w:rPr>
          <w:rFonts w:cs="Times New Roman"/>
          <w:noProof/>
        </w:rPr>
        <w:t xml:space="preserve">Hotels have responded with aggressive programs for </w:t>
      </w:r>
      <w:r w:rsidR="007F5EFF" w:rsidRPr="00F71A07">
        <w:rPr>
          <w:rFonts w:cs="Times New Roman"/>
          <w:noProof/>
        </w:rPr>
        <w:t>waste</w:t>
      </w:r>
      <w:r w:rsidRPr="00F71A07">
        <w:rPr>
          <w:rFonts w:cs="Times New Roman"/>
          <w:noProof/>
        </w:rPr>
        <w:t xml:space="preserve"> minimisation. Marriott International replaced 500 million single-use plastic toiletries with bulk dispensers to meet European Union, United States, and Asian needs (Marriott International, 2023). As part of Planet 21 Accor Hotels set regional </w:t>
      </w:r>
      <w:r w:rsidR="00D40CC0" w:rsidRPr="00F71A07">
        <w:rPr>
          <w:rFonts w:cs="Times New Roman"/>
          <w:noProof/>
        </w:rPr>
        <w:t>waste</w:t>
      </w:r>
      <w:r w:rsidRPr="00F71A07">
        <w:rPr>
          <w:rFonts w:cs="Times New Roman"/>
          <w:noProof/>
        </w:rPr>
        <w:t xml:space="preserve"> sorting and recycling systems. Strict sustainability criteria in industrialised countries than in developing ones provide difficulties for multinational hotel chains (Vashishth et al., 2024).</w:t>
      </w:r>
    </w:p>
    <w:p w14:paraId="1CCAC142" w14:textId="3BDA57C0" w:rsidR="0050451D" w:rsidRPr="00F71A07" w:rsidRDefault="0050451D" w:rsidP="00F71A07">
      <w:pPr>
        <w:pStyle w:val="Heading3"/>
        <w:rPr>
          <w:rFonts w:cs="Times New Roman"/>
          <w:noProof/>
        </w:rPr>
      </w:pPr>
      <w:bookmarkStart w:id="15" w:name="_Toc189422234"/>
      <w:r w:rsidRPr="00F71A07">
        <w:rPr>
          <w:rFonts w:cs="Times New Roman"/>
          <w:noProof/>
        </w:rPr>
        <w:t>4.1.2 Economic Factors</w:t>
      </w:r>
      <w:bookmarkEnd w:id="15"/>
    </w:p>
    <w:p w14:paraId="69C5947B" w14:textId="0BF20281" w:rsidR="0050451D" w:rsidRPr="00F71A07" w:rsidRDefault="00067719" w:rsidP="00F71A07">
      <w:pPr>
        <w:rPr>
          <w:rFonts w:cs="Times New Roman"/>
          <w:noProof/>
        </w:rPr>
      </w:pPr>
      <w:r w:rsidRPr="00F71A07">
        <w:rPr>
          <w:rFonts w:cs="Times New Roman"/>
          <w:noProof/>
        </w:rPr>
        <w:t>Although the initial expenditure is significant, hotels that employ waste management systems see cost reductions. Juvan, Grün, and Dolnicar (2023) discovered that hotels can save $7 for every $1 invested in coordinated food waste reduction campaigns that use AI-powered inventory management and portion control. Hilton properties installed AI-powered food waste monitoring systems in several properties, resulting in a 61% reduction in food waste and a $16 million savings (Hilton Sustainability Report, 2022). Composting systems, artificial intelligence (AI), and waste-to-energy infrastructure are too expensive for small hotels (Deloitte, 2023). Large enterprises can benefit from economies of scale, whereas low-cost hotels cannot afford pricey sustainability solutions. The ROI of circular economy models is sometimes questioned, especially in areas with reduced waste disposal costs (Viscardi, Colicchia, and Creazza, 2023).</w:t>
      </w:r>
    </w:p>
    <w:p w14:paraId="5BDE227A" w14:textId="5E28A834" w:rsidR="0050451D" w:rsidRPr="00F71A07" w:rsidRDefault="0050451D" w:rsidP="00F71A07">
      <w:pPr>
        <w:pStyle w:val="Heading3"/>
        <w:rPr>
          <w:rFonts w:cs="Times New Roman"/>
          <w:noProof/>
        </w:rPr>
      </w:pPr>
      <w:bookmarkStart w:id="16" w:name="_Toc189422235"/>
      <w:r w:rsidRPr="00F71A07">
        <w:rPr>
          <w:rFonts w:cs="Times New Roman"/>
          <w:noProof/>
        </w:rPr>
        <w:t>4.1.3 Social Factors</w:t>
      </w:r>
      <w:bookmarkEnd w:id="16"/>
    </w:p>
    <w:p w14:paraId="3DED67B5" w14:textId="77777777" w:rsidR="00067719" w:rsidRPr="00F71A07" w:rsidRDefault="00067719" w:rsidP="00F71A07">
      <w:pPr>
        <w:rPr>
          <w:rFonts w:cs="Times New Roman"/>
          <w:noProof/>
        </w:rPr>
      </w:pPr>
      <w:r w:rsidRPr="00F71A07">
        <w:rPr>
          <w:rFonts w:cs="Times New Roman"/>
          <w:noProof/>
        </w:rPr>
        <w:t xml:space="preserve">As people become more ecologically conscious, eco-friendly hotels are becoming increasingly popular. According to Deloitte (2023), 65% of visitors prefer hotels with significant </w:t>
      </w:r>
      <w:r w:rsidRPr="00F71A07">
        <w:rPr>
          <w:rFonts w:cs="Times New Roman"/>
          <w:noProof/>
        </w:rPr>
        <w:lastRenderedPageBreak/>
        <w:t>sustainability commitments, and 50% are willing to pay more for them. This has necessary that the most prestigious hotels please their customers. Six Senses Hotels has implemented a number of sustainability initiatives, including the elimination of plastic, the implementation of on-site composting, the upcycling of hotel linens and furnishings, and the transition to a 100% zero-waste policy for clients who value sustainability (Six Senses Sustainability Report, 2023). IHG Hotels &amp; Resorts' food donation initiatives promote corporate social responsibility while reducing waste (IHG, 2022). Despite these developments, greenwashing—the practice of inflating organisations' sustainability claims—has emerged as a source of worry. Consumers distrust hotels that promote "eco-friendly" measures without concrete benefits (Wan, Shen, and Choi, 2019). To increase visitor confidence in waste reduction, the sector must undertake transparent sustainability reporting and independent verification.</w:t>
      </w:r>
    </w:p>
    <w:p w14:paraId="74C6DB41" w14:textId="70406132" w:rsidR="0050451D" w:rsidRPr="00F71A07" w:rsidRDefault="0050451D" w:rsidP="00F71A07">
      <w:pPr>
        <w:pStyle w:val="Heading3"/>
        <w:rPr>
          <w:rFonts w:cs="Times New Roman"/>
          <w:noProof/>
        </w:rPr>
      </w:pPr>
      <w:bookmarkStart w:id="17" w:name="_Toc189422236"/>
      <w:r w:rsidRPr="00F71A07">
        <w:rPr>
          <w:rFonts w:cs="Times New Roman"/>
          <w:noProof/>
        </w:rPr>
        <w:t>4.1.4 Technological Factors</w:t>
      </w:r>
      <w:bookmarkEnd w:id="17"/>
    </w:p>
    <w:p w14:paraId="4A847116" w14:textId="1DC6E750" w:rsidR="0050451D" w:rsidRPr="00F71A07" w:rsidRDefault="00067719" w:rsidP="00F71A07">
      <w:pPr>
        <w:rPr>
          <w:rFonts w:cs="Times New Roman"/>
          <w:noProof/>
        </w:rPr>
      </w:pPr>
      <w:r w:rsidRPr="00F71A07">
        <w:rPr>
          <w:rFonts w:cs="Times New Roman"/>
          <w:noProof/>
        </w:rPr>
        <w:t xml:space="preserve">Modernising hospitality's waste management calls for technical innovation. Smart composting solutions, IoT-based </w:t>
      </w:r>
      <w:r w:rsidR="007F5EFF" w:rsidRPr="00F71A07">
        <w:rPr>
          <w:rFonts w:cs="Times New Roman"/>
          <w:noProof/>
        </w:rPr>
        <w:t>waste</w:t>
      </w:r>
      <w:r w:rsidRPr="00F71A07">
        <w:rPr>
          <w:rFonts w:cs="Times New Roman"/>
          <w:noProof/>
        </w:rPr>
        <w:t xml:space="preserve"> monitoring, and AI-driven inventory systems help hotels to track, reduce, and maximise waste (Zaki, 2024). Hotels use AI-powered food waste monitoring systems from Winnow Solutions to examine kitchen waste trends and give chefs real-time feedback. Marriott International used Winnow AI to 45% globally reduce food waste (Winnow Solutions, 2023). IoT is also used to maximise waste receptacle levels, track IoT, and boost recycling (Zaki, 2024). Accor Hotels (2022) claim that the use of smart waste receptacles has segregated waste and increased recycling by 60%. Still, the significant implementation expenses and training needs hinder the acceptability of these developments, especially for smaller hotel owners without technological knowledge (Juvan, Grün, and Dolnicar, 2023).</w:t>
      </w:r>
    </w:p>
    <w:p w14:paraId="55F342F1" w14:textId="06F5D19B" w:rsidR="0050451D" w:rsidRPr="00F71A07" w:rsidRDefault="0050451D" w:rsidP="00F71A07">
      <w:pPr>
        <w:pStyle w:val="Heading3"/>
        <w:rPr>
          <w:rFonts w:cs="Times New Roman"/>
          <w:noProof/>
        </w:rPr>
      </w:pPr>
      <w:bookmarkStart w:id="18" w:name="_Toc189422237"/>
      <w:r w:rsidRPr="00F71A07">
        <w:rPr>
          <w:rFonts w:cs="Times New Roman"/>
          <w:noProof/>
        </w:rPr>
        <w:t>4.1.5 Legal Factors</w:t>
      </w:r>
      <w:bookmarkEnd w:id="18"/>
    </w:p>
    <w:p w14:paraId="2CF67055" w14:textId="1425D867" w:rsidR="0050451D" w:rsidRPr="00F71A07" w:rsidRDefault="00067719" w:rsidP="00F71A07">
      <w:pPr>
        <w:rPr>
          <w:rFonts w:cs="Times New Roman"/>
          <w:noProof/>
        </w:rPr>
      </w:pPr>
      <w:r w:rsidRPr="00F71A07">
        <w:rPr>
          <w:rFonts w:cs="Times New Roman"/>
          <w:noProof/>
        </w:rPr>
        <w:t xml:space="preserve">Waste disposal rules, food donations, and recycling are getting ever </w:t>
      </w:r>
      <w:r w:rsidR="0055318A" w:rsidRPr="00F71A07">
        <w:rPr>
          <w:rFonts w:cs="Times New Roman"/>
          <w:noProof/>
        </w:rPr>
        <w:t>stricter</w:t>
      </w:r>
      <w:r w:rsidRPr="00F71A07">
        <w:rPr>
          <w:rFonts w:cs="Times New Roman"/>
          <w:noProof/>
        </w:rPr>
        <w:t xml:space="preserve"> (Zaki, 2024). Hotels are obliged to cut waste and donate food in line with the US Food Donation Improvement Act (2022) and the EU Circular Economy Action Plan (2023), European Commission, 2023). Many hotels have put food donation policies into effect out of legal need. To reuse extra food, Hilton Hotels works with food pantries and nonprofit groups, therefore lowering </w:t>
      </w:r>
      <w:r w:rsidR="007F5EFF" w:rsidRPr="00F71A07">
        <w:rPr>
          <w:rFonts w:cs="Times New Roman"/>
          <w:noProof/>
        </w:rPr>
        <w:t>waste</w:t>
      </w:r>
      <w:r w:rsidRPr="00F71A07">
        <w:rPr>
          <w:rFonts w:cs="Times New Roman"/>
          <w:noProof/>
        </w:rPr>
        <w:t xml:space="preserve"> disposal expenses and following legal standards (Hilton CSR Report, 2022). Legal distinctions between countries make compliance difficult. While some nations lack legislation, which hinders the application of sustainability rules by global hotel chains, others encourage waste reduction (UNEP, 2021).</w:t>
      </w:r>
    </w:p>
    <w:p w14:paraId="05402E4C" w14:textId="66C6E97A" w:rsidR="0050451D" w:rsidRPr="00F71A07" w:rsidRDefault="0050451D" w:rsidP="00F71A07">
      <w:pPr>
        <w:pStyle w:val="Heading3"/>
        <w:rPr>
          <w:rFonts w:cs="Times New Roman"/>
          <w:noProof/>
        </w:rPr>
      </w:pPr>
      <w:bookmarkStart w:id="19" w:name="_Toc189422238"/>
      <w:r w:rsidRPr="00F71A07">
        <w:rPr>
          <w:rFonts w:cs="Times New Roman"/>
          <w:noProof/>
        </w:rPr>
        <w:lastRenderedPageBreak/>
        <w:t>4.1.6 Environmental Factors</w:t>
      </w:r>
      <w:bookmarkEnd w:id="19"/>
    </w:p>
    <w:p w14:paraId="19953BF9" w14:textId="1FF7188B" w:rsidR="00067719" w:rsidRPr="00F71A07" w:rsidRDefault="00067719" w:rsidP="00F71A07">
      <w:pPr>
        <w:rPr>
          <w:rFonts w:cs="Times New Roman"/>
          <w:noProof/>
        </w:rPr>
      </w:pPr>
      <w:r w:rsidRPr="00F71A07">
        <w:rPr>
          <w:rFonts w:cs="Times New Roman"/>
          <w:noProof/>
        </w:rPr>
        <w:t xml:space="preserve">The environmental effect of the hotel sector drives adoption of the circular economy. To solve the landfill waste, carbon emissions, and plastic pollution hotels produce (FAO, 2022), quick sustainability actions are required. Many hotel chains have driven environmental projects. The Six Senses Sustainability Report (2023) claims that upcycling, composting, and water management help 50% of the resort </w:t>
      </w:r>
      <w:r w:rsidR="00D40CC0" w:rsidRPr="00F71A07">
        <w:rPr>
          <w:rFonts w:cs="Times New Roman"/>
          <w:noProof/>
        </w:rPr>
        <w:t>waste</w:t>
      </w:r>
      <w:r w:rsidRPr="00F71A07">
        <w:rPr>
          <w:rFonts w:cs="Times New Roman"/>
          <w:noProof/>
        </w:rPr>
        <w:t xml:space="preserve"> to wind its way from landfills. Using smart portioning and waste tracking, IHG hopes to cut food waste by 50% by 2030 (IHG, 2022). Despite progress, difficulties still exist. In poor countries, hotels find high sustainable material costs and insufficient waste recycling systems (Jones and Wynn, 2019). Globally scaled sustainability depends on industry cooperation and government backing.</w:t>
      </w:r>
    </w:p>
    <w:p w14:paraId="19793669" w14:textId="5D05F678" w:rsidR="0050451D" w:rsidRPr="00F71A07" w:rsidRDefault="0050451D" w:rsidP="00F71A07">
      <w:pPr>
        <w:pStyle w:val="Heading1"/>
        <w:rPr>
          <w:rFonts w:cs="Times New Roman"/>
          <w:noProof/>
        </w:rPr>
      </w:pPr>
      <w:bookmarkStart w:id="20" w:name="_Toc189422239"/>
      <w:r w:rsidRPr="00F71A07">
        <w:rPr>
          <w:rFonts w:cs="Times New Roman"/>
          <w:noProof/>
        </w:rPr>
        <w:t>5. Conclusion</w:t>
      </w:r>
      <w:bookmarkEnd w:id="20"/>
    </w:p>
    <w:p w14:paraId="24633192" w14:textId="1AA15B17" w:rsidR="000E0336" w:rsidRPr="00F71A07" w:rsidRDefault="000E0336" w:rsidP="00F71A07">
      <w:pPr>
        <w:rPr>
          <w:rFonts w:cs="Times New Roman"/>
          <w:noProof/>
        </w:rPr>
      </w:pPr>
      <w:r w:rsidRPr="00F71A07">
        <w:rPr>
          <w:rFonts w:cs="Times New Roman"/>
          <w:noProof/>
        </w:rPr>
        <w:t xml:space="preserve">The food, plastic, and textile waste of the hotel sector compromises global sustainability. Waste management techniques and circular economy solutions improve operational efficiency, financial sustainability, and environmental effect as this paper shows. hotels generate about 79 million tonnes of solid waste annually; food makes about 30% of this total (UNEP, 2021). Industry statistics (Juvan, Grün, </w:t>
      </w:r>
      <w:r w:rsidR="007F5EFF" w:rsidRPr="00F71A07">
        <w:rPr>
          <w:rFonts w:cs="Times New Roman"/>
          <w:noProof/>
        </w:rPr>
        <w:t>and</w:t>
      </w:r>
      <w:r w:rsidRPr="00F71A07">
        <w:rPr>
          <w:rFonts w:cs="Times New Roman"/>
          <w:noProof/>
        </w:rPr>
        <w:t xml:space="preserve"> Dolnicar, 2023) show that, for every $1 invested, structured waste reduction solutions save $7.</w:t>
      </w:r>
      <w:r w:rsidRPr="00F71A07">
        <w:rPr>
          <w:rFonts w:cs="Times New Roman"/>
          <w:b/>
          <w:noProof/>
        </w:rPr>
        <w:t xml:space="preserve"> </w:t>
      </w:r>
      <w:r w:rsidRPr="00F71A07">
        <w:rPr>
          <w:rFonts w:cs="Times New Roman"/>
          <w:noProof/>
        </w:rPr>
        <w:t>Marriott, Hilton, Six Senses, and Accor show how AI-driven food monitoring, composting, and sustainable procurement lower costs, improve brand reputation, and raise customer loyalty (Hilton Sustainability Report, 2022; Accor, 2022). Notwithstanding consumer demand and government efforts, budgetary restrictions, technological obstacles, and unfair laws slow down progress (European Commission, 2023).</w:t>
      </w:r>
    </w:p>
    <w:p w14:paraId="1AC8B899" w14:textId="3722D262" w:rsidR="000E0336" w:rsidRPr="00F71A07" w:rsidRDefault="000E0336" w:rsidP="00F71A07">
      <w:pPr>
        <w:rPr>
          <w:rFonts w:cs="Times New Roman"/>
          <w:b/>
          <w:noProof/>
        </w:rPr>
      </w:pPr>
      <w:r w:rsidRPr="00F71A07">
        <w:rPr>
          <w:rFonts w:cs="Times New Roman"/>
          <w:noProof/>
        </w:rPr>
        <w:t xml:space="preserve">Policy improvements, technical innovations, and industry cooperation will help the sector to be future proof. Governments demand more strict waste reduction laws, financial incentives, and consistent sustainability reporting (UNEP, 2021). Hotel circular economy solutions, IoT-based recycling, and AI-driven </w:t>
      </w:r>
      <w:r w:rsidR="007F5EFF" w:rsidRPr="00F71A07">
        <w:rPr>
          <w:rFonts w:cs="Times New Roman"/>
          <w:noProof/>
        </w:rPr>
        <w:t>waste</w:t>
      </w:r>
      <w:r w:rsidRPr="00F71A07">
        <w:rPr>
          <w:rFonts w:cs="Times New Roman"/>
          <w:noProof/>
        </w:rPr>
        <w:t xml:space="preserve"> monitoring will help hotels reach zero-waste status (World Sustainable Hospitality Alliance, 2023). Cooperation among several sectors is essential to improve the openness of the supply chain, recycling, and food donations (Deloitte, 2023).</w:t>
      </w:r>
      <w:r w:rsidRPr="00F71A07">
        <w:rPr>
          <w:rFonts w:cs="Times New Roman"/>
          <w:b/>
          <w:noProof/>
        </w:rPr>
        <w:t xml:space="preserve"> </w:t>
      </w:r>
      <w:r w:rsidRPr="00F71A07">
        <w:rPr>
          <w:rFonts w:cs="Times New Roman"/>
          <w:noProof/>
        </w:rPr>
        <w:t>Among strategic and environmental imperatives are waste management and circular economies. With policy backing, creativity, and teamwork, the hotel industry might flourish in a sustainability-driven economy.</w:t>
      </w:r>
    </w:p>
    <w:p w14:paraId="758688C6" w14:textId="73D70431" w:rsidR="0050451D" w:rsidRPr="00F71A07" w:rsidRDefault="0050451D" w:rsidP="00F71A07">
      <w:pPr>
        <w:pStyle w:val="Heading1"/>
        <w:rPr>
          <w:rFonts w:eastAsiaTheme="minorHAnsi" w:cs="Times New Roman"/>
          <w:b w:val="0"/>
          <w:noProof/>
          <w:sz w:val="24"/>
          <w:szCs w:val="24"/>
        </w:rPr>
      </w:pPr>
      <w:bookmarkStart w:id="21" w:name="_Toc189422240"/>
      <w:r w:rsidRPr="00F71A07">
        <w:rPr>
          <w:rFonts w:cs="Times New Roman"/>
          <w:noProof/>
        </w:rPr>
        <w:lastRenderedPageBreak/>
        <w:t>6. Recommendation</w:t>
      </w:r>
      <w:bookmarkEnd w:id="21"/>
    </w:p>
    <w:p w14:paraId="7F4D4756" w14:textId="1C79E489" w:rsidR="00157BA8" w:rsidRPr="00F71A07" w:rsidRDefault="0050451D" w:rsidP="00F71A07">
      <w:pPr>
        <w:pStyle w:val="ListParagraph"/>
        <w:numPr>
          <w:ilvl w:val="0"/>
          <w:numId w:val="2"/>
        </w:numPr>
        <w:rPr>
          <w:rFonts w:cs="Times New Roman"/>
          <w:noProof/>
        </w:rPr>
      </w:pPr>
      <w:r w:rsidRPr="00F71A07">
        <w:rPr>
          <w:rFonts w:cs="Times New Roman"/>
          <w:b/>
          <w:bCs/>
          <w:i/>
          <w:iCs/>
          <w:noProof/>
        </w:rPr>
        <w:t>Implement AI-Driven Inventory Management to Optimize Food Usage and Minimize Waste:</w:t>
      </w:r>
      <w:r w:rsidRPr="00F71A07">
        <w:rPr>
          <w:rFonts w:cs="Times New Roman"/>
          <w:noProof/>
        </w:rPr>
        <w:t xml:space="preserve"> </w:t>
      </w:r>
      <w:r w:rsidR="00067719" w:rsidRPr="00F71A07">
        <w:rPr>
          <w:rFonts w:cs="Times New Roman"/>
          <w:noProof/>
        </w:rPr>
        <w:t>Over-purchasing, poor forecasting, and incorrect storage are blamed by the FAO (2022) for hotel food waste of 17–20%. AI solutions as Winnow Vision use real-time monitoring and machine learning to maximise food procurement and lower waste (Winnow, 2023). By 61%, Hilton Hotels' AI-driven food waste monitoring cut waste, therefore reducing costs (Hilton Sustainability Report, 2022). Hotel use of AI-driven inventory systems will help to improve stock control and disposal costs. Smaller properties' implementation calls for government incentives and business alliances (Deloitte, 2023).</w:t>
      </w:r>
    </w:p>
    <w:p w14:paraId="5DD20724" w14:textId="49562D62" w:rsidR="0050451D" w:rsidRPr="00F71A07" w:rsidRDefault="0050451D" w:rsidP="00F71A07">
      <w:pPr>
        <w:pStyle w:val="ListParagraph"/>
        <w:numPr>
          <w:ilvl w:val="0"/>
          <w:numId w:val="2"/>
        </w:numPr>
        <w:rPr>
          <w:rFonts w:cs="Times New Roman"/>
          <w:noProof/>
        </w:rPr>
      </w:pPr>
      <w:r w:rsidRPr="00F71A07">
        <w:rPr>
          <w:rFonts w:cs="Times New Roman"/>
          <w:b/>
          <w:bCs/>
          <w:i/>
          <w:iCs/>
          <w:noProof/>
        </w:rPr>
        <w:t>Establish Partnerships with Local Food Banks and Waste Management Organizations:</w:t>
      </w:r>
      <w:r w:rsidRPr="00F71A07">
        <w:rPr>
          <w:rFonts w:cs="Times New Roman"/>
          <w:noProof/>
        </w:rPr>
        <w:t xml:space="preserve"> </w:t>
      </w:r>
      <w:r w:rsidR="00067719" w:rsidRPr="00F71A07">
        <w:rPr>
          <w:rFonts w:cs="Times New Roman"/>
          <w:noProof/>
        </w:rPr>
        <w:t xml:space="preserve">Although about one-third of world food output is wasted, millions of people are hungry (FAO, 2022). Hotel waste can be reduced and corporate social responsibility (Karki, Bennett, </w:t>
      </w:r>
      <w:r w:rsidR="007F5EFF" w:rsidRPr="00F71A07">
        <w:rPr>
          <w:rFonts w:cs="Times New Roman"/>
          <w:noProof/>
        </w:rPr>
        <w:t>and</w:t>
      </w:r>
      <w:r w:rsidR="00067719" w:rsidRPr="00F71A07">
        <w:rPr>
          <w:rFonts w:cs="Times New Roman"/>
          <w:noProof/>
        </w:rPr>
        <w:t xml:space="preserve"> Mishra, 2021) improved by hotels donating extra food to food banks and shelters. Through the redistribution of reduced meals, Accor Hotels' relationship with Too Good to Go has produced a 25% decrease in food waste (Accor, 2022). Marriott International recycles extra food in concert with Feeding America (Marriott CSR Report, 2023). Through tax incentives and government-issued food safety policies, hotels could be driven to create food donating alliances (Juvan, Grün, </w:t>
      </w:r>
      <w:r w:rsidR="007F5EFF" w:rsidRPr="00F71A07">
        <w:rPr>
          <w:rFonts w:cs="Times New Roman"/>
          <w:noProof/>
        </w:rPr>
        <w:t>and</w:t>
      </w:r>
      <w:r w:rsidR="00067719" w:rsidRPr="00F71A07">
        <w:rPr>
          <w:rFonts w:cs="Times New Roman"/>
          <w:noProof/>
        </w:rPr>
        <w:t xml:space="preserve"> Dolnicar, 2023).</w:t>
      </w:r>
    </w:p>
    <w:p w14:paraId="23DF1878" w14:textId="63DD9211" w:rsidR="000E0336" w:rsidRPr="00F71A07" w:rsidRDefault="0050451D" w:rsidP="00F71A07">
      <w:pPr>
        <w:pStyle w:val="ListParagraph"/>
        <w:numPr>
          <w:ilvl w:val="0"/>
          <w:numId w:val="2"/>
        </w:numPr>
        <w:rPr>
          <w:rFonts w:cs="Times New Roman"/>
          <w:noProof/>
        </w:rPr>
      </w:pPr>
      <w:r w:rsidRPr="00F71A07">
        <w:rPr>
          <w:rFonts w:cs="Times New Roman"/>
          <w:b/>
          <w:bCs/>
          <w:i/>
          <w:iCs/>
          <w:noProof/>
        </w:rPr>
        <w:t>Invest in On-Site Composting and Waste-to-Energy Technologies:</w:t>
      </w:r>
      <w:r w:rsidRPr="00F71A07">
        <w:rPr>
          <w:rFonts w:cs="Times New Roman"/>
          <w:noProof/>
        </w:rPr>
        <w:t xml:space="preserve"> </w:t>
      </w:r>
      <w:r w:rsidR="00067719" w:rsidRPr="00F71A07">
        <w:rPr>
          <w:rFonts w:cs="Times New Roman"/>
          <w:noProof/>
        </w:rPr>
        <w:t xml:space="preserve">Hotels produce significant amounts of organic waste, so waste-to-- energy solutions and composting (Viscardi, Colicchia, </w:t>
      </w:r>
      <w:r w:rsidR="007F5EFF" w:rsidRPr="00F71A07">
        <w:rPr>
          <w:rFonts w:cs="Times New Roman"/>
          <w:noProof/>
        </w:rPr>
        <w:t>and</w:t>
      </w:r>
      <w:r w:rsidR="00067719" w:rsidRPr="00F71A07">
        <w:rPr>
          <w:rFonts w:cs="Times New Roman"/>
          <w:noProof/>
        </w:rPr>
        <w:t xml:space="preserve"> Creazza, 2023) are quite important. Food waste is turned by hotel composting into fertiliser for organic farming and landscaping (Karki, Bennett, </w:t>
      </w:r>
      <w:r w:rsidR="007F5EFF" w:rsidRPr="00F71A07">
        <w:rPr>
          <w:rFonts w:cs="Times New Roman"/>
          <w:noProof/>
        </w:rPr>
        <w:t>and</w:t>
      </w:r>
      <w:r w:rsidR="00067719" w:rsidRPr="00F71A07">
        <w:rPr>
          <w:rFonts w:cs="Times New Roman"/>
          <w:noProof/>
        </w:rPr>
        <w:t xml:space="preserve"> Mishra, 2021.). Hyatt Regency Group's reliance on landfills dropped by 60% (Hyatt Corporate Responsibility Report, 2022) by using anaerobic digesters to turn </w:t>
      </w:r>
      <w:r w:rsidR="007F5EFF" w:rsidRPr="00F71A07">
        <w:rPr>
          <w:rFonts w:cs="Times New Roman"/>
          <w:noProof/>
        </w:rPr>
        <w:t>waste</w:t>
      </w:r>
      <w:r w:rsidR="00067719" w:rsidRPr="00F71A07">
        <w:rPr>
          <w:rFonts w:cs="Times New Roman"/>
          <w:noProof/>
        </w:rPr>
        <w:t xml:space="preserve"> into biogas. Hotel </w:t>
      </w:r>
      <w:r w:rsidR="007F5EFF" w:rsidRPr="00F71A07">
        <w:rPr>
          <w:rFonts w:cs="Times New Roman"/>
          <w:noProof/>
        </w:rPr>
        <w:t>waste</w:t>
      </w:r>
      <w:r w:rsidR="00067719" w:rsidRPr="00F71A07">
        <w:rPr>
          <w:rFonts w:cs="Times New Roman"/>
          <w:noProof/>
        </w:rPr>
        <w:t xml:space="preserve"> separation and scalable composting will help to maximise efficiency. Adopting waste-to---energy projects </w:t>
      </w:r>
      <w:r w:rsidR="00E6510F" w:rsidRPr="00F71A07">
        <w:rPr>
          <w:rFonts w:cs="Times New Roman"/>
          <w:noProof/>
        </w:rPr>
        <w:t>call</w:t>
      </w:r>
      <w:r w:rsidR="00067719" w:rsidRPr="00F71A07">
        <w:rPr>
          <w:rFonts w:cs="Times New Roman"/>
          <w:noProof/>
        </w:rPr>
        <w:t xml:space="preserve"> for grants and financial incentives for hotels (World Sustainable Hospitality Alliance, 2023).</w:t>
      </w:r>
    </w:p>
    <w:p w14:paraId="7EF16912" w14:textId="24CBFC8F" w:rsidR="0050451D" w:rsidRPr="00F71A07" w:rsidRDefault="0050451D" w:rsidP="00F71A07">
      <w:pPr>
        <w:pStyle w:val="ListParagraph"/>
        <w:numPr>
          <w:ilvl w:val="0"/>
          <w:numId w:val="2"/>
        </w:numPr>
        <w:rPr>
          <w:rFonts w:cs="Times New Roman"/>
          <w:noProof/>
        </w:rPr>
      </w:pPr>
      <w:r w:rsidRPr="00F71A07">
        <w:rPr>
          <w:rFonts w:cs="Times New Roman"/>
          <w:b/>
          <w:bCs/>
          <w:i/>
          <w:iCs/>
          <w:noProof/>
        </w:rPr>
        <w:t>Encourage Consumer Awareness and Participation in Sustainable Hotel Programs:</w:t>
      </w:r>
      <w:r w:rsidRPr="00F71A07">
        <w:rPr>
          <w:rFonts w:cs="Times New Roman"/>
          <w:noProof/>
        </w:rPr>
        <w:t xml:space="preserve"> </w:t>
      </w:r>
      <w:r w:rsidR="00067719" w:rsidRPr="00F71A07">
        <w:rPr>
          <w:rFonts w:cs="Times New Roman"/>
          <w:noProof/>
        </w:rPr>
        <w:t xml:space="preserve">Reducing hospitality waste calls for consumer collaboration (Deloitte, 2023). Hotel customers should employ incentives for the reprocessing of towels and linens, including Marriott's Green Choice Program, to inspire them to provide housekeeping off-target. </w:t>
      </w:r>
      <w:r w:rsidR="00067719" w:rsidRPr="00F71A07">
        <w:rPr>
          <w:rFonts w:cs="Times New Roman"/>
          <w:noProof/>
        </w:rPr>
        <w:lastRenderedPageBreak/>
        <w:t xml:space="preserve">Replaceable water stations and biodegradable conveniences. Digital ads guiding guests towards waste reduction and sustainability (Karki, Bennett, </w:t>
      </w:r>
      <w:r w:rsidR="007F5EFF" w:rsidRPr="00F71A07">
        <w:rPr>
          <w:rFonts w:cs="Times New Roman"/>
          <w:noProof/>
        </w:rPr>
        <w:t>and</w:t>
      </w:r>
      <w:r w:rsidR="00067719" w:rsidRPr="00F71A07">
        <w:rPr>
          <w:rFonts w:cs="Times New Roman"/>
          <w:noProof/>
        </w:rPr>
        <w:t xml:space="preserve"> Mishra, 2021). Guest sustainability projects at Six Senses Resorts have helped to cut single-use plastics by eighty percent (Six Senses Resorts, 2023). To help visitors find sustainable hotels, governments and business groups should support eco-certifications including LEED, Green Key, and EarthCheck (World Sustainable Hospitality Alliance, 2023).</w:t>
      </w:r>
    </w:p>
    <w:p w14:paraId="3994030C" w14:textId="77777777" w:rsidR="000E0336" w:rsidRPr="00F71A07" w:rsidRDefault="000E0336" w:rsidP="00F71A07">
      <w:pPr>
        <w:jc w:val="left"/>
        <w:rPr>
          <w:rFonts w:eastAsiaTheme="majorEastAsia" w:cs="Times New Roman"/>
          <w:b/>
          <w:noProof/>
          <w:sz w:val="32"/>
          <w:szCs w:val="32"/>
        </w:rPr>
      </w:pPr>
      <w:r w:rsidRPr="00F71A07">
        <w:rPr>
          <w:rFonts w:cs="Times New Roman"/>
          <w:noProof/>
        </w:rPr>
        <w:br w:type="page"/>
      </w:r>
    </w:p>
    <w:p w14:paraId="6BC84303" w14:textId="562DE416" w:rsidR="0050451D" w:rsidRPr="00F71A07" w:rsidRDefault="0050451D" w:rsidP="00F71A07">
      <w:pPr>
        <w:pStyle w:val="Heading1"/>
        <w:rPr>
          <w:rFonts w:cs="Times New Roman"/>
          <w:noProof/>
        </w:rPr>
      </w:pPr>
      <w:bookmarkStart w:id="22" w:name="_Toc189422241"/>
      <w:r w:rsidRPr="00F71A07">
        <w:rPr>
          <w:rFonts w:cs="Times New Roman"/>
          <w:noProof/>
        </w:rPr>
        <w:lastRenderedPageBreak/>
        <w:t>Reference List</w:t>
      </w:r>
      <w:bookmarkEnd w:id="22"/>
    </w:p>
    <w:bookmarkEnd w:id="0"/>
    <w:p w14:paraId="5C66928B" w14:textId="77777777" w:rsidR="00EF36C5" w:rsidRPr="00F71A07" w:rsidRDefault="00EF36C5" w:rsidP="00F71A07">
      <w:pPr>
        <w:rPr>
          <w:rFonts w:cs="Times New Roman"/>
          <w:noProof/>
        </w:rPr>
      </w:pPr>
      <w:r w:rsidRPr="00F71A07">
        <w:rPr>
          <w:rFonts w:cs="Times New Roman"/>
          <w:noProof/>
        </w:rPr>
        <w:t xml:space="preserve">Accor (2022). </w:t>
      </w:r>
      <w:r w:rsidRPr="00F71A07">
        <w:rPr>
          <w:rFonts w:cs="Times New Roman"/>
          <w:i/>
          <w:iCs/>
          <w:noProof/>
        </w:rPr>
        <w:t>Accor: 2022 Integrated Report</w:t>
      </w:r>
      <w:r w:rsidRPr="00F71A07">
        <w:rPr>
          <w:rFonts w:cs="Times New Roman"/>
          <w:noProof/>
        </w:rPr>
        <w:t>. [online] Accor Group. Available at: https://group.accor.com/-/media/Corporate/Investors/Documents-de-reference/ACCOR_RI_2022_UK_vlast.pdf [Accessed 1 Feb. 2025].</w:t>
      </w:r>
    </w:p>
    <w:p w14:paraId="6610BFE7" w14:textId="77777777" w:rsidR="00EF36C5" w:rsidRPr="00F71A07" w:rsidRDefault="00EF36C5" w:rsidP="00F71A07">
      <w:pPr>
        <w:rPr>
          <w:rFonts w:cs="Times New Roman"/>
          <w:noProof/>
        </w:rPr>
      </w:pPr>
      <w:r w:rsidRPr="00F71A07">
        <w:rPr>
          <w:rFonts w:eastAsia="Times New Roman" w:cs="Times New Roman"/>
          <w:noProof/>
          <w:lang w:eastAsia="en-GB"/>
        </w:rPr>
        <w:t xml:space="preserve">Bandara, W., Furtmueller, E., Gorbacheva, E., Miskon, S. and Beekhuyzen, J. (2015). Achieving rigor in literature reviews: Insights from qualitative data analysis and tool-support. </w:t>
      </w:r>
      <w:r w:rsidRPr="00F71A07">
        <w:rPr>
          <w:rFonts w:eastAsia="Times New Roman" w:cs="Times New Roman"/>
          <w:i/>
          <w:iCs/>
          <w:noProof/>
          <w:lang w:eastAsia="en-GB"/>
        </w:rPr>
        <w:t>Communications of the Association for Information systems</w:t>
      </w:r>
      <w:r w:rsidRPr="00F71A07">
        <w:rPr>
          <w:rFonts w:eastAsia="Times New Roman" w:cs="Times New Roman"/>
          <w:noProof/>
          <w:lang w:eastAsia="en-GB"/>
        </w:rPr>
        <w:t xml:space="preserve">, </w:t>
      </w:r>
      <w:r w:rsidRPr="00F71A07">
        <w:rPr>
          <w:rFonts w:eastAsia="Times New Roman" w:cs="Times New Roman"/>
          <w:i/>
          <w:iCs/>
          <w:noProof/>
          <w:lang w:eastAsia="en-GB"/>
        </w:rPr>
        <w:t>37</w:t>
      </w:r>
      <w:r w:rsidRPr="00F71A07">
        <w:rPr>
          <w:rFonts w:eastAsia="Times New Roman" w:cs="Times New Roman"/>
          <w:noProof/>
          <w:lang w:eastAsia="en-GB"/>
        </w:rPr>
        <w:t>(1), p.8.</w:t>
      </w:r>
    </w:p>
    <w:p w14:paraId="2B9EDFDB" w14:textId="77777777" w:rsidR="00EF36C5" w:rsidRPr="00F71A07" w:rsidRDefault="00EF36C5" w:rsidP="00DF3B33">
      <w:pPr>
        <w:rPr>
          <w:rFonts w:cs="Times New Roman"/>
          <w:noProof/>
        </w:rPr>
      </w:pPr>
      <w:r w:rsidRPr="00DF3B33">
        <w:rPr>
          <w:rFonts w:cs="Times New Roman"/>
          <w:noProof/>
          <w:lang w:val="it-IT"/>
        </w:rPr>
        <w:t>Costa, V. and Costa, C. (2022)</w:t>
      </w:r>
      <w:r w:rsidRPr="00DF3B33">
        <w:rPr>
          <w:rFonts w:cs="Times New Roman"/>
          <w:noProof/>
          <w:lang w:val="it-IT"/>
        </w:rPr>
        <w:t>.</w:t>
      </w:r>
      <w:r w:rsidRPr="00DF3B33">
        <w:rPr>
          <w:rFonts w:cs="Times New Roman"/>
          <w:noProof/>
          <w:lang w:val="it-IT"/>
        </w:rPr>
        <w:t xml:space="preserve"> </w:t>
      </w:r>
      <w:r w:rsidRPr="00DF3B33">
        <w:rPr>
          <w:rFonts w:cs="Times New Roman"/>
          <w:i/>
          <w:iCs/>
          <w:noProof/>
        </w:rPr>
        <w:t>Sustainability and competitiveness</w:t>
      </w:r>
      <w:r w:rsidRPr="00DF3B33">
        <w:rPr>
          <w:rFonts w:cs="Times New Roman"/>
          <w:i/>
          <w:iCs/>
          <w:noProof/>
        </w:rPr>
        <w:t xml:space="preserve"> </w:t>
      </w:r>
      <w:r w:rsidRPr="00DF3B33">
        <w:rPr>
          <w:rFonts w:cs="Times New Roman"/>
          <w:i/>
          <w:iCs/>
          <w:noProof/>
        </w:rPr>
        <w:t>in the hospitality industry.</w:t>
      </w:r>
      <w:r w:rsidRPr="00DF3B33">
        <w:rPr>
          <w:rFonts w:cs="Times New Roman"/>
          <w:noProof/>
        </w:rPr>
        <w:t xml:space="preserve"> Hershey, Pennsylvania: Business Science</w:t>
      </w:r>
      <w:r>
        <w:rPr>
          <w:rFonts w:cs="Times New Roman"/>
          <w:noProof/>
        </w:rPr>
        <w:t xml:space="preserve"> </w:t>
      </w:r>
      <w:r w:rsidRPr="00DF3B33">
        <w:rPr>
          <w:rFonts w:cs="Times New Roman"/>
          <w:noProof/>
        </w:rPr>
        <w:t>Reference.</w:t>
      </w:r>
    </w:p>
    <w:p w14:paraId="08FE8D5C"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Deloitte (2023). </w:t>
      </w:r>
      <w:r w:rsidRPr="00F71A07">
        <w:rPr>
          <w:i/>
          <w:iCs/>
          <w:noProof/>
        </w:rPr>
        <w:t>A World in Motion: Shifting Consumer Travel Trend in 2022 and Beyond</w:t>
      </w:r>
      <w:r w:rsidRPr="00F71A07">
        <w:rPr>
          <w:noProof/>
        </w:rPr>
        <w:t>. [online] Available at: https://www2.deloitte.com/content/dam/Deloitte/cr/Documents/consumer-business/2023/WTTC-Consumer-Trends-Report-2023.pdf [Accessed 1 Feb. 2025].</w:t>
      </w:r>
    </w:p>
    <w:p w14:paraId="2881A9C3" w14:textId="77777777" w:rsidR="00EF36C5" w:rsidRPr="00F71A07" w:rsidRDefault="00EF36C5" w:rsidP="00F71A07">
      <w:pPr>
        <w:rPr>
          <w:rFonts w:cs="Times New Roman"/>
          <w:noProof/>
        </w:rPr>
      </w:pPr>
      <w:r w:rsidRPr="00F71A07">
        <w:rPr>
          <w:rFonts w:eastAsia="Times New Roman" w:cs="Times New Roman"/>
          <w:noProof/>
          <w:lang w:eastAsia="en-GB"/>
        </w:rPr>
        <w:t xml:space="preserve">Dhir, A., Talwar, S., Kaur, P. and Malibari, A. (2020). Food waste in hospitality and food services: A systematic literature review and framework development approach. </w:t>
      </w:r>
      <w:r w:rsidRPr="00F71A07">
        <w:rPr>
          <w:rFonts w:eastAsia="Times New Roman" w:cs="Times New Roman"/>
          <w:i/>
          <w:iCs/>
          <w:noProof/>
          <w:lang w:eastAsia="en-GB"/>
        </w:rPr>
        <w:t>Journal of Cleaner Production</w:t>
      </w:r>
      <w:r w:rsidRPr="00F71A07">
        <w:rPr>
          <w:rFonts w:eastAsia="Times New Roman" w:cs="Times New Roman"/>
          <w:noProof/>
          <w:lang w:eastAsia="en-GB"/>
        </w:rPr>
        <w:t xml:space="preserve">, </w:t>
      </w:r>
      <w:r w:rsidRPr="00F71A07">
        <w:rPr>
          <w:rFonts w:eastAsia="Times New Roman" w:cs="Times New Roman"/>
          <w:i/>
          <w:iCs/>
          <w:noProof/>
          <w:lang w:eastAsia="en-GB"/>
        </w:rPr>
        <w:t>270</w:t>
      </w:r>
      <w:r w:rsidRPr="00F71A07">
        <w:rPr>
          <w:rFonts w:eastAsia="Times New Roman" w:cs="Times New Roman"/>
          <w:noProof/>
          <w:lang w:eastAsia="en-GB"/>
        </w:rPr>
        <w:t>, p.122861.</w:t>
      </w:r>
    </w:p>
    <w:p w14:paraId="115A5F2E"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European Commission (2023). </w:t>
      </w:r>
      <w:r w:rsidRPr="00F71A07">
        <w:rPr>
          <w:i/>
          <w:iCs/>
          <w:noProof/>
        </w:rPr>
        <w:t>EU actions against food waste</w:t>
      </w:r>
      <w:r w:rsidRPr="00F71A07">
        <w:rPr>
          <w:noProof/>
        </w:rPr>
        <w:t>. [online] Food Safety. Available at: https://food.ec.europa.eu/food-safety/food-waste/eu-actions-against-food-waste_en [Accessed 1 Feb. 2025].</w:t>
      </w:r>
    </w:p>
    <w:p w14:paraId="53022A2C"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FAO (2022). </w:t>
      </w:r>
      <w:r w:rsidRPr="00F71A07">
        <w:rPr>
          <w:i/>
          <w:iCs/>
          <w:noProof/>
        </w:rPr>
        <w:t>UN Report: Global hunger numbers rose to as many as 828 million in 2021</w:t>
      </w:r>
      <w:r w:rsidRPr="00F71A07">
        <w:rPr>
          <w:noProof/>
        </w:rPr>
        <w:t>. [online] Newsroom. Available at: https://www.fao.org/newsroom/detail/un-report-global-hunger-SOFI-2022-FAO/en [Accessed 1 Feb. 2025].</w:t>
      </w:r>
    </w:p>
    <w:p w14:paraId="1518B83F" w14:textId="77777777" w:rsidR="00EF36C5" w:rsidRPr="00F71A07" w:rsidRDefault="00EF36C5" w:rsidP="00F71A07">
      <w:pPr>
        <w:rPr>
          <w:rFonts w:cs="Times New Roman"/>
          <w:noProof/>
          <w:lang w:eastAsia="en-GB"/>
        </w:rPr>
      </w:pPr>
      <w:r w:rsidRPr="00F71A07">
        <w:rPr>
          <w:rFonts w:eastAsia="Times New Roman" w:cs="Times New Roman"/>
          <w:noProof/>
          <w:lang w:eastAsia="en-GB"/>
        </w:rPr>
        <w:t xml:space="preserve">Glöser-Chahoud, S. and Schultmann, F. (2024). Circular economy: An introduction. In </w:t>
      </w:r>
      <w:r w:rsidRPr="00F71A07">
        <w:rPr>
          <w:rFonts w:eastAsia="Times New Roman" w:cs="Times New Roman"/>
          <w:i/>
          <w:iCs/>
          <w:noProof/>
          <w:lang w:eastAsia="en-GB"/>
        </w:rPr>
        <w:t>Eco-Industrial Development as an Industrial Strategy: Contributions from a German-Chilean Research Partnership</w:t>
      </w:r>
      <w:r w:rsidRPr="00F71A07">
        <w:rPr>
          <w:rFonts w:eastAsia="Times New Roman" w:cs="Times New Roman"/>
          <w:noProof/>
          <w:lang w:eastAsia="en-GB"/>
        </w:rPr>
        <w:t xml:space="preserve"> (pp. 37-51). Cham: Springer Nature Switzerland.</w:t>
      </w:r>
    </w:p>
    <w:p w14:paraId="70610FB1"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Green Lodging Trends Report (2023). </w:t>
      </w:r>
      <w:r w:rsidRPr="00F71A07">
        <w:rPr>
          <w:i/>
          <w:iCs/>
          <w:noProof/>
        </w:rPr>
        <w:t>Green Lodging Trends Report – Greenview</w:t>
      </w:r>
      <w:r w:rsidRPr="00F71A07">
        <w:rPr>
          <w:noProof/>
        </w:rPr>
        <w:t>. [online] Green Review. Available at: https://greenview.sg/services/green-lodging-trends-report/ [Accessed 1 Feb. 2025].</w:t>
      </w:r>
    </w:p>
    <w:p w14:paraId="56A3EC17" w14:textId="77777777" w:rsidR="00EF36C5" w:rsidRPr="00F71A07" w:rsidRDefault="00EF36C5" w:rsidP="00F71A07">
      <w:pPr>
        <w:rPr>
          <w:rFonts w:cs="Times New Roman"/>
          <w:noProof/>
        </w:rPr>
      </w:pPr>
      <w:r w:rsidRPr="00F71A07">
        <w:rPr>
          <w:rFonts w:eastAsia="Times New Roman" w:cs="Times New Roman"/>
          <w:noProof/>
          <w:lang w:eastAsia="en-GB"/>
        </w:rPr>
        <w:t xml:space="preserve">Hennink, M., Hutter, I. and Bailey, A. (2020). </w:t>
      </w:r>
      <w:r w:rsidRPr="00F71A07">
        <w:rPr>
          <w:rFonts w:eastAsia="Times New Roman" w:cs="Times New Roman"/>
          <w:i/>
          <w:iCs/>
          <w:noProof/>
          <w:lang w:eastAsia="en-GB"/>
        </w:rPr>
        <w:t>Qualitative research methods</w:t>
      </w:r>
      <w:r w:rsidRPr="00F71A07">
        <w:rPr>
          <w:rFonts w:eastAsia="Times New Roman" w:cs="Times New Roman"/>
          <w:noProof/>
          <w:lang w:eastAsia="en-GB"/>
        </w:rPr>
        <w:t>. Sage.</w:t>
      </w:r>
    </w:p>
    <w:p w14:paraId="69A512AF"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lastRenderedPageBreak/>
        <w:t xml:space="preserve">Hilton Sustainability Report (2022). </w:t>
      </w:r>
      <w:r w:rsidRPr="00F71A07">
        <w:rPr>
          <w:i/>
          <w:iCs/>
          <w:noProof/>
        </w:rPr>
        <w:t>Hilton 2022 Environmental, Social and Governance Report</w:t>
      </w:r>
      <w:r w:rsidRPr="00F71A07">
        <w:rPr>
          <w:noProof/>
        </w:rPr>
        <w:t>. [online] Hilton Group. Available at: https://esg.hilton.com/wp-content/uploads/sites/4/2023/04/Hilton-2022-Environmental-Social-and-Governance-Report.pdf [Accessed 1 Feb. 2025].</w:t>
      </w:r>
    </w:p>
    <w:p w14:paraId="7CCAA5BA"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Hyatt Corporate Responsibility Report (2022). </w:t>
      </w:r>
      <w:r w:rsidRPr="00F71A07">
        <w:rPr>
          <w:i/>
          <w:iCs/>
          <w:noProof/>
        </w:rPr>
        <w:t>Corporate Social Respondibility Report</w:t>
      </w:r>
      <w:r w:rsidRPr="00F71A07">
        <w:rPr>
          <w:noProof/>
        </w:rPr>
        <w:t>. [online] Hyatt . Available at: https://www.hyatt.com/content/dam/hotel/propertysites/assets/unbound/biqub/documents/BIQUB-REPORT-CRS-EN.pdf [Accessed 1 Feb. 2025].</w:t>
      </w:r>
    </w:p>
    <w:p w14:paraId="0544CED4"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IHG (2022). </w:t>
      </w:r>
      <w:r w:rsidRPr="00F71A07">
        <w:rPr>
          <w:i/>
          <w:iCs/>
          <w:noProof/>
        </w:rPr>
        <w:t xml:space="preserve">Hotel Green Initiatives </w:t>
      </w:r>
      <w:r w:rsidRPr="00F71A07">
        <w:rPr>
          <w:noProof/>
        </w:rPr>
        <w:t>. [online] digital.ihg.com. Available at: https://digital.ihg.com/is/content/ihg/ordha-green-initiative [Accessed 1 Feb. 2025].</w:t>
      </w:r>
    </w:p>
    <w:p w14:paraId="3BBF510A" w14:textId="77777777" w:rsidR="00EF36C5" w:rsidRPr="00F71A07" w:rsidRDefault="00EF36C5" w:rsidP="00F71A07">
      <w:pPr>
        <w:rPr>
          <w:rFonts w:cs="Times New Roman"/>
          <w:noProof/>
        </w:rPr>
      </w:pPr>
      <w:r w:rsidRPr="00F71A07">
        <w:rPr>
          <w:rFonts w:eastAsia="Times New Roman" w:cs="Times New Roman"/>
          <w:noProof/>
          <w:lang w:eastAsia="en-GB"/>
        </w:rPr>
        <w:t xml:space="preserve">Jones, P. and Wynn, M.G. (2019). The circular economy, natural capital and resilience in tourism and hospitality. </w:t>
      </w:r>
      <w:r w:rsidRPr="00F71A07">
        <w:rPr>
          <w:rFonts w:eastAsia="Times New Roman" w:cs="Times New Roman"/>
          <w:i/>
          <w:iCs/>
          <w:noProof/>
          <w:lang w:eastAsia="en-GB"/>
        </w:rPr>
        <w:t>International Journal of Contemporary Hospitality Management</w:t>
      </w:r>
      <w:r w:rsidRPr="00F71A07">
        <w:rPr>
          <w:rFonts w:eastAsia="Times New Roman" w:cs="Times New Roman"/>
          <w:noProof/>
          <w:lang w:eastAsia="en-GB"/>
        </w:rPr>
        <w:t xml:space="preserve">, </w:t>
      </w:r>
      <w:r w:rsidRPr="00F71A07">
        <w:rPr>
          <w:rFonts w:eastAsia="Times New Roman" w:cs="Times New Roman"/>
          <w:i/>
          <w:iCs/>
          <w:noProof/>
          <w:lang w:eastAsia="en-GB"/>
        </w:rPr>
        <w:t>31</w:t>
      </w:r>
      <w:r w:rsidRPr="00F71A07">
        <w:rPr>
          <w:rFonts w:eastAsia="Times New Roman" w:cs="Times New Roman"/>
          <w:noProof/>
          <w:lang w:eastAsia="en-GB"/>
        </w:rPr>
        <w:t>(6), pp.2544-2563.</w:t>
      </w:r>
    </w:p>
    <w:p w14:paraId="3594C50D" w14:textId="77777777" w:rsidR="00EF36C5" w:rsidRPr="00F71A07" w:rsidRDefault="00EF36C5" w:rsidP="00F71A07">
      <w:pPr>
        <w:rPr>
          <w:rFonts w:cs="Times New Roman"/>
          <w:noProof/>
        </w:rPr>
      </w:pPr>
      <w:r w:rsidRPr="00F71A07">
        <w:rPr>
          <w:rFonts w:eastAsia="Times New Roman" w:cs="Times New Roman"/>
          <w:noProof/>
          <w:lang w:eastAsia="en-GB"/>
        </w:rPr>
        <w:t xml:space="preserve">Juvan, E., Grün, B. and Dolnicar, S. (2023). Waste production patterns in hotels and restaurants: An intra-sectoral segmentation approach. </w:t>
      </w:r>
      <w:r w:rsidRPr="00F71A07">
        <w:rPr>
          <w:rFonts w:eastAsia="Times New Roman" w:cs="Times New Roman"/>
          <w:i/>
          <w:iCs/>
          <w:noProof/>
          <w:lang w:eastAsia="en-GB"/>
        </w:rPr>
        <w:t>Annals of Tourism Research Empirical Insights</w:t>
      </w:r>
      <w:r w:rsidRPr="00F71A07">
        <w:rPr>
          <w:rFonts w:eastAsia="Times New Roman" w:cs="Times New Roman"/>
          <w:noProof/>
          <w:lang w:eastAsia="en-GB"/>
        </w:rPr>
        <w:t xml:space="preserve">, </w:t>
      </w:r>
      <w:r w:rsidRPr="00F71A07">
        <w:rPr>
          <w:rFonts w:eastAsia="Times New Roman" w:cs="Times New Roman"/>
          <w:i/>
          <w:iCs/>
          <w:noProof/>
          <w:lang w:eastAsia="en-GB"/>
        </w:rPr>
        <w:t>4</w:t>
      </w:r>
      <w:r w:rsidRPr="00F71A07">
        <w:rPr>
          <w:rFonts w:eastAsia="Times New Roman" w:cs="Times New Roman"/>
          <w:noProof/>
          <w:lang w:eastAsia="en-GB"/>
        </w:rPr>
        <w:t>(1), p.100090.</w:t>
      </w:r>
    </w:p>
    <w:p w14:paraId="27584417" w14:textId="77777777" w:rsidR="00EF36C5" w:rsidRPr="00F71A07" w:rsidRDefault="00EF36C5" w:rsidP="00F71A07">
      <w:pPr>
        <w:rPr>
          <w:rFonts w:eastAsia="Times New Roman" w:cs="Times New Roman"/>
          <w:noProof/>
          <w:lang w:eastAsia="en-GB"/>
        </w:rPr>
      </w:pPr>
      <w:r w:rsidRPr="00F71A07">
        <w:rPr>
          <w:rFonts w:eastAsia="Times New Roman" w:cs="Times New Roman"/>
          <w:noProof/>
          <w:lang w:eastAsia="en-GB"/>
        </w:rPr>
        <w:t xml:space="preserve">Karki, S.T., Bennett, A.C. and Mishra, J.L. (2021). Reducing food waste and food insecurity in the UK: The architecture of surplus food distribution supply chain in addressing the sustainable development goals (Goal 2 and Goal 12.3) at a city level. </w:t>
      </w:r>
      <w:r w:rsidRPr="00F71A07">
        <w:rPr>
          <w:rFonts w:eastAsia="Times New Roman" w:cs="Times New Roman"/>
          <w:i/>
          <w:iCs/>
          <w:noProof/>
          <w:lang w:eastAsia="en-GB"/>
        </w:rPr>
        <w:t>Industrial Marketing Management</w:t>
      </w:r>
      <w:r w:rsidRPr="00F71A07">
        <w:rPr>
          <w:rFonts w:eastAsia="Times New Roman" w:cs="Times New Roman"/>
          <w:noProof/>
          <w:lang w:eastAsia="en-GB"/>
        </w:rPr>
        <w:t xml:space="preserve">, </w:t>
      </w:r>
      <w:r w:rsidRPr="00F71A07">
        <w:rPr>
          <w:rFonts w:eastAsia="Times New Roman" w:cs="Times New Roman"/>
          <w:i/>
          <w:iCs/>
          <w:noProof/>
          <w:lang w:eastAsia="en-GB"/>
        </w:rPr>
        <w:t>93</w:t>
      </w:r>
      <w:r w:rsidRPr="00F71A07">
        <w:rPr>
          <w:rFonts w:eastAsia="Times New Roman" w:cs="Times New Roman"/>
          <w:noProof/>
          <w:lang w:eastAsia="en-GB"/>
        </w:rPr>
        <w:t>, pp.563-577.</w:t>
      </w:r>
    </w:p>
    <w:p w14:paraId="0038DAF6" w14:textId="77777777" w:rsidR="00EF36C5" w:rsidRPr="00F71A07" w:rsidRDefault="00EF36C5" w:rsidP="00F71A07">
      <w:pPr>
        <w:rPr>
          <w:rFonts w:cs="Times New Roman"/>
          <w:noProof/>
          <w:lang w:eastAsia="en-GB"/>
        </w:rPr>
      </w:pPr>
      <w:r w:rsidRPr="00F71A07">
        <w:rPr>
          <w:rFonts w:eastAsia="Times New Roman" w:cs="Times New Roman"/>
          <w:noProof/>
          <w:lang w:eastAsia="en-GB"/>
        </w:rPr>
        <w:t xml:space="preserve">Kumar, P. and Rout, H.B. (2025). Global Perspectives on Waste Management Education in Tourism and Hospitality. In </w:t>
      </w:r>
      <w:r w:rsidRPr="00F71A07">
        <w:rPr>
          <w:rFonts w:eastAsia="Times New Roman" w:cs="Times New Roman"/>
          <w:i/>
          <w:iCs/>
          <w:noProof/>
          <w:lang w:eastAsia="en-GB"/>
        </w:rPr>
        <w:t>Sustainable Waste Management in the Tourism and Hospitality Sectors</w:t>
      </w:r>
      <w:r w:rsidRPr="00F71A07">
        <w:rPr>
          <w:rFonts w:eastAsia="Times New Roman" w:cs="Times New Roman"/>
          <w:noProof/>
          <w:lang w:eastAsia="en-GB"/>
        </w:rPr>
        <w:t xml:space="preserve"> (pp. 45-68). IGI Global Scientific Publishing.</w:t>
      </w:r>
    </w:p>
    <w:p w14:paraId="2034B01D"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Marriott International (2023). </w:t>
      </w:r>
      <w:r w:rsidRPr="00F71A07">
        <w:rPr>
          <w:i/>
          <w:iCs/>
          <w:noProof/>
        </w:rPr>
        <w:t>2023 SERVE 360 REPORTS: ENVIRONMENTAL, SOCIAL, AND GOVERNANCE PROGRESS</w:t>
      </w:r>
      <w:r w:rsidRPr="00F71A07">
        <w:rPr>
          <w:noProof/>
        </w:rPr>
        <w:t>. [online] Available at: https://serve360.marriott.com/wp-content/uploads/2023/06/Marriott-2023-Serve-360-ESG-Report-accessible.pdf [Accessed 1 Feb. 2025].</w:t>
      </w:r>
    </w:p>
    <w:p w14:paraId="20550A7A" w14:textId="77777777" w:rsidR="00EF36C5" w:rsidRPr="00F71A07" w:rsidRDefault="00EF36C5" w:rsidP="00F71A07">
      <w:pPr>
        <w:rPr>
          <w:rFonts w:cs="Times New Roman"/>
          <w:noProof/>
        </w:rPr>
      </w:pPr>
      <w:r w:rsidRPr="00F71A07">
        <w:rPr>
          <w:rFonts w:eastAsia="Times New Roman" w:cs="Times New Roman"/>
          <w:noProof/>
          <w:lang w:eastAsia="en-GB"/>
        </w:rPr>
        <w:t xml:space="preserve">McCaffery, R., Hendrickx, J. and Dubrocard, N. (2023). Zero Plastic in Hotels: Leading question: Is plastic-free the new norm in hotels? In </w:t>
      </w:r>
      <w:r w:rsidRPr="00F71A07">
        <w:rPr>
          <w:rFonts w:eastAsia="Times New Roman" w:cs="Times New Roman"/>
          <w:i/>
          <w:iCs/>
          <w:noProof/>
          <w:lang w:eastAsia="en-GB"/>
        </w:rPr>
        <w:t>Critical Questions in Sustainability and Hospitality</w:t>
      </w:r>
      <w:r w:rsidRPr="00F71A07">
        <w:rPr>
          <w:rFonts w:eastAsia="Times New Roman" w:cs="Times New Roman"/>
          <w:noProof/>
          <w:lang w:eastAsia="en-GB"/>
        </w:rPr>
        <w:t xml:space="preserve"> (pp. 151-161). Routledge.</w:t>
      </w:r>
    </w:p>
    <w:p w14:paraId="797FA62F" w14:textId="77777777" w:rsidR="00EF36C5" w:rsidRDefault="00EF36C5" w:rsidP="00F71A07">
      <w:pPr>
        <w:rPr>
          <w:rFonts w:eastAsia="Times New Roman" w:cs="Times New Roman"/>
          <w:noProof/>
          <w:lang w:eastAsia="en-GB"/>
        </w:rPr>
      </w:pPr>
      <w:r w:rsidRPr="00F71A07">
        <w:rPr>
          <w:rFonts w:eastAsia="Times New Roman" w:cs="Times New Roman"/>
          <w:noProof/>
          <w:lang w:eastAsia="en-GB"/>
        </w:rPr>
        <w:lastRenderedPageBreak/>
        <w:t xml:space="preserve">Rothaermel, F.T. (2019). </w:t>
      </w:r>
      <w:r w:rsidRPr="00F71A07">
        <w:rPr>
          <w:rFonts w:eastAsia="Times New Roman" w:cs="Times New Roman"/>
          <w:i/>
          <w:iCs/>
          <w:noProof/>
          <w:lang w:eastAsia="en-GB"/>
        </w:rPr>
        <w:t>Strategic management</w:t>
      </w:r>
      <w:r w:rsidRPr="00F71A07">
        <w:rPr>
          <w:rFonts w:eastAsia="Times New Roman" w:cs="Times New Roman"/>
          <w:noProof/>
          <w:lang w:eastAsia="en-GB"/>
        </w:rPr>
        <w:t>. McGraw-Hill.</w:t>
      </w:r>
    </w:p>
    <w:p w14:paraId="31175E4C"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Six Senses Sustainability Report (2023). </w:t>
      </w:r>
      <w:r w:rsidRPr="00F71A07">
        <w:rPr>
          <w:i/>
          <w:iCs/>
          <w:noProof/>
        </w:rPr>
        <w:t>Six Senses 2023 Sustainability Impacts</w:t>
      </w:r>
      <w:r w:rsidRPr="00F71A07">
        <w:rPr>
          <w:noProof/>
        </w:rPr>
        <w:t>. [online] Sixsenses.com. Available at: https://www.sixsenses.com/en/sustainability/impacts/ [Accessed 1 Feb. 2025].</w:t>
      </w:r>
    </w:p>
    <w:p w14:paraId="688961F3" w14:textId="77777777" w:rsidR="00EF36C5" w:rsidRPr="00F71A07" w:rsidRDefault="00EF36C5" w:rsidP="00F71A07">
      <w:pPr>
        <w:rPr>
          <w:rFonts w:cs="Times New Roman"/>
          <w:noProof/>
          <w:lang w:eastAsia="en-GB"/>
        </w:rPr>
      </w:pPr>
      <w:r w:rsidRPr="00F71A07">
        <w:rPr>
          <w:rFonts w:eastAsia="Times New Roman" w:cs="Times New Roman"/>
          <w:noProof/>
          <w:lang w:eastAsia="en-GB"/>
        </w:rPr>
        <w:t xml:space="preserve">Sweet, B.L. (2020). </w:t>
      </w:r>
      <w:r w:rsidRPr="00F71A07">
        <w:rPr>
          <w:rFonts w:eastAsia="Times New Roman" w:cs="Times New Roman"/>
          <w:i/>
          <w:iCs/>
          <w:noProof/>
          <w:lang w:eastAsia="en-GB"/>
        </w:rPr>
        <w:t>Identifying Perceived Barriers in Food Donation of Owner/Operators Based on Their Personal Experiences: Words Matter</w:t>
      </w:r>
      <w:r w:rsidRPr="00F71A07">
        <w:rPr>
          <w:rFonts w:eastAsia="Times New Roman" w:cs="Times New Roman"/>
          <w:noProof/>
          <w:lang w:eastAsia="en-GB"/>
        </w:rPr>
        <w:t xml:space="preserve"> (Doctoral dissertation, Northeastern University).</w:t>
      </w:r>
    </w:p>
    <w:p w14:paraId="797F8708"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UNEP (2021). </w:t>
      </w:r>
      <w:r w:rsidRPr="00F71A07">
        <w:rPr>
          <w:i/>
          <w:iCs/>
          <w:noProof/>
        </w:rPr>
        <w:t>UNEP Food Waste Index Report 2021</w:t>
      </w:r>
      <w:r w:rsidRPr="00F71A07">
        <w:rPr>
          <w:noProof/>
        </w:rPr>
        <w:t>. [online] UNEP - UN Environment Programme. Available at: https://www.unep.org/resources/report/unep-food-waste-index-report-2021 [Accessed 1 Feb. 2025].</w:t>
      </w:r>
    </w:p>
    <w:p w14:paraId="2C6C435B" w14:textId="77777777" w:rsidR="00EF36C5" w:rsidRPr="00F71A07" w:rsidRDefault="00EF36C5" w:rsidP="00F71A07">
      <w:pPr>
        <w:rPr>
          <w:rFonts w:cs="Times New Roman"/>
          <w:noProof/>
        </w:rPr>
      </w:pPr>
      <w:r w:rsidRPr="00F71A07">
        <w:rPr>
          <w:rFonts w:eastAsia="Times New Roman" w:cs="Times New Roman"/>
          <w:noProof/>
          <w:lang w:eastAsia="en-GB"/>
        </w:rPr>
        <w:t xml:space="preserve">Vashishth, T.K., Sharma, V., Agarwal, S., Gupta, N., Singh, S. and Sharma, R. (2024). Embracing the Current Challenges in Sustainable Waste Management in Tourism and Hospitality. In </w:t>
      </w:r>
      <w:r w:rsidRPr="00F71A07">
        <w:rPr>
          <w:rFonts w:eastAsia="Times New Roman" w:cs="Times New Roman"/>
          <w:i/>
          <w:iCs/>
          <w:noProof/>
          <w:lang w:eastAsia="en-GB"/>
        </w:rPr>
        <w:t>Hotel and Travel Management in the AI Era</w:t>
      </w:r>
      <w:r w:rsidRPr="00F71A07">
        <w:rPr>
          <w:rFonts w:eastAsia="Times New Roman" w:cs="Times New Roman"/>
          <w:noProof/>
          <w:lang w:eastAsia="en-GB"/>
        </w:rPr>
        <w:t xml:space="preserve"> (pp. 219-256). IGI Global.</w:t>
      </w:r>
    </w:p>
    <w:p w14:paraId="5060C0DD" w14:textId="77777777" w:rsidR="00EF36C5" w:rsidRPr="00F71A07" w:rsidRDefault="00EF36C5" w:rsidP="00F71A07">
      <w:pPr>
        <w:rPr>
          <w:rFonts w:cs="Times New Roman"/>
          <w:noProof/>
        </w:rPr>
      </w:pPr>
      <w:r w:rsidRPr="00F71A07">
        <w:rPr>
          <w:rFonts w:eastAsia="Times New Roman" w:cs="Times New Roman"/>
          <w:noProof/>
          <w:lang w:eastAsia="en-GB"/>
        </w:rPr>
        <w:t xml:space="preserve">Viscardi, S., Colicchia, C. and Creazza, A. (2023). Circular economy and food waste in supply chains: a literature review. </w:t>
      </w:r>
      <w:r w:rsidRPr="00F71A07">
        <w:rPr>
          <w:rFonts w:eastAsia="Times New Roman" w:cs="Times New Roman"/>
          <w:i/>
          <w:iCs/>
          <w:noProof/>
          <w:lang w:eastAsia="en-GB"/>
        </w:rPr>
        <w:t>International Journal of Logistics Research and Applications</w:t>
      </w:r>
      <w:r w:rsidRPr="00F71A07">
        <w:rPr>
          <w:rFonts w:eastAsia="Times New Roman" w:cs="Times New Roman"/>
          <w:noProof/>
          <w:lang w:eastAsia="en-GB"/>
        </w:rPr>
        <w:t xml:space="preserve">, </w:t>
      </w:r>
      <w:r w:rsidRPr="00F71A07">
        <w:rPr>
          <w:rFonts w:eastAsia="Times New Roman" w:cs="Times New Roman"/>
          <w:i/>
          <w:iCs/>
          <w:noProof/>
          <w:lang w:eastAsia="en-GB"/>
        </w:rPr>
        <w:t>26</w:t>
      </w:r>
      <w:r w:rsidRPr="00F71A07">
        <w:rPr>
          <w:rFonts w:eastAsia="Times New Roman" w:cs="Times New Roman"/>
          <w:noProof/>
          <w:lang w:eastAsia="en-GB"/>
        </w:rPr>
        <w:t>(5), pp.589-614.</w:t>
      </w:r>
    </w:p>
    <w:p w14:paraId="2AD3D114" w14:textId="77777777" w:rsidR="00EF36C5" w:rsidRPr="00F71A07" w:rsidRDefault="00EF36C5" w:rsidP="00F71A07">
      <w:pPr>
        <w:rPr>
          <w:rFonts w:cs="Times New Roman"/>
          <w:noProof/>
        </w:rPr>
      </w:pPr>
      <w:r w:rsidRPr="00F71A07">
        <w:rPr>
          <w:rFonts w:eastAsia="Times New Roman" w:cs="Times New Roman"/>
          <w:noProof/>
          <w:lang w:eastAsia="en-GB"/>
        </w:rPr>
        <w:t xml:space="preserve">Wan, C., Shen, G.Q. and Choi, S. (2019). Waste management strategies for sustainable development. In </w:t>
      </w:r>
      <w:r w:rsidRPr="00F71A07">
        <w:rPr>
          <w:rFonts w:eastAsia="Times New Roman" w:cs="Times New Roman"/>
          <w:i/>
          <w:iCs/>
          <w:noProof/>
          <w:lang w:eastAsia="en-GB"/>
        </w:rPr>
        <w:t>Encyclopedia of sustainability in higher education</w:t>
      </w:r>
      <w:r w:rsidRPr="00F71A07">
        <w:rPr>
          <w:rFonts w:eastAsia="Times New Roman" w:cs="Times New Roman"/>
          <w:noProof/>
          <w:lang w:eastAsia="en-GB"/>
        </w:rPr>
        <w:t xml:space="preserve"> (pp. 2020-2028). Cham: Springer International Publishing.</w:t>
      </w:r>
    </w:p>
    <w:p w14:paraId="1B08AA3C"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Winnow Solutions (2023). </w:t>
      </w:r>
      <w:r w:rsidRPr="00F71A07">
        <w:rPr>
          <w:i/>
          <w:iCs/>
          <w:noProof/>
        </w:rPr>
        <w:t>Winnow | Cutting Food Waste within Hospitality</w:t>
      </w:r>
      <w:r w:rsidRPr="00F71A07">
        <w:rPr>
          <w:noProof/>
        </w:rPr>
        <w:t>. [online] Winnowsolutions.com. Available at: https://www.winnowsolutions.com/ [Accessed 1 Feb. 2025].</w:t>
      </w:r>
    </w:p>
    <w:p w14:paraId="36777B97" w14:textId="77777777" w:rsidR="00EF36C5" w:rsidRPr="00F71A07" w:rsidRDefault="00EF36C5" w:rsidP="00F71A07">
      <w:pPr>
        <w:pStyle w:val="NormalWeb"/>
        <w:spacing w:before="0" w:beforeAutospacing="0" w:after="240" w:afterAutospacing="0" w:line="360" w:lineRule="auto"/>
        <w:jc w:val="both"/>
        <w:rPr>
          <w:noProof/>
        </w:rPr>
      </w:pPr>
      <w:r w:rsidRPr="00F71A07">
        <w:rPr>
          <w:noProof/>
        </w:rPr>
        <w:t xml:space="preserve">World Sustainable Hospitality Alliance (2023). </w:t>
      </w:r>
      <w:r w:rsidRPr="00F71A07">
        <w:rPr>
          <w:i/>
          <w:iCs/>
          <w:noProof/>
        </w:rPr>
        <w:t>Scandic Hotels joins ITP to help tackle the Global Goals</w:t>
      </w:r>
      <w:r w:rsidRPr="00F71A07">
        <w:rPr>
          <w:noProof/>
        </w:rPr>
        <w:t>. [online] World Sustainable Hospitality Alliance. Available at: https://sustainablehospitalityalliance.org/scandic-hotels-joins-itp-to-help-tackle-the-global-goals/ [Accessed 1 Feb. 2025].</w:t>
      </w:r>
    </w:p>
    <w:p w14:paraId="441650AA" w14:textId="797AA6B2" w:rsidR="00B67BDD" w:rsidRPr="00F71A07" w:rsidRDefault="00EF36C5" w:rsidP="00EF36C5">
      <w:pPr>
        <w:rPr>
          <w:rFonts w:eastAsia="Times New Roman" w:cs="Times New Roman"/>
          <w:noProof/>
          <w:lang w:eastAsia="en-GB"/>
        </w:rPr>
      </w:pPr>
      <w:r w:rsidRPr="00F71A07">
        <w:rPr>
          <w:rFonts w:eastAsia="Times New Roman" w:cs="Times New Roman"/>
          <w:noProof/>
          <w:lang w:eastAsia="en-GB"/>
        </w:rPr>
        <w:t xml:space="preserve">Zaki, K. (2024). The Impact of Circular Economy on Environmental Performance in the Tourism and Hospitality industry: the role of Low-Carbon Behavior and Eco-friendly behavior. </w:t>
      </w:r>
      <w:r w:rsidRPr="00F71A07">
        <w:rPr>
          <w:rFonts w:eastAsia="Times New Roman" w:cs="Times New Roman"/>
          <w:i/>
          <w:iCs/>
          <w:noProof/>
          <w:lang w:eastAsia="en-GB"/>
        </w:rPr>
        <w:t>The International Journal of Tourism and Hospitality Studies</w:t>
      </w:r>
      <w:r w:rsidRPr="00F71A07">
        <w:rPr>
          <w:rFonts w:eastAsia="Times New Roman" w:cs="Times New Roman"/>
          <w:noProof/>
          <w:lang w:eastAsia="en-GB"/>
        </w:rPr>
        <w:t xml:space="preserve">, </w:t>
      </w:r>
      <w:r w:rsidRPr="00F71A07">
        <w:rPr>
          <w:rFonts w:eastAsia="Times New Roman" w:cs="Times New Roman"/>
          <w:i/>
          <w:iCs/>
          <w:noProof/>
          <w:lang w:eastAsia="en-GB"/>
        </w:rPr>
        <w:t>7</w:t>
      </w:r>
      <w:r w:rsidRPr="00F71A07">
        <w:rPr>
          <w:rFonts w:eastAsia="Times New Roman" w:cs="Times New Roman"/>
          <w:noProof/>
          <w:lang w:eastAsia="en-GB"/>
        </w:rPr>
        <w:t>(2), pp.285-304.</w:t>
      </w:r>
    </w:p>
    <w:sectPr w:rsidR="00B67BDD" w:rsidRPr="00F71A07" w:rsidSect="00701507">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F4BD6" w14:textId="77777777" w:rsidR="00213FBF" w:rsidRDefault="00213FBF" w:rsidP="00701507">
      <w:pPr>
        <w:spacing w:after="0" w:line="240" w:lineRule="auto"/>
      </w:pPr>
      <w:r>
        <w:separator/>
      </w:r>
    </w:p>
  </w:endnote>
  <w:endnote w:type="continuationSeparator" w:id="0">
    <w:p w14:paraId="04B15732" w14:textId="77777777" w:rsidR="00213FBF" w:rsidRDefault="00213FBF" w:rsidP="00701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211871"/>
      <w:docPartObj>
        <w:docPartGallery w:val="Page Numbers (Bottom of Page)"/>
        <w:docPartUnique/>
      </w:docPartObj>
    </w:sdtPr>
    <w:sdtContent>
      <w:p w14:paraId="26D34444" w14:textId="0B143A15" w:rsidR="00701507" w:rsidRDefault="00701507">
        <w:pPr>
          <w:pStyle w:val="Footer"/>
          <w:jc w:val="right"/>
        </w:pPr>
        <w:r>
          <w:fldChar w:fldCharType="begin"/>
        </w:r>
        <w:r>
          <w:instrText>PAGE   \* MERGEFORMAT</w:instrText>
        </w:r>
        <w:r>
          <w:fldChar w:fldCharType="separate"/>
        </w:r>
        <w:r>
          <w:t>2</w:t>
        </w:r>
        <w:r>
          <w:fldChar w:fldCharType="end"/>
        </w:r>
      </w:p>
    </w:sdtContent>
  </w:sdt>
  <w:p w14:paraId="3AA45BA6" w14:textId="77777777" w:rsidR="00701507" w:rsidRDefault="00701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ED348" w14:textId="77777777" w:rsidR="00213FBF" w:rsidRDefault="00213FBF" w:rsidP="00701507">
      <w:pPr>
        <w:spacing w:after="0" w:line="240" w:lineRule="auto"/>
      </w:pPr>
      <w:r>
        <w:separator/>
      </w:r>
    </w:p>
  </w:footnote>
  <w:footnote w:type="continuationSeparator" w:id="0">
    <w:p w14:paraId="6BF0FDF7" w14:textId="77777777" w:rsidR="00213FBF" w:rsidRDefault="00213FBF" w:rsidP="00701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D7B94"/>
    <w:multiLevelType w:val="multilevel"/>
    <w:tmpl w:val="64CC7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4A2CA8"/>
    <w:multiLevelType w:val="multilevel"/>
    <w:tmpl w:val="D47C372E"/>
    <w:lvl w:ilvl="0">
      <w:start w:val="6"/>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2C1707D"/>
    <w:multiLevelType w:val="multilevel"/>
    <w:tmpl w:val="64CC7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CF37A0"/>
    <w:multiLevelType w:val="multilevel"/>
    <w:tmpl w:val="64CC7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6D45AD"/>
    <w:multiLevelType w:val="multilevel"/>
    <w:tmpl w:val="9E8E324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0863296">
    <w:abstractNumId w:val="2"/>
  </w:num>
  <w:num w:numId="2" w16cid:durableId="2076508773">
    <w:abstractNumId w:val="4"/>
  </w:num>
  <w:num w:numId="3" w16cid:durableId="1965260421">
    <w:abstractNumId w:val="0"/>
  </w:num>
  <w:num w:numId="4" w16cid:durableId="1025906171">
    <w:abstractNumId w:val="3"/>
  </w:num>
  <w:num w:numId="5" w16cid:durableId="922639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KwNDIwNzAxsjA2MDJW0lEKTi0uzszPAykwrQUAnX+cEiwAAAA="/>
  </w:docVars>
  <w:rsids>
    <w:rsidRoot w:val="006B2E53"/>
    <w:rsid w:val="000126C1"/>
    <w:rsid w:val="000345A9"/>
    <w:rsid w:val="000367D7"/>
    <w:rsid w:val="00062022"/>
    <w:rsid w:val="00062ED8"/>
    <w:rsid w:val="00067719"/>
    <w:rsid w:val="0007636F"/>
    <w:rsid w:val="000852E7"/>
    <w:rsid w:val="000A54A9"/>
    <w:rsid w:val="000A5EEE"/>
    <w:rsid w:val="000E0336"/>
    <w:rsid w:val="000E4457"/>
    <w:rsid w:val="000E5953"/>
    <w:rsid w:val="000F5626"/>
    <w:rsid w:val="0011341F"/>
    <w:rsid w:val="00151172"/>
    <w:rsid w:val="0015308C"/>
    <w:rsid w:val="00157BA8"/>
    <w:rsid w:val="00162895"/>
    <w:rsid w:val="001747A4"/>
    <w:rsid w:val="00177D24"/>
    <w:rsid w:val="001D6733"/>
    <w:rsid w:val="001E2935"/>
    <w:rsid w:val="001F497F"/>
    <w:rsid w:val="00202606"/>
    <w:rsid w:val="002075FB"/>
    <w:rsid w:val="00213FBF"/>
    <w:rsid w:val="00214C52"/>
    <w:rsid w:val="00256913"/>
    <w:rsid w:val="00275722"/>
    <w:rsid w:val="0029739B"/>
    <w:rsid w:val="002A0C92"/>
    <w:rsid w:val="002A3081"/>
    <w:rsid w:val="002D2820"/>
    <w:rsid w:val="002E73F9"/>
    <w:rsid w:val="002F3BEE"/>
    <w:rsid w:val="00302487"/>
    <w:rsid w:val="00302FC8"/>
    <w:rsid w:val="00304CB5"/>
    <w:rsid w:val="00305480"/>
    <w:rsid w:val="00337492"/>
    <w:rsid w:val="0038620D"/>
    <w:rsid w:val="00397704"/>
    <w:rsid w:val="003C4525"/>
    <w:rsid w:val="0042520F"/>
    <w:rsid w:val="00436E95"/>
    <w:rsid w:val="00456BBF"/>
    <w:rsid w:val="00457823"/>
    <w:rsid w:val="00483E85"/>
    <w:rsid w:val="004A19D4"/>
    <w:rsid w:val="004C660A"/>
    <w:rsid w:val="004C7BE6"/>
    <w:rsid w:val="004E2E97"/>
    <w:rsid w:val="004F5F5C"/>
    <w:rsid w:val="00501953"/>
    <w:rsid w:val="0050451D"/>
    <w:rsid w:val="00506E49"/>
    <w:rsid w:val="0055318A"/>
    <w:rsid w:val="00567470"/>
    <w:rsid w:val="0057689B"/>
    <w:rsid w:val="00580126"/>
    <w:rsid w:val="00584E87"/>
    <w:rsid w:val="00590B2A"/>
    <w:rsid w:val="00595FEB"/>
    <w:rsid w:val="005A3D2B"/>
    <w:rsid w:val="005E163D"/>
    <w:rsid w:val="00600C00"/>
    <w:rsid w:val="00614381"/>
    <w:rsid w:val="006452E7"/>
    <w:rsid w:val="00645DA3"/>
    <w:rsid w:val="0065507C"/>
    <w:rsid w:val="006A0D28"/>
    <w:rsid w:val="006B2E53"/>
    <w:rsid w:val="006E1720"/>
    <w:rsid w:val="006E6EDB"/>
    <w:rsid w:val="006F6B1D"/>
    <w:rsid w:val="00701507"/>
    <w:rsid w:val="00730A50"/>
    <w:rsid w:val="007429D6"/>
    <w:rsid w:val="00757F33"/>
    <w:rsid w:val="00761944"/>
    <w:rsid w:val="007B0062"/>
    <w:rsid w:val="007B0621"/>
    <w:rsid w:val="007D10BB"/>
    <w:rsid w:val="007D6679"/>
    <w:rsid w:val="007E62ED"/>
    <w:rsid w:val="007F1135"/>
    <w:rsid w:val="007F5EFF"/>
    <w:rsid w:val="007F763E"/>
    <w:rsid w:val="00840FA3"/>
    <w:rsid w:val="00865DD8"/>
    <w:rsid w:val="008A2730"/>
    <w:rsid w:val="008B31C4"/>
    <w:rsid w:val="008B63CE"/>
    <w:rsid w:val="008C1BBA"/>
    <w:rsid w:val="008E011E"/>
    <w:rsid w:val="008E5884"/>
    <w:rsid w:val="008F57FD"/>
    <w:rsid w:val="008F7153"/>
    <w:rsid w:val="00912AA3"/>
    <w:rsid w:val="00936203"/>
    <w:rsid w:val="00951701"/>
    <w:rsid w:val="00954955"/>
    <w:rsid w:val="00956FF9"/>
    <w:rsid w:val="00971A42"/>
    <w:rsid w:val="00974C71"/>
    <w:rsid w:val="00996A89"/>
    <w:rsid w:val="009A6756"/>
    <w:rsid w:val="009C3098"/>
    <w:rsid w:val="009E0F70"/>
    <w:rsid w:val="00A128AD"/>
    <w:rsid w:val="00A26AA9"/>
    <w:rsid w:val="00A341A3"/>
    <w:rsid w:val="00A3518A"/>
    <w:rsid w:val="00A41D77"/>
    <w:rsid w:val="00A47203"/>
    <w:rsid w:val="00A47FC8"/>
    <w:rsid w:val="00A527EA"/>
    <w:rsid w:val="00A60A01"/>
    <w:rsid w:val="00A95FBE"/>
    <w:rsid w:val="00AA17CA"/>
    <w:rsid w:val="00AB67F0"/>
    <w:rsid w:val="00B00B94"/>
    <w:rsid w:val="00B10F98"/>
    <w:rsid w:val="00B11B11"/>
    <w:rsid w:val="00B137A7"/>
    <w:rsid w:val="00B25912"/>
    <w:rsid w:val="00B31D4C"/>
    <w:rsid w:val="00B41D8D"/>
    <w:rsid w:val="00B67BDD"/>
    <w:rsid w:val="00B846E0"/>
    <w:rsid w:val="00BA28D4"/>
    <w:rsid w:val="00BA383C"/>
    <w:rsid w:val="00BE473F"/>
    <w:rsid w:val="00BE5EA9"/>
    <w:rsid w:val="00BE7421"/>
    <w:rsid w:val="00BF051A"/>
    <w:rsid w:val="00BF7F86"/>
    <w:rsid w:val="00C45B05"/>
    <w:rsid w:val="00C835FE"/>
    <w:rsid w:val="00C87761"/>
    <w:rsid w:val="00CA76F7"/>
    <w:rsid w:val="00CC1D1E"/>
    <w:rsid w:val="00CE0CA3"/>
    <w:rsid w:val="00CE7D0F"/>
    <w:rsid w:val="00D0610F"/>
    <w:rsid w:val="00D124A6"/>
    <w:rsid w:val="00D34D1E"/>
    <w:rsid w:val="00D40CC0"/>
    <w:rsid w:val="00D97012"/>
    <w:rsid w:val="00DB0174"/>
    <w:rsid w:val="00DD4F37"/>
    <w:rsid w:val="00DE1F4B"/>
    <w:rsid w:val="00DF13A4"/>
    <w:rsid w:val="00DF3B33"/>
    <w:rsid w:val="00E11F52"/>
    <w:rsid w:val="00E27AE6"/>
    <w:rsid w:val="00E336F6"/>
    <w:rsid w:val="00E6510F"/>
    <w:rsid w:val="00E81028"/>
    <w:rsid w:val="00EA67AC"/>
    <w:rsid w:val="00EA7AED"/>
    <w:rsid w:val="00EB43F3"/>
    <w:rsid w:val="00EB5433"/>
    <w:rsid w:val="00EF36C5"/>
    <w:rsid w:val="00F011CF"/>
    <w:rsid w:val="00F162EC"/>
    <w:rsid w:val="00F26988"/>
    <w:rsid w:val="00F27A55"/>
    <w:rsid w:val="00F35FD5"/>
    <w:rsid w:val="00F63CE6"/>
    <w:rsid w:val="00F71A07"/>
    <w:rsid w:val="00FA34B2"/>
    <w:rsid w:val="00FA6BB3"/>
    <w:rsid w:val="00FB6238"/>
    <w:rsid w:val="00FD2A99"/>
    <w:rsid w:val="00FD36EE"/>
    <w:rsid w:val="00FD6A10"/>
    <w:rsid w:val="00FE08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B089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unhideWhenUsed/>
    <w:qFormat/>
    <w:rsid w:val="006B2E5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B2E5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B2E5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B2E5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B2E5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B2E5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rsid w:val="006B2E53"/>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6B2E53"/>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6B2E53"/>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6B2E53"/>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6B2E53"/>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6B2E53"/>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6B2E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E5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6B2E5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E53"/>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6B2E53"/>
    <w:pPr>
      <w:spacing w:before="160"/>
      <w:jc w:val="center"/>
    </w:pPr>
    <w:rPr>
      <w:i/>
      <w:iCs/>
      <w:color w:val="404040" w:themeColor="text1" w:themeTint="BF"/>
    </w:rPr>
  </w:style>
  <w:style w:type="character" w:customStyle="1" w:styleId="QuoteChar">
    <w:name w:val="Quote Char"/>
    <w:basedOn w:val="DefaultParagraphFont"/>
    <w:link w:val="Quote"/>
    <w:uiPriority w:val="29"/>
    <w:rsid w:val="006B2E53"/>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6B2E53"/>
    <w:pPr>
      <w:ind w:left="720"/>
      <w:contextualSpacing/>
    </w:pPr>
  </w:style>
  <w:style w:type="character" w:styleId="IntenseEmphasis">
    <w:name w:val="Intense Emphasis"/>
    <w:basedOn w:val="DefaultParagraphFont"/>
    <w:uiPriority w:val="21"/>
    <w:qFormat/>
    <w:rsid w:val="006B2E53"/>
    <w:rPr>
      <w:i/>
      <w:iCs/>
      <w:color w:val="0F4761" w:themeColor="accent1" w:themeShade="BF"/>
    </w:rPr>
  </w:style>
  <w:style w:type="paragraph" w:styleId="IntenseQuote">
    <w:name w:val="Intense Quote"/>
    <w:basedOn w:val="Normal"/>
    <w:next w:val="Normal"/>
    <w:link w:val="IntenseQuoteChar"/>
    <w:uiPriority w:val="30"/>
    <w:qFormat/>
    <w:rsid w:val="006B2E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E53"/>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6B2E53"/>
    <w:rPr>
      <w:b/>
      <w:bCs/>
      <w:smallCaps/>
      <w:color w:val="0F4761" w:themeColor="accent1" w:themeShade="BF"/>
      <w:spacing w:val="5"/>
    </w:rPr>
  </w:style>
  <w:style w:type="paragraph" w:styleId="Header">
    <w:name w:val="header"/>
    <w:basedOn w:val="Normal"/>
    <w:link w:val="HeaderChar"/>
    <w:uiPriority w:val="99"/>
    <w:unhideWhenUsed/>
    <w:rsid w:val="00701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507"/>
    <w:rPr>
      <w:rFonts w:ascii="Times New Roman" w:hAnsi="Times New Roman"/>
      <w:sz w:val="24"/>
      <w:szCs w:val="24"/>
      <w14:ligatures w14:val="none"/>
    </w:rPr>
  </w:style>
  <w:style w:type="paragraph" w:styleId="Footer">
    <w:name w:val="footer"/>
    <w:basedOn w:val="Normal"/>
    <w:link w:val="FooterChar"/>
    <w:uiPriority w:val="99"/>
    <w:unhideWhenUsed/>
    <w:rsid w:val="00701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507"/>
    <w:rPr>
      <w:rFonts w:ascii="Times New Roman" w:hAnsi="Times New Roman"/>
      <w:sz w:val="24"/>
      <w:szCs w:val="24"/>
      <w14:ligatures w14:val="none"/>
    </w:rPr>
  </w:style>
  <w:style w:type="character" w:styleId="Strong">
    <w:name w:val="Strong"/>
    <w:basedOn w:val="DefaultParagraphFont"/>
    <w:uiPriority w:val="22"/>
    <w:qFormat/>
    <w:rsid w:val="00701507"/>
    <w:rPr>
      <w:b/>
      <w:bCs/>
    </w:rPr>
  </w:style>
  <w:style w:type="paragraph" w:styleId="NormalWeb">
    <w:name w:val="Normal (Web)"/>
    <w:basedOn w:val="Normal"/>
    <w:uiPriority w:val="99"/>
    <w:unhideWhenUsed/>
    <w:rsid w:val="00701507"/>
    <w:pPr>
      <w:spacing w:before="100" w:beforeAutospacing="1" w:after="100" w:afterAutospacing="1" w:line="240" w:lineRule="auto"/>
      <w:jc w:val="left"/>
    </w:pPr>
    <w:rPr>
      <w:rFonts w:eastAsia="Times New Roman" w:cs="Times New Roman"/>
      <w:lang w:eastAsia="en-GB"/>
    </w:rPr>
  </w:style>
  <w:style w:type="paragraph" w:styleId="Caption">
    <w:name w:val="caption"/>
    <w:basedOn w:val="Normal"/>
    <w:next w:val="Normal"/>
    <w:uiPriority w:val="35"/>
    <w:unhideWhenUsed/>
    <w:qFormat/>
    <w:rsid w:val="00D40CC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A54A9"/>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0A54A9"/>
    <w:pPr>
      <w:spacing w:after="100"/>
    </w:pPr>
  </w:style>
  <w:style w:type="paragraph" w:styleId="TOC2">
    <w:name w:val="toc 2"/>
    <w:basedOn w:val="Normal"/>
    <w:next w:val="Normal"/>
    <w:autoRedefine/>
    <w:uiPriority w:val="39"/>
    <w:unhideWhenUsed/>
    <w:rsid w:val="000A54A9"/>
    <w:pPr>
      <w:spacing w:after="100"/>
      <w:ind w:left="240"/>
    </w:pPr>
  </w:style>
  <w:style w:type="paragraph" w:styleId="TOC3">
    <w:name w:val="toc 3"/>
    <w:basedOn w:val="Normal"/>
    <w:next w:val="Normal"/>
    <w:autoRedefine/>
    <w:uiPriority w:val="39"/>
    <w:unhideWhenUsed/>
    <w:rsid w:val="000A54A9"/>
    <w:pPr>
      <w:spacing w:after="100"/>
      <w:ind w:left="480"/>
    </w:pPr>
  </w:style>
  <w:style w:type="character" w:styleId="Hyperlink">
    <w:name w:val="Hyperlink"/>
    <w:basedOn w:val="DefaultParagraphFont"/>
    <w:uiPriority w:val="99"/>
    <w:unhideWhenUsed/>
    <w:rsid w:val="000A54A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6095">
      <w:bodyDiv w:val="1"/>
      <w:marLeft w:val="0"/>
      <w:marRight w:val="0"/>
      <w:marTop w:val="0"/>
      <w:marBottom w:val="0"/>
      <w:divBdr>
        <w:top w:val="none" w:sz="0" w:space="0" w:color="auto"/>
        <w:left w:val="none" w:sz="0" w:space="0" w:color="auto"/>
        <w:bottom w:val="none" w:sz="0" w:space="0" w:color="auto"/>
        <w:right w:val="none" w:sz="0" w:space="0" w:color="auto"/>
      </w:divBdr>
      <w:divsChild>
        <w:div w:id="1963222970">
          <w:marLeft w:val="0"/>
          <w:marRight w:val="0"/>
          <w:marTop w:val="0"/>
          <w:marBottom w:val="0"/>
          <w:divBdr>
            <w:top w:val="none" w:sz="0" w:space="0" w:color="auto"/>
            <w:left w:val="none" w:sz="0" w:space="0" w:color="auto"/>
            <w:bottom w:val="none" w:sz="0" w:space="0" w:color="auto"/>
            <w:right w:val="none" w:sz="0" w:space="0" w:color="auto"/>
          </w:divBdr>
        </w:div>
      </w:divsChild>
    </w:div>
    <w:div w:id="11148572">
      <w:bodyDiv w:val="1"/>
      <w:marLeft w:val="0"/>
      <w:marRight w:val="0"/>
      <w:marTop w:val="0"/>
      <w:marBottom w:val="0"/>
      <w:divBdr>
        <w:top w:val="none" w:sz="0" w:space="0" w:color="auto"/>
        <w:left w:val="none" w:sz="0" w:space="0" w:color="auto"/>
        <w:bottom w:val="none" w:sz="0" w:space="0" w:color="auto"/>
        <w:right w:val="none" w:sz="0" w:space="0" w:color="auto"/>
      </w:divBdr>
      <w:divsChild>
        <w:div w:id="1003319547">
          <w:marLeft w:val="0"/>
          <w:marRight w:val="0"/>
          <w:marTop w:val="0"/>
          <w:marBottom w:val="0"/>
          <w:divBdr>
            <w:top w:val="none" w:sz="0" w:space="0" w:color="auto"/>
            <w:left w:val="none" w:sz="0" w:space="0" w:color="auto"/>
            <w:bottom w:val="none" w:sz="0" w:space="0" w:color="auto"/>
            <w:right w:val="none" w:sz="0" w:space="0" w:color="auto"/>
          </w:divBdr>
        </w:div>
      </w:divsChild>
    </w:div>
    <w:div w:id="92553312">
      <w:bodyDiv w:val="1"/>
      <w:marLeft w:val="0"/>
      <w:marRight w:val="0"/>
      <w:marTop w:val="0"/>
      <w:marBottom w:val="0"/>
      <w:divBdr>
        <w:top w:val="none" w:sz="0" w:space="0" w:color="auto"/>
        <w:left w:val="none" w:sz="0" w:space="0" w:color="auto"/>
        <w:bottom w:val="none" w:sz="0" w:space="0" w:color="auto"/>
        <w:right w:val="none" w:sz="0" w:space="0" w:color="auto"/>
      </w:divBdr>
      <w:divsChild>
        <w:div w:id="909077265">
          <w:marLeft w:val="0"/>
          <w:marRight w:val="0"/>
          <w:marTop w:val="0"/>
          <w:marBottom w:val="0"/>
          <w:divBdr>
            <w:top w:val="none" w:sz="0" w:space="0" w:color="auto"/>
            <w:left w:val="none" w:sz="0" w:space="0" w:color="auto"/>
            <w:bottom w:val="none" w:sz="0" w:space="0" w:color="auto"/>
            <w:right w:val="none" w:sz="0" w:space="0" w:color="auto"/>
          </w:divBdr>
        </w:div>
      </w:divsChild>
    </w:div>
    <w:div w:id="194319460">
      <w:bodyDiv w:val="1"/>
      <w:marLeft w:val="0"/>
      <w:marRight w:val="0"/>
      <w:marTop w:val="0"/>
      <w:marBottom w:val="0"/>
      <w:divBdr>
        <w:top w:val="none" w:sz="0" w:space="0" w:color="auto"/>
        <w:left w:val="none" w:sz="0" w:space="0" w:color="auto"/>
        <w:bottom w:val="none" w:sz="0" w:space="0" w:color="auto"/>
        <w:right w:val="none" w:sz="0" w:space="0" w:color="auto"/>
      </w:divBdr>
      <w:divsChild>
        <w:div w:id="2082439004">
          <w:marLeft w:val="0"/>
          <w:marRight w:val="0"/>
          <w:marTop w:val="0"/>
          <w:marBottom w:val="0"/>
          <w:divBdr>
            <w:top w:val="none" w:sz="0" w:space="0" w:color="auto"/>
            <w:left w:val="none" w:sz="0" w:space="0" w:color="auto"/>
            <w:bottom w:val="none" w:sz="0" w:space="0" w:color="auto"/>
            <w:right w:val="none" w:sz="0" w:space="0" w:color="auto"/>
          </w:divBdr>
        </w:div>
      </w:divsChild>
    </w:div>
    <w:div w:id="257174626">
      <w:bodyDiv w:val="1"/>
      <w:marLeft w:val="0"/>
      <w:marRight w:val="0"/>
      <w:marTop w:val="0"/>
      <w:marBottom w:val="0"/>
      <w:divBdr>
        <w:top w:val="none" w:sz="0" w:space="0" w:color="auto"/>
        <w:left w:val="none" w:sz="0" w:space="0" w:color="auto"/>
        <w:bottom w:val="none" w:sz="0" w:space="0" w:color="auto"/>
        <w:right w:val="none" w:sz="0" w:space="0" w:color="auto"/>
      </w:divBdr>
    </w:div>
    <w:div w:id="405104459">
      <w:bodyDiv w:val="1"/>
      <w:marLeft w:val="0"/>
      <w:marRight w:val="0"/>
      <w:marTop w:val="0"/>
      <w:marBottom w:val="0"/>
      <w:divBdr>
        <w:top w:val="none" w:sz="0" w:space="0" w:color="auto"/>
        <w:left w:val="none" w:sz="0" w:space="0" w:color="auto"/>
        <w:bottom w:val="none" w:sz="0" w:space="0" w:color="auto"/>
        <w:right w:val="none" w:sz="0" w:space="0" w:color="auto"/>
      </w:divBdr>
      <w:divsChild>
        <w:div w:id="1865745068">
          <w:marLeft w:val="0"/>
          <w:marRight w:val="0"/>
          <w:marTop w:val="0"/>
          <w:marBottom w:val="0"/>
          <w:divBdr>
            <w:top w:val="none" w:sz="0" w:space="0" w:color="auto"/>
            <w:left w:val="none" w:sz="0" w:space="0" w:color="auto"/>
            <w:bottom w:val="none" w:sz="0" w:space="0" w:color="auto"/>
            <w:right w:val="none" w:sz="0" w:space="0" w:color="auto"/>
          </w:divBdr>
        </w:div>
      </w:divsChild>
    </w:div>
    <w:div w:id="787434941">
      <w:bodyDiv w:val="1"/>
      <w:marLeft w:val="0"/>
      <w:marRight w:val="0"/>
      <w:marTop w:val="0"/>
      <w:marBottom w:val="0"/>
      <w:divBdr>
        <w:top w:val="none" w:sz="0" w:space="0" w:color="auto"/>
        <w:left w:val="none" w:sz="0" w:space="0" w:color="auto"/>
        <w:bottom w:val="none" w:sz="0" w:space="0" w:color="auto"/>
        <w:right w:val="none" w:sz="0" w:space="0" w:color="auto"/>
      </w:divBdr>
      <w:divsChild>
        <w:div w:id="470488350">
          <w:marLeft w:val="0"/>
          <w:marRight w:val="0"/>
          <w:marTop w:val="0"/>
          <w:marBottom w:val="0"/>
          <w:divBdr>
            <w:top w:val="none" w:sz="0" w:space="0" w:color="auto"/>
            <w:left w:val="none" w:sz="0" w:space="0" w:color="auto"/>
            <w:bottom w:val="none" w:sz="0" w:space="0" w:color="auto"/>
            <w:right w:val="none" w:sz="0" w:space="0" w:color="auto"/>
          </w:divBdr>
        </w:div>
      </w:divsChild>
    </w:div>
    <w:div w:id="846870422">
      <w:bodyDiv w:val="1"/>
      <w:marLeft w:val="0"/>
      <w:marRight w:val="0"/>
      <w:marTop w:val="0"/>
      <w:marBottom w:val="0"/>
      <w:divBdr>
        <w:top w:val="none" w:sz="0" w:space="0" w:color="auto"/>
        <w:left w:val="none" w:sz="0" w:space="0" w:color="auto"/>
        <w:bottom w:val="none" w:sz="0" w:space="0" w:color="auto"/>
        <w:right w:val="none" w:sz="0" w:space="0" w:color="auto"/>
      </w:divBdr>
      <w:divsChild>
        <w:div w:id="562982788">
          <w:marLeft w:val="0"/>
          <w:marRight w:val="0"/>
          <w:marTop w:val="0"/>
          <w:marBottom w:val="0"/>
          <w:divBdr>
            <w:top w:val="none" w:sz="0" w:space="0" w:color="auto"/>
            <w:left w:val="none" w:sz="0" w:space="0" w:color="auto"/>
            <w:bottom w:val="none" w:sz="0" w:space="0" w:color="auto"/>
            <w:right w:val="none" w:sz="0" w:space="0" w:color="auto"/>
          </w:divBdr>
        </w:div>
      </w:divsChild>
    </w:div>
    <w:div w:id="1345009152">
      <w:bodyDiv w:val="1"/>
      <w:marLeft w:val="0"/>
      <w:marRight w:val="0"/>
      <w:marTop w:val="0"/>
      <w:marBottom w:val="0"/>
      <w:divBdr>
        <w:top w:val="none" w:sz="0" w:space="0" w:color="auto"/>
        <w:left w:val="none" w:sz="0" w:space="0" w:color="auto"/>
        <w:bottom w:val="none" w:sz="0" w:space="0" w:color="auto"/>
        <w:right w:val="none" w:sz="0" w:space="0" w:color="auto"/>
      </w:divBdr>
      <w:divsChild>
        <w:div w:id="1992756754">
          <w:marLeft w:val="0"/>
          <w:marRight w:val="0"/>
          <w:marTop w:val="0"/>
          <w:marBottom w:val="0"/>
          <w:divBdr>
            <w:top w:val="none" w:sz="0" w:space="0" w:color="auto"/>
            <w:left w:val="none" w:sz="0" w:space="0" w:color="auto"/>
            <w:bottom w:val="none" w:sz="0" w:space="0" w:color="auto"/>
            <w:right w:val="none" w:sz="0" w:space="0" w:color="auto"/>
          </w:divBdr>
        </w:div>
      </w:divsChild>
    </w:div>
    <w:div w:id="1435326360">
      <w:bodyDiv w:val="1"/>
      <w:marLeft w:val="0"/>
      <w:marRight w:val="0"/>
      <w:marTop w:val="0"/>
      <w:marBottom w:val="0"/>
      <w:divBdr>
        <w:top w:val="none" w:sz="0" w:space="0" w:color="auto"/>
        <w:left w:val="none" w:sz="0" w:space="0" w:color="auto"/>
        <w:bottom w:val="none" w:sz="0" w:space="0" w:color="auto"/>
        <w:right w:val="none" w:sz="0" w:space="0" w:color="auto"/>
      </w:divBdr>
      <w:divsChild>
        <w:div w:id="651520033">
          <w:marLeft w:val="0"/>
          <w:marRight w:val="0"/>
          <w:marTop w:val="0"/>
          <w:marBottom w:val="0"/>
          <w:divBdr>
            <w:top w:val="none" w:sz="0" w:space="0" w:color="auto"/>
            <w:left w:val="none" w:sz="0" w:space="0" w:color="auto"/>
            <w:bottom w:val="none" w:sz="0" w:space="0" w:color="auto"/>
            <w:right w:val="none" w:sz="0" w:space="0" w:color="auto"/>
          </w:divBdr>
        </w:div>
      </w:divsChild>
    </w:div>
    <w:div w:id="1533154728">
      <w:bodyDiv w:val="1"/>
      <w:marLeft w:val="0"/>
      <w:marRight w:val="0"/>
      <w:marTop w:val="0"/>
      <w:marBottom w:val="0"/>
      <w:divBdr>
        <w:top w:val="none" w:sz="0" w:space="0" w:color="auto"/>
        <w:left w:val="none" w:sz="0" w:space="0" w:color="auto"/>
        <w:bottom w:val="none" w:sz="0" w:space="0" w:color="auto"/>
        <w:right w:val="none" w:sz="0" w:space="0" w:color="auto"/>
      </w:divBdr>
      <w:divsChild>
        <w:div w:id="103572726">
          <w:marLeft w:val="0"/>
          <w:marRight w:val="0"/>
          <w:marTop w:val="0"/>
          <w:marBottom w:val="0"/>
          <w:divBdr>
            <w:top w:val="none" w:sz="0" w:space="0" w:color="auto"/>
            <w:left w:val="none" w:sz="0" w:space="0" w:color="auto"/>
            <w:bottom w:val="none" w:sz="0" w:space="0" w:color="auto"/>
            <w:right w:val="none" w:sz="0" w:space="0" w:color="auto"/>
          </w:divBdr>
        </w:div>
      </w:divsChild>
    </w:div>
    <w:div w:id="1549220453">
      <w:bodyDiv w:val="1"/>
      <w:marLeft w:val="0"/>
      <w:marRight w:val="0"/>
      <w:marTop w:val="0"/>
      <w:marBottom w:val="0"/>
      <w:divBdr>
        <w:top w:val="none" w:sz="0" w:space="0" w:color="auto"/>
        <w:left w:val="none" w:sz="0" w:space="0" w:color="auto"/>
        <w:bottom w:val="none" w:sz="0" w:space="0" w:color="auto"/>
        <w:right w:val="none" w:sz="0" w:space="0" w:color="auto"/>
      </w:divBdr>
      <w:divsChild>
        <w:div w:id="1173186813">
          <w:marLeft w:val="0"/>
          <w:marRight w:val="0"/>
          <w:marTop w:val="0"/>
          <w:marBottom w:val="0"/>
          <w:divBdr>
            <w:top w:val="none" w:sz="0" w:space="0" w:color="auto"/>
            <w:left w:val="none" w:sz="0" w:space="0" w:color="auto"/>
            <w:bottom w:val="none" w:sz="0" w:space="0" w:color="auto"/>
            <w:right w:val="none" w:sz="0" w:space="0" w:color="auto"/>
          </w:divBdr>
        </w:div>
      </w:divsChild>
    </w:div>
    <w:div w:id="1559125370">
      <w:bodyDiv w:val="1"/>
      <w:marLeft w:val="0"/>
      <w:marRight w:val="0"/>
      <w:marTop w:val="0"/>
      <w:marBottom w:val="0"/>
      <w:divBdr>
        <w:top w:val="none" w:sz="0" w:space="0" w:color="auto"/>
        <w:left w:val="none" w:sz="0" w:space="0" w:color="auto"/>
        <w:bottom w:val="none" w:sz="0" w:space="0" w:color="auto"/>
        <w:right w:val="none" w:sz="0" w:space="0" w:color="auto"/>
      </w:divBdr>
      <w:divsChild>
        <w:div w:id="1756587614">
          <w:marLeft w:val="0"/>
          <w:marRight w:val="0"/>
          <w:marTop w:val="0"/>
          <w:marBottom w:val="0"/>
          <w:divBdr>
            <w:top w:val="none" w:sz="0" w:space="0" w:color="auto"/>
            <w:left w:val="none" w:sz="0" w:space="0" w:color="auto"/>
            <w:bottom w:val="none" w:sz="0" w:space="0" w:color="auto"/>
            <w:right w:val="none" w:sz="0" w:space="0" w:color="auto"/>
          </w:divBdr>
        </w:div>
      </w:divsChild>
    </w:div>
    <w:div w:id="1744374148">
      <w:bodyDiv w:val="1"/>
      <w:marLeft w:val="0"/>
      <w:marRight w:val="0"/>
      <w:marTop w:val="0"/>
      <w:marBottom w:val="0"/>
      <w:divBdr>
        <w:top w:val="none" w:sz="0" w:space="0" w:color="auto"/>
        <w:left w:val="none" w:sz="0" w:space="0" w:color="auto"/>
        <w:bottom w:val="none" w:sz="0" w:space="0" w:color="auto"/>
        <w:right w:val="none" w:sz="0" w:space="0" w:color="auto"/>
      </w:divBdr>
      <w:divsChild>
        <w:div w:id="1820537325">
          <w:marLeft w:val="0"/>
          <w:marRight w:val="0"/>
          <w:marTop w:val="0"/>
          <w:marBottom w:val="0"/>
          <w:divBdr>
            <w:top w:val="none" w:sz="0" w:space="0" w:color="auto"/>
            <w:left w:val="none" w:sz="0" w:space="0" w:color="auto"/>
            <w:bottom w:val="none" w:sz="0" w:space="0" w:color="auto"/>
            <w:right w:val="none" w:sz="0" w:space="0" w:color="auto"/>
          </w:divBdr>
        </w:div>
      </w:divsChild>
    </w:div>
    <w:div w:id="1786655259">
      <w:bodyDiv w:val="1"/>
      <w:marLeft w:val="0"/>
      <w:marRight w:val="0"/>
      <w:marTop w:val="0"/>
      <w:marBottom w:val="0"/>
      <w:divBdr>
        <w:top w:val="none" w:sz="0" w:space="0" w:color="auto"/>
        <w:left w:val="none" w:sz="0" w:space="0" w:color="auto"/>
        <w:bottom w:val="none" w:sz="0" w:space="0" w:color="auto"/>
        <w:right w:val="none" w:sz="0" w:space="0" w:color="auto"/>
      </w:divBdr>
      <w:divsChild>
        <w:div w:id="16782153">
          <w:marLeft w:val="0"/>
          <w:marRight w:val="0"/>
          <w:marTop w:val="0"/>
          <w:marBottom w:val="0"/>
          <w:divBdr>
            <w:top w:val="none" w:sz="0" w:space="0" w:color="auto"/>
            <w:left w:val="none" w:sz="0" w:space="0" w:color="auto"/>
            <w:bottom w:val="none" w:sz="0" w:space="0" w:color="auto"/>
            <w:right w:val="none" w:sz="0" w:space="0" w:color="auto"/>
          </w:divBdr>
          <w:divsChild>
            <w:div w:id="1538658789">
              <w:marLeft w:val="0"/>
              <w:marRight w:val="0"/>
              <w:marTop w:val="0"/>
              <w:marBottom w:val="0"/>
              <w:divBdr>
                <w:top w:val="none" w:sz="0" w:space="0" w:color="auto"/>
                <w:left w:val="none" w:sz="0" w:space="0" w:color="auto"/>
                <w:bottom w:val="none" w:sz="0" w:space="0" w:color="auto"/>
                <w:right w:val="none" w:sz="0" w:space="0" w:color="auto"/>
              </w:divBdr>
              <w:divsChild>
                <w:div w:id="272790632">
                  <w:marLeft w:val="0"/>
                  <w:marRight w:val="0"/>
                  <w:marTop w:val="0"/>
                  <w:marBottom w:val="0"/>
                  <w:divBdr>
                    <w:top w:val="none" w:sz="0" w:space="0" w:color="auto"/>
                    <w:left w:val="none" w:sz="0" w:space="0" w:color="auto"/>
                    <w:bottom w:val="none" w:sz="0" w:space="0" w:color="auto"/>
                    <w:right w:val="none" w:sz="0" w:space="0" w:color="auto"/>
                  </w:divBdr>
                  <w:divsChild>
                    <w:div w:id="56114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320804">
      <w:bodyDiv w:val="1"/>
      <w:marLeft w:val="0"/>
      <w:marRight w:val="0"/>
      <w:marTop w:val="0"/>
      <w:marBottom w:val="0"/>
      <w:divBdr>
        <w:top w:val="none" w:sz="0" w:space="0" w:color="auto"/>
        <w:left w:val="none" w:sz="0" w:space="0" w:color="auto"/>
        <w:bottom w:val="none" w:sz="0" w:space="0" w:color="auto"/>
        <w:right w:val="none" w:sz="0" w:space="0" w:color="auto"/>
      </w:divBdr>
      <w:divsChild>
        <w:div w:id="1642661357">
          <w:marLeft w:val="0"/>
          <w:marRight w:val="0"/>
          <w:marTop w:val="0"/>
          <w:marBottom w:val="0"/>
          <w:divBdr>
            <w:top w:val="none" w:sz="0" w:space="0" w:color="auto"/>
            <w:left w:val="none" w:sz="0" w:space="0" w:color="auto"/>
            <w:bottom w:val="none" w:sz="0" w:space="0" w:color="auto"/>
            <w:right w:val="none" w:sz="0" w:space="0" w:color="auto"/>
          </w:divBdr>
        </w:div>
      </w:divsChild>
    </w:div>
    <w:div w:id="1824464694">
      <w:bodyDiv w:val="1"/>
      <w:marLeft w:val="0"/>
      <w:marRight w:val="0"/>
      <w:marTop w:val="0"/>
      <w:marBottom w:val="0"/>
      <w:divBdr>
        <w:top w:val="none" w:sz="0" w:space="0" w:color="auto"/>
        <w:left w:val="none" w:sz="0" w:space="0" w:color="auto"/>
        <w:bottom w:val="none" w:sz="0" w:space="0" w:color="auto"/>
        <w:right w:val="none" w:sz="0" w:space="0" w:color="auto"/>
      </w:divBdr>
      <w:divsChild>
        <w:div w:id="410933884">
          <w:marLeft w:val="0"/>
          <w:marRight w:val="0"/>
          <w:marTop w:val="0"/>
          <w:marBottom w:val="0"/>
          <w:divBdr>
            <w:top w:val="none" w:sz="0" w:space="0" w:color="auto"/>
            <w:left w:val="none" w:sz="0" w:space="0" w:color="auto"/>
            <w:bottom w:val="none" w:sz="0" w:space="0" w:color="auto"/>
            <w:right w:val="none" w:sz="0" w:space="0" w:color="auto"/>
          </w:divBdr>
        </w:div>
      </w:divsChild>
    </w:div>
    <w:div w:id="1827625023">
      <w:bodyDiv w:val="1"/>
      <w:marLeft w:val="0"/>
      <w:marRight w:val="0"/>
      <w:marTop w:val="0"/>
      <w:marBottom w:val="0"/>
      <w:divBdr>
        <w:top w:val="none" w:sz="0" w:space="0" w:color="auto"/>
        <w:left w:val="none" w:sz="0" w:space="0" w:color="auto"/>
        <w:bottom w:val="none" w:sz="0" w:space="0" w:color="auto"/>
        <w:right w:val="none" w:sz="0" w:space="0" w:color="auto"/>
      </w:divBdr>
      <w:divsChild>
        <w:div w:id="617218474">
          <w:marLeft w:val="0"/>
          <w:marRight w:val="0"/>
          <w:marTop w:val="0"/>
          <w:marBottom w:val="0"/>
          <w:divBdr>
            <w:top w:val="none" w:sz="0" w:space="0" w:color="auto"/>
            <w:left w:val="none" w:sz="0" w:space="0" w:color="auto"/>
            <w:bottom w:val="none" w:sz="0" w:space="0" w:color="auto"/>
            <w:right w:val="none" w:sz="0" w:space="0" w:color="auto"/>
          </w:divBdr>
        </w:div>
      </w:divsChild>
    </w:div>
    <w:div w:id="1865900237">
      <w:bodyDiv w:val="1"/>
      <w:marLeft w:val="0"/>
      <w:marRight w:val="0"/>
      <w:marTop w:val="0"/>
      <w:marBottom w:val="0"/>
      <w:divBdr>
        <w:top w:val="none" w:sz="0" w:space="0" w:color="auto"/>
        <w:left w:val="none" w:sz="0" w:space="0" w:color="auto"/>
        <w:bottom w:val="none" w:sz="0" w:space="0" w:color="auto"/>
        <w:right w:val="none" w:sz="0" w:space="0" w:color="auto"/>
      </w:divBdr>
    </w:div>
    <w:div w:id="1896820024">
      <w:bodyDiv w:val="1"/>
      <w:marLeft w:val="0"/>
      <w:marRight w:val="0"/>
      <w:marTop w:val="0"/>
      <w:marBottom w:val="0"/>
      <w:divBdr>
        <w:top w:val="none" w:sz="0" w:space="0" w:color="auto"/>
        <w:left w:val="none" w:sz="0" w:space="0" w:color="auto"/>
        <w:bottom w:val="none" w:sz="0" w:space="0" w:color="auto"/>
        <w:right w:val="none" w:sz="0" w:space="0" w:color="auto"/>
      </w:divBdr>
      <w:divsChild>
        <w:div w:id="1739355067">
          <w:marLeft w:val="0"/>
          <w:marRight w:val="0"/>
          <w:marTop w:val="0"/>
          <w:marBottom w:val="0"/>
          <w:divBdr>
            <w:top w:val="none" w:sz="0" w:space="0" w:color="auto"/>
            <w:left w:val="none" w:sz="0" w:space="0" w:color="auto"/>
            <w:bottom w:val="none" w:sz="0" w:space="0" w:color="auto"/>
            <w:right w:val="none" w:sz="0" w:space="0" w:color="auto"/>
          </w:divBdr>
        </w:div>
      </w:divsChild>
    </w:div>
    <w:div w:id="1968774457">
      <w:bodyDiv w:val="1"/>
      <w:marLeft w:val="0"/>
      <w:marRight w:val="0"/>
      <w:marTop w:val="0"/>
      <w:marBottom w:val="0"/>
      <w:divBdr>
        <w:top w:val="none" w:sz="0" w:space="0" w:color="auto"/>
        <w:left w:val="none" w:sz="0" w:space="0" w:color="auto"/>
        <w:bottom w:val="none" w:sz="0" w:space="0" w:color="auto"/>
        <w:right w:val="none" w:sz="0" w:space="0" w:color="auto"/>
      </w:divBdr>
      <w:divsChild>
        <w:div w:id="459804252">
          <w:marLeft w:val="0"/>
          <w:marRight w:val="0"/>
          <w:marTop w:val="0"/>
          <w:marBottom w:val="0"/>
          <w:divBdr>
            <w:top w:val="none" w:sz="0" w:space="0" w:color="auto"/>
            <w:left w:val="none" w:sz="0" w:space="0" w:color="auto"/>
            <w:bottom w:val="none" w:sz="0" w:space="0" w:color="auto"/>
            <w:right w:val="none" w:sz="0" w:space="0" w:color="auto"/>
          </w:divBdr>
        </w:div>
      </w:divsChild>
    </w:div>
    <w:div w:id="2110153361">
      <w:bodyDiv w:val="1"/>
      <w:marLeft w:val="0"/>
      <w:marRight w:val="0"/>
      <w:marTop w:val="0"/>
      <w:marBottom w:val="0"/>
      <w:divBdr>
        <w:top w:val="none" w:sz="0" w:space="0" w:color="auto"/>
        <w:left w:val="none" w:sz="0" w:space="0" w:color="auto"/>
        <w:bottom w:val="none" w:sz="0" w:space="0" w:color="auto"/>
        <w:right w:val="none" w:sz="0" w:space="0" w:color="auto"/>
      </w:divBdr>
      <w:divsChild>
        <w:div w:id="2098405211">
          <w:marLeft w:val="0"/>
          <w:marRight w:val="0"/>
          <w:marTop w:val="0"/>
          <w:marBottom w:val="0"/>
          <w:divBdr>
            <w:top w:val="none" w:sz="0" w:space="0" w:color="auto"/>
            <w:left w:val="none" w:sz="0" w:space="0" w:color="auto"/>
            <w:bottom w:val="none" w:sz="0" w:space="0" w:color="auto"/>
            <w:right w:val="none" w:sz="0" w:space="0" w:color="auto"/>
          </w:divBdr>
        </w:div>
      </w:divsChild>
    </w:div>
    <w:div w:id="2111002236">
      <w:bodyDiv w:val="1"/>
      <w:marLeft w:val="0"/>
      <w:marRight w:val="0"/>
      <w:marTop w:val="0"/>
      <w:marBottom w:val="0"/>
      <w:divBdr>
        <w:top w:val="none" w:sz="0" w:space="0" w:color="auto"/>
        <w:left w:val="none" w:sz="0" w:space="0" w:color="auto"/>
        <w:bottom w:val="none" w:sz="0" w:space="0" w:color="auto"/>
        <w:right w:val="none" w:sz="0" w:space="0" w:color="auto"/>
      </w:divBdr>
      <w:divsChild>
        <w:div w:id="2030569059">
          <w:marLeft w:val="0"/>
          <w:marRight w:val="0"/>
          <w:marTop w:val="0"/>
          <w:marBottom w:val="0"/>
          <w:divBdr>
            <w:top w:val="none" w:sz="0" w:space="0" w:color="auto"/>
            <w:left w:val="none" w:sz="0" w:space="0" w:color="auto"/>
            <w:bottom w:val="none" w:sz="0" w:space="0" w:color="auto"/>
            <w:right w:val="none" w:sz="0" w:space="0" w:color="auto"/>
          </w:divBdr>
        </w:div>
      </w:divsChild>
    </w:div>
    <w:div w:id="2133202766">
      <w:bodyDiv w:val="1"/>
      <w:marLeft w:val="0"/>
      <w:marRight w:val="0"/>
      <w:marTop w:val="0"/>
      <w:marBottom w:val="0"/>
      <w:divBdr>
        <w:top w:val="none" w:sz="0" w:space="0" w:color="auto"/>
        <w:left w:val="none" w:sz="0" w:space="0" w:color="auto"/>
        <w:bottom w:val="none" w:sz="0" w:space="0" w:color="auto"/>
        <w:right w:val="none" w:sz="0" w:space="0" w:color="auto"/>
      </w:divBdr>
      <w:divsChild>
        <w:div w:id="14585727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68FCF2-CE84-45CF-9C51-F09E6DB826D7}" type="doc">
      <dgm:prSet loTypeId="urn:microsoft.com/office/officeart/2005/8/layout/hList6" loCatId="list" qsTypeId="urn:microsoft.com/office/officeart/2005/8/quickstyle/simple1" qsCatId="simple" csTypeId="urn:microsoft.com/office/officeart/2005/8/colors/colorful1" csCatId="colorful" phldr="1"/>
      <dgm:spPr/>
      <dgm:t>
        <a:bodyPr/>
        <a:lstStyle/>
        <a:p>
          <a:endParaRPr lang="en-GB"/>
        </a:p>
      </dgm:t>
    </dgm:pt>
    <dgm:pt modelId="{F2707223-D24F-440B-B570-7A7B9F849387}">
      <dgm:prSet phldrT="[Text]" custT="1"/>
      <dgm:spPr/>
      <dgm:t>
        <a:bodyPr/>
        <a:lstStyle/>
        <a:p>
          <a:pPr>
            <a:buFont typeface="+mj-lt"/>
            <a:buAutoNum type="arabicPeriod"/>
          </a:pPr>
          <a:r>
            <a:rPr lang="en-GB" sz="1200" b="1">
              <a:latin typeface="Times New Roman" panose="02020603050405020304" pitchFamily="18" charset="0"/>
              <a:cs typeface="Times New Roman" panose="02020603050405020304" pitchFamily="18" charset="0"/>
            </a:rPr>
            <a:t>Reduce</a:t>
          </a:r>
          <a:r>
            <a:rPr lang="en-GB" sz="1200">
              <a:latin typeface="Times New Roman" panose="02020603050405020304" pitchFamily="18" charset="0"/>
              <a:cs typeface="Times New Roman" panose="02020603050405020304" pitchFamily="18" charset="0"/>
            </a:rPr>
            <a:t> – Minimizing waste generation through efficient resource use.</a:t>
          </a:r>
        </a:p>
      </dgm:t>
    </dgm:pt>
    <dgm:pt modelId="{81412F28-08FA-4773-8BAA-09B4B6A08C10}" type="parTrans" cxnId="{3230EEFD-1D3F-4DE6-A049-5D67BD925015}">
      <dgm:prSet/>
      <dgm:spPr/>
      <dgm:t>
        <a:bodyPr/>
        <a:lstStyle/>
        <a:p>
          <a:endParaRPr lang="en-GB"/>
        </a:p>
      </dgm:t>
    </dgm:pt>
    <dgm:pt modelId="{DDF6B5D8-D5F2-4493-86EA-8ECB793CBD13}" type="sibTrans" cxnId="{3230EEFD-1D3F-4DE6-A049-5D67BD925015}">
      <dgm:prSet/>
      <dgm:spPr/>
      <dgm:t>
        <a:bodyPr/>
        <a:lstStyle/>
        <a:p>
          <a:endParaRPr lang="en-GB"/>
        </a:p>
      </dgm:t>
    </dgm:pt>
    <dgm:pt modelId="{FE527980-063B-425F-A93B-57A82B18E42F}">
      <dgm:prSet custT="1"/>
      <dgm:spPr/>
      <dgm:t>
        <a:bodyPr/>
        <a:lstStyle/>
        <a:p>
          <a:pPr>
            <a:buFont typeface="+mj-lt"/>
            <a:buAutoNum type="arabicPeriod"/>
          </a:pPr>
          <a:r>
            <a:rPr lang="en-GB" sz="1200" b="1">
              <a:latin typeface="Times New Roman" panose="02020603050405020304" pitchFamily="18" charset="0"/>
              <a:cs typeface="Times New Roman" panose="02020603050405020304" pitchFamily="18" charset="0"/>
            </a:rPr>
            <a:t>Reuse</a:t>
          </a:r>
          <a:r>
            <a:rPr lang="en-GB" sz="1200">
              <a:latin typeface="Times New Roman" panose="02020603050405020304" pitchFamily="18" charset="0"/>
              <a:cs typeface="Times New Roman" panose="02020603050405020304" pitchFamily="18" charset="0"/>
            </a:rPr>
            <a:t> – Extending product life cycles by repurposing materials.</a:t>
          </a:r>
        </a:p>
      </dgm:t>
    </dgm:pt>
    <dgm:pt modelId="{5534AC66-6798-410C-A73A-BCA41E37DE05}" type="parTrans" cxnId="{15E85C92-67F7-431A-8A45-CFBADA3F94DC}">
      <dgm:prSet/>
      <dgm:spPr/>
      <dgm:t>
        <a:bodyPr/>
        <a:lstStyle/>
        <a:p>
          <a:endParaRPr lang="en-GB"/>
        </a:p>
      </dgm:t>
    </dgm:pt>
    <dgm:pt modelId="{4EEF4C6F-1F23-45BE-A0A2-1709D7970F25}" type="sibTrans" cxnId="{15E85C92-67F7-431A-8A45-CFBADA3F94DC}">
      <dgm:prSet/>
      <dgm:spPr/>
      <dgm:t>
        <a:bodyPr/>
        <a:lstStyle/>
        <a:p>
          <a:endParaRPr lang="en-GB"/>
        </a:p>
      </dgm:t>
    </dgm:pt>
    <dgm:pt modelId="{B5FFCE57-5057-4704-95A9-4F90A3371841}">
      <dgm:prSet custT="1"/>
      <dgm:spPr/>
      <dgm:t>
        <a:bodyPr/>
        <a:lstStyle/>
        <a:p>
          <a:pPr>
            <a:buFont typeface="+mj-lt"/>
            <a:buAutoNum type="arabicPeriod"/>
          </a:pPr>
          <a:r>
            <a:rPr lang="en-GB" sz="1200" b="1">
              <a:latin typeface="Times New Roman" panose="02020603050405020304" pitchFamily="18" charset="0"/>
              <a:cs typeface="Times New Roman" panose="02020603050405020304" pitchFamily="18" charset="0"/>
            </a:rPr>
            <a:t>Recycle</a:t>
          </a:r>
          <a:r>
            <a:rPr lang="en-GB" sz="1200">
              <a:latin typeface="Times New Roman" panose="02020603050405020304" pitchFamily="18" charset="0"/>
              <a:cs typeface="Times New Roman" panose="02020603050405020304" pitchFamily="18" charset="0"/>
            </a:rPr>
            <a:t> – Converting waste materials into new products.</a:t>
          </a:r>
        </a:p>
      </dgm:t>
    </dgm:pt>
    <dgm:pt modelId="{4FCC3E34-A766-4E3A-B04F-650B6082AC86}" type="parTrans" cxnId="{ECEED170-AF85-4138-B9D0-F68241F33360}">
      <dgm:prSet/>
      <dgm:spPr/>
      <dgm:t>
        <a:bodyPr/>
        <a:lstStyle/>
        <a:p>
          <a:endParaRPr lang="en-GB"/>
        </a:p>
      </dgm:t>
    </dgm:pt>
    <dgm:pt modelId="{0FFB8AEB-7DC1-4E54-835E-C3DD0679D4DF}" type="sibTrans" cxnId="{ECEED170-AF85-4138-B9D0-F68241F33360}">
      <dgm:prSet/>
      <dgm:spPr/>
      <dgm:t>
        <a:bodyPr/>
        <a:lstStyle/>
        <a:p>
          <a:endParaRPr lang="en-GB"/>
        </a:p>
      </dgm:t>
    </dgm:pt>
    <dgm:pt modelId="{509847A3-20A7-4290-9251-D70440655BFE}">
      <dgm:prSet custT="1"/>
      <dgm:spPr/>
      <dgm:t>
        <a:bodyPr/>
        <a:lstStyle/>
        <a:p>
          <a:pPr>
            <a:buFont typeface="+mj-lt"/>
            <a:buAutoNum type="arabicPeriod"/>
          </a:pPr>
          <a:r>
            <a:rPr lang="en-GB" sz="1200" b="1">
              <a:latin typeface="Times New Roman" panose="02020603050405020304" pitchFamily="18" charset="0"/>
              <a:cs typeface="Times New Roman" panose="02020603050405020304" pitchFamily="18" charset="0"/>
            </a:rPr>
            <a:t>Regenerate</a:t>
          </a:r>
          <a:r>
            <a:rPr lang="en-GB" sz="1200">
              <a:latin typeface="Times New Roman" panose="02020603050405020304" pitchFamily="18" charset="0"/>
              <a:cs typeface="Times New Roman" panose="02020603050405020304" pitchFamily="18" charset="0"/>
            </a:rPr>
            <a:t> – Restoring natural ecosystems through sustainable practices.</a:t>
          </a:r>
        </a:p>
      </dgm:t>
    </dgm:pt>
    <dgm:pt modelId="{EE86A415-613B-447B-A1DA-82708FB8090F}" type="parTrans" cxnId="{44F9440D-1990-4FF3-B856-B103F050D770}">
      <dgm:prSet/>
      <dgm:spPr/>
      <dgm:t>
        <a:bodyPr/>
        <a:lstStyle/>
        <a:p>
          <a:endParaRPr lang="en-GB"/>
        </a:p>
      </dgm:t>
    </dgm:pt>
    <dgm:pt modelId="{02668EAD-26CA-4B92-A6F7-65FD826F9776}" type="sibTrans" cxnId="{44F9440D-1990-4FF3-B856-B103F050D770}">
      <dgm:prSet/>
      <dgm:spPr/>
      <dgm:t>
        <a:bodyPr/>
        <a:lstStyle/>
        <a:p>
          <a:endParaRPr lang="en-GB"/>
        </a:p>
      </dgm:t>
    </dgm:pt>
    <dgm:pt modelId="{09D8CC55-F9A1-40BE-B0EA-2F8924FF7C13}" type="pres">
      <dgm:prSet presAssocID="{9968FCF2-CE84-45CF-9C51-F09E6DB826D7}" presName="Name0" presStyleCnt="0">
        <dgm:presLayoutVars>
          <dgm:dir/>
          <dgm:resizeHandles val="exact"/>
        </dgm:presLayoutVars>
      </dgm:prSet>
      <dgm:spPr/>
    </dgm:pt>
    <dgm:pt modelId="{C5447487-8B1B-4161-AAAC-6A471CE1CFCC}" type="pres">
      <dgm:prSet presAssocID="{F2707223-D24F-440B-B570-7A7B9F849387}" presName="node" presStyleLbl="node1" presStyleIdx="0" presStyleCnt="4">
        <dgm:presLayoutVars>
          <dgm:bulletEnabled val="1"/>
        </dgm:presLayoutVars>
      </dgm:prSet>
      <dgm:spPr/>
    </dgm:pt>
    <dgm:pt modelId="{A64AF3A3-80CC-4611-8090-8A5553D4CDFA}" type="pres">
      <dgm:prSet presAssocID="{DDF6B5D8-D5F2-4493-86EA-8ECB793CBD13}" presName="sibTrans" presStyleCnt="0"/>
      <dgm:spPr/>
    </dgm:pt>
    <dgm:pt modelId="{2E95833B-95A1-4EF9-AFD7-9E036819E2FC}" type="pres">
      <dgm:prSet presAssocID="{FE527980-063B-425F-A93B-57A82B18E42F}" presName="node" presStyleLbl="node1" presStyleIdx="1" presStyleCnt="4">
        <dgm:presLayoutVars>
          <dgm:bulletEnabled val="1"/>
        </dgm:presLayoutVars>
      </dgm:prSet>
      <dgm:spPr/>
    </dgm:pt>
    <dgm:pt modelId="{E6355517-E65C-4303-9618-AF38F664E951}" type="pres">
      <dgm:prSet presAssocID="{4EEF4C6F-1F23-45BE-A0A2-1709D7970F25}" presName="sibTrans" presStyleCnt="0"/>
      <dgm:spPr/>
    </dgm:pt>
    <dgm:pt modelId="{C4E7D4B4-941E-4E53-BAB9-E77A35F1C059}" type="pres">
      <dgm:prSet presAssocID="{B5FFCE57-5057-4704-95A9-4F90A3371841}" presName="node" presStyleLbl="node1" presStyleIdx="2" presStyleCnt="4">
        <dgm:presLayoutVars>
          <dgm:bulletEnabled val="1"/>
        </dgm:presLayoutVars>
      </dgm:prSet>
      <dgm:spPr/>
    </dgm:pt>
    <dgm:pt modelId="{2364CE84-C806-4CAB-AB44-DCD2FF3F6082}" type="pres">
      <dgm:prSet presAssocID="{0FFB8AEB-7DC1-4E54-835E-C3DD0679D4DF}" presName="sibTrans" presStyleCnt="0"/>
      <dgm:spPr/>
    </dgm:pt>
    <dgm:pt modelId="{73F9B762-57B3-4BC6-BF2D-41C9472738EA}" type="pres">
      <dgm:prSet presAssocID="{509847A3-20A7-4290-9251-D70440655BFE}" presName="node" presStyleLbl="node1" presStyleIdx="3" presStyleCnt="4">
        <dgm:presLayoutVars>
          <dgm:bulletEnabled val="1"/>
        </dgm:presLayoutVars>
      </dgm:prSet>
      <dgm:spPr/>
    </dgm:pt>
  </dgm:ptLst>
  <dgm:cxnLst>
    <dgm:cxn modelId="{D857CD02-BFBC-4109-B525-902C808C1C64}" type="presOf" srcId="{B5FFCE57-5057-4704-95A9-4F90A3371841}" destId="{C4E7D4B4-941E-4E53-BAB9-E77A35F1C059}" srcOrd="0" destOrd="0" presId="urn:microsoft.com/office/officeart/2005/8/layout/hList6"/>
    <dgm:cxn modelId="{44F9440D-1990-4FF3-B856-B103F050D770}" srcId="{9968FCF2-CE84-45CF-9C51-F09E6DB826D7}" destId="{509847A3-20A7-4290-9251-D70440655BFE}" srcOrd="3" destOrd="0" parTransId="{EE86A415-613B-447B-A1DA-82708FB8090F}" sibTransId="{02668EAD-26CA-4B92-A6F7-65FD826F9776}"/>
    <dgm:cxn modelId="{E4F28833-30E9-4DA7-B9B4-9E39C3A46DF1}" type="presOf" srcId="{509847A3-20A7-4290-9251-D70440655BFE}" destId="{73F9B762-57B3-4BC6-BF2D-41C9472738EA}" srcOrd="0" destOrd="0" presId="urn:microsoft.com/office/officeart/2005/8/layout/hList6"/>
    <dgm:cxn modelId="{5E420B4D-EBEE-4DA9-B8BB-CBF6DD6CE862}" type="presOf" srcId="{FE527980-063B-425F-A93B-57A82B18E42F}" destId="{2E95833B-95A1-4EF9-AFD7-9E036819E2FC}" srcOrd="0" destOrd="0" presId="urn:microsoft.com/office/officeart/2005/8/layout/hList6"/>
    <dgm:cxn modelId="{ECEED170-AF85-4138-B9D0-F68241F33360}" srcId="{9968FCF2-CE84-45CF-9C51-F09E6DB826D7}" destId="{B5FFCE57-5057-4704-95A9-4F90A3371841}" srcOrd="2" destOrd="0" parTransId="{4FCC3E34-A766-4E3A-B04F-650B6082AC86}" sibTransId="{0FFB8AEB-7DC1-4E54-835E-C3DD0679D4DF}"/>
    <dgm:cxn modelId="{15E85C92-67F7-431A-8A45-CFBADA3F94DC}" srcId="{9968FCF2-CE84-45CF-9C51-F09E6DB826D7}" destId="{FE527980-063B-425F-A93B-57A82B18E42F}" srcOrd="1" destOrd="0" parTransId="{5534AC66-6798-410C-A73A-BCA41E37DE05}" sibTransId="{4EEF4C6F-1F23-45BE-A0A2-1709D7970F25}"/>
    <dgm:cxn modelId="{0AFAF7A6-59B5-43CF-A12D-3587EB508A2C}" type="presOf" srcId="{9968FCF2-CE84-45CF-9C51-F09E6DB826D7}" destId="{09D8CC55-F9A1-40BE-B0EA-2F8924FF7C13}" srcOrd="0" destOrd="0" presId="urn:microsoft.com/office/officeart/2005/8/layout/hList6"/>
    <dgm:cxn modelId="{229DD6BA-022A-4C94-9968-5180D19080F9}" type="presOf" srcId="{F2707223-D24F-440B-B570-7A7B9F849387}" destId="{C5447487-8B1B-4161-AAAC-6A471CE1CFCC}" srcOrd="0" destOrd="0" presId="urn:microsoft.com/office/officeart/2005/8/layout/hList6"/>
    <dgm:cxn modelId="{3230EEFD-1D3F-4DE6-A049-5D67BD925015}" srcId="{9968FCF2-CE84-45CF-9C51-F09E6DB826D7}" destId="{F2707223-D24F-440B-B570-7A7B9F849387}" srcOrd="0" destOrd="0" parTransId="{81412F28-08FA-4773-8BAA-09B4B6A08C10}" sibTransId="{DDF6B5D8-D5F2-4493-86EA-8ECB793CBD13}"/>
    <dgm:cxn modelId="{179B53D4-6C18-4987-ADD1-32CEE7031708}" type="presParOf" srcId="{09D8CC55-F9A1-40BE-B0EA-2F8924FF7C13}" destId="{C5447487-8B1B-4161-AAAC-6A471CE1CFCC}" srcOrd="0" destOrd="0" presId="urn:microsoft.com/office/officeart/2005/8/layout/hList6"/>
    <dgm:cxn modelId="{EB74448B-C141-4B08-B2F6-6E10F196B921}" type="presParOf" srcId="{09D8CC55-F9A1-40BE-B0EA-2F8924FF7C13}" destId="{A64AF3A3-80CC-4611-8090-8A5553D4CDFA}" srcOrd="1" destOrd="0" presId="urn:microsoft.com/office/officeart/2005/8/layout/hList6"/>
    <dgm:cxn modelId="{B2A531A0-DC72-4CFB-ABC0-70ACF7DA1AB2}" type="presParOf" srcId="{09D8CC55-F9A1-40BE-B0EA-2F8924FF7C13}" destId="{2E95833B-95A1-4EF9-AFD7-9E036819E2FC}" srcOrd="2" destOrd="0" presId="urn:microsoft.com/office/officeart/2005/8/layout/hList6"/>
    <dgm:cxn modelId="{FB576FCD-9E5E-4638-BCD5-FAAD0F3FC9D5}" type="presParOf" srcId="{09D8CC55-F9A1-40BE-B0EA-2F8924FF7C13}" destId="{E6355517-E65C-4303-9618-AF38F664E951}" srcOrd="3" destOrd="0" presId="urn:microsoft.com/office/officeart/2005/8/layout/hList6"/>
    <dgm:cxn modelId="{B44822A9-5D8F-4847-9E41-81305955778B}" type="presParOf" srcId="{09D8CC55-F9A1-40BE-B0EA-2F8924FF7C13}" destId="{C4E7D4B4-941E-4E53-BAB9-E77A35F1C059}" srcOrd="4" destOrd="0" presId="urn:microsoft.com/office/officeart/2005/8/layout/hList6"/>
    <dgm:cxn modelId="{39002E02-6378-4EEA-A6BF-827399873112}" type="presParOf" srcId="{09D8CC55-F9A1-40BE-B0EA-2F8924FF7C13}" destId="{2364CE84-C806-4CAB-AB44-DCD2FF3F6082}" srcOrd="5" destOrd="0" presId="urn:microsoft.com/office/officeart/2005/8/layout/hList6"/>
    <dgm:cxn modelId="{E6023CE0-FD75-4060-8F20-CAF6830AD89F}" type="presParOf" srcId="{09D8CC55-F9A1-40BE-B0EA-2F8924FF7C13}" destId="{73F9B762-57B3-4BC6-BF2D-41C9472738EA}" srcOrd="6" destOrd="0" presId="urn:microsoft.com/office/officeart/2005/8/layout/h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447487-8B1B-4161-AAAC-6A471CE1CFCC}">
      <dsp:nvSpPr>
        <dsp:cNvPr id="0" name=""/>
        <dsp:cNvSpPr/>
      </dsp:nvSpPr>
      <dsp:spPr>
        <a:xfrm rot="16200000">
          <a:off x="-770000" y="771185"/>
          <a:ext cx="2705100" cy="1162729"/>
        </a:xfrm>
        <a:prstGeom prst="flowChartManualOperati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Font typeface="+mj-lt"/>
            <a:buNone/>
          </a:pPr>
          <a:r>
            <a:rPr lang="en-GB" sz="1200" b="1" kern="1200">
              <a:latin typeface="Times New Roman" panose="02020603050405020304" pitchFamily="18" charset="0"/>
              <a:cs typeface="Times New Roman" panose="02020603050405020304" pitchFamily="18" charset="0"/>
            </a:rPr>
            <a:t>Reduce</a:t>
          </a:r>
          <a:r>
            <a:rPr lang="en-GB" sz="1200" kern="1200">
              <a:latin typeface="Times New Roman" panose="02020603050405020304" pitchFamily="18" charset="0"/>
              <a:cs typeface="Times New Roman" panose="02020603050405020304" pitchFamily="18" charset="0"/>
            </a:rPr>
            <a:t> – Minimizing waste generation through efficient resource use.</a:t>
          </a:r>
        </a:p>
      </dsp:txBody>
      <dsp:txXfrm rot="5400000">
        <a:off x="1185" y="541020"/>
        <a:ext cx="1162729" cy="1623060"/>
      </dsp:txXfrm>
    </dsp:sp>
    <dsp:sp modelId="{2E95833B-95A1-4EF9-AFD7-9E036819E2FC}">
      <dsp:nvSpPr>
        <dsp:cNvPr id="0" name=""/>
        <dsp:cNvSpPr/>
      </dsp:nvSpPr>
      <dsp:spPr>
        <a:xfrm rot="16200000">
          <a:off x="479933" y="771185"/>
          <a:ext cx="2705100" cy="1162729"/>
        </a:xfrm>
        <a:prstGeom prst="flowChartManualOperati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Font typeface="+mj-lt"/>
            <a:buNone/>
          </a:pPr>
          <a:r>
            <a:rPr lang="en-GB" sz="1200" b="1" kern="1200">
              <a:latin typeface="Times New Roman" panose="02020603050405020304" pitchFamily="18" charset="0"/>
              <a:cs typeface="Times New Roman" panose="02020603050405020304" pitchFamily="18" charset="0"/>
            </a:rPr>
            <a:t>Reuse</a:t>
          </a:r>
          <a:r>
            <a:rPr lang="en-GB" sz="1200" kern="1200">
              <a:latin typeface="Times New Roman" panose="02020603050405020304" pitchFamily="18" charset="0"/>
              <a:cs typeface="Times New Roman" panose="02020603050405020304" pitchFamily="18" charset="0"/>
            </a:rPr>
            <a:t> – Extending product life cycles by repurposing materials.</a:t>
          </a:r>
        </a:p>
      </dsp:txBody>
      <dsp:txXfrm rot="5400000">
        <a:off x="1251118" y="541020"/>
        <a:ext cx="1162729" cy="1623060"/>
      </dsp:txXfrm>
    </dsp:sp>
    <dsp:sp modelId="{C4E7D4B4-941E-4E53-BAB9-E77A35F1C059}">
      <dsp:nvSpPr>
        <dsp:cNvPr id="0" name=""/>
        <dsp:cNvSpPr/>
      </dsp:nvSpPr>
      <dsp:spPr>
        <a:xfrm rot="16200000">
          <a:off x="1729866" y="771185"/>
          <a:ext cx="2705100" cy="1162729"/>
        </a:xfrm>
        <a:prstGeom prst="flowChartManualOperati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Font typeface="+mj-lt"/>
            <a:buNone/>
          </a:pPr>
          <a:r>
            <a:rPr lang="en-GB" sz="1200" b="1" kern="1200">
              <a:latin typeface="Times New Roman" panose="02020603050405020304" pitchFamily="18" charset="0"/>
              <a:cs typeface="Times New Roman" panose="02020603050405020304" pitchFamily="18" charset="0"/>
            </a:rPr>
            <a:t>Recycle</a:t>
          </a:r>
          <a:r>
            <a:rPr lang="en-GB" sz="1200" kern="1200">
              <a:latin typeface="Times New Roman" panose="02020603050405020304" pitchFamily="18" charset="0"/>
              <a:cs typeface="Times New Roman" panose="02020603050405020304" pitchFamily="18" charset="0"/>
            </a:rPr>
            <a:t> – Converting waste materials into new products.</a:t>
          </a:r>
        </a:p>
      </dsp:txBody>
      <dsp:txXfrm rot="5400000">
        <a:off x="2501051" y="541020"/>
        <a:ext cx="1162729" cy="1623060"/>
      </dsp:txXfrm>
    </dsp:sp>
    <dsp:sp modelId="{73F9B762-57B3-4BC6-BF2D-41C9472738EA}">
      <dsp:nvSpPr>
        <dsp:cNvPr id="0" name=""/>
        <dsp:cNvSpPr/>
      </dsp:nvSpPr>
      <dsp:spPr>
        <a:xfrm rot="16200000">
          <a:off x="2979800" y="771185"/>
          <a:ext cx="2705100" cy="1162729"/>
        </a:xfrm>
        <a:prstGeom prst="flowChartManualOperati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Font typeface="+mj-lt"/>
            <a:buNone/>
          </a:pPr>
          <a:r>
            <a:rPr lang="en-GB" sz="1200" b="1" kern="1200">
              <a:latin typeface="Times New Roman" panose="02020603050405020304" pitchFamily="18" charset="0"/>
              <a:cs typeface="Times New Roman" panose="02020603050405020304" pitchFamily="18" charset="0"/>
            </a:rPr>
            <a:t>Regenerate</a:t>
          </a:r>
          <a:r>
            <a:rPr lang="en-GB" sz="1200" kern="1200">
              <a:latin typeface="Times New Roman" panose="02020603050405020304" pitchFamily="18" charset="0"/>
              <a:cs typeface="Times New Roman" panose="02020603050405020304" pitchFamily="18" charset="0"/>
            </a:rPr>
            <a:t> – Restoring natural ecosystems through sustainable practices.</a:t>
          </a:r>
        </a:p>
      </dsp:txBody>
      <dsp:txXfrm rot="5400000">
        <a:off x="3750985" y="541020"/>
        <a:ext cx="1162729" cy="162306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40713-46A1-4D57-A170-998306C37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4527</Words>
  <Characters>25809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2025-02-01T17:28:00Z</dcterms:created>
  <dcterms:modified xsi:type="dcterms:W3CDTF">2025-02-02T15:02:00Z</dcterms:modified>
</cp:coreProperties>
</file>