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1764" w:rsidRPr="00493E26" w:rsidRDefault="00824532" w:rsidP="00493E26">
      <w:pPr>
        <w:pStyle w:val="Title"/>
        <w:spacing w:after="400" w:line="360" w:lineRule="auto"/>
        <w:jc w:val="center"/>
        <w:rPr>
          <w:rFonts w:ascii="Arial" w:hAnsi="Arial" w:cs="Arial"/>
          <w:sz w:val="28"/>
          <w:szCs w:val="28"/>
        </w:rPr>
      </w:pPr>
      <w:r w:rsidRPr="00493E26">
        <w:rPr>
          <w:rFonts w:ascii="Arial" w:hAnsi="Arial" w:cs="Arial"/>
          <w:sz w:val="28"/>
          <w:szCs w:val="28"/>
        </w:rPr>
        <w:t>Mrs Thompson Case Study: Communication, Administration and Collaborative Practice in Health and Social Care</w:t>
      </w:r>
    </w:p>
    <w:p w:rsidR="002D1764" w:rsidRPr="00493E26" w:rsidRDefault="00824532" w:rsidP="00493E26">
      <w:pPr>
        <w:pStyle w:val="Heading1"/>
        <w:spacing w:before="300" w:after="200" w:line="360" w:lineRule="auto"/>
        <w:rPr>
          <w:rFonts w:ascii="Arial" w:hAnsi="Arial" w:cs="Arial"/>
          <w:sz w:val="24"/>
          <w:szCs w:val="24"/>
        </w:rPr>
      </w:pPr>
      <w:r w:rsidRPr="00493E26">
        <w:rPr>
          <w:rFonts w:ascii="Arial" w:hAnsi="Arial" w:cs="Arial"/>
          <w:sz w:val="24"/>
          <w:szCs w:val="24"/>
        </w:rPr>
        <w:t>Introduction</w:t>
      </w:r>
    </w:p>
    <w:p w:rsidR="002D1764" w:rsidRPr="00493E26" w:rsidRDefault="00824532" w:rsidP="00493E26">
      <w:pPr>
        <w:spacing w:after="200" w:line="360" w:lineRule="auto"/>
        <w:jc w:val="both"/>
        <w:rPr>
          <w:rFonts w:ascii="Arial" w:hAnsi="Arial" w:cs="Arial"/>
          <w:sz w:val="22"/>
          <w:szCs w:val="22"/>
        </w:rPr>
      </w:pPr>
      <w:r w:rsidRPr="00493E26">
        <w:rPr>
          <w:rFonts w:ascii="Arial" w:hAnsi="Arial" w:cs="Arial"/>
          <w:sz w:val="22"/>
          <w:szCs w:val="22"/>
        </w:rPr>
        <w:t>This report examines the case of Mrs Thompson, an 84-year-old woman with mild dementia who lives alone in sheltered housing and receives twice-daily domiciliary care. Following a recent hospital discharge for pneumonia, two significant incidents have arisen: a missed medication episode that increased her confusion, and a separate occasion where she was found outside inappropriately dressed in cold weather. Both events have been formally recorded and are now the subject of a medication review and a local authority safeguarding review, illustrating how quickly small lapses in support can escalate into serious risk for an older person with cognitive impairment. This report critically discusses effective communication, accurate record keeping under relevant legislation, and collaborative working between the professionals involved in her care, arguing that these three areas are not separate concerns but interlinked failures that, together, produced the current safeguarding picture and must therefore be addressed as a single, coordinated system rather than in isolation.</w:t>
      </w:r>
    </w:p>
    <w:p w:rsidR="002D1764" w:rsidRPr="00493E26" w:rsidRDefault="00824532" w:rsidP="00493E26">
      <w:pPr>
        <w:pStyle w:val="Heading1"/>
        <w:spacing w:before="300" w:after="200" w:line="360" w:lineRule="auto"/>
        <w:rPr>
          <w:rFonts w:ascii="Arial" w:hAnsi="Arial" w:cs="Arial"/>
          <w:sz w:val="24"/>
          <w:szCs w:val="24"/>
        </w:rPr>
      </w:pPr>
      <w:r w:rsidRPr="00493E26">
        <w:rPr>
          <w:rFonts w:ascii="Arial" w:hAnsi="Arial" w:cs="Arial"/>
          <w:sz w:val="24"/>
          <w:szCs w:val="24"/>
        </w:rPr>
        <w:t>Effective Communication in Mrs Thompson's Care</w:t>
      </w:r>
    </w:p>
    <w:p w:rsidR="002D1764" w:rsidRPr="00493E26" w:rsidRDefault="00824532" w:rsidP="00493E26">
      <w:pPr>
        <w:spacing w:after="200" w:line="360" w:lineRule="auto"/>
        <w:jc w:val="both"/>
        <w:rPr>
          <w:rFonts w:ascii="Arial" w:hAnsi="Arial" w:cs="Arial"/>
          <w:sz w:val="22"/>
          <w:szCs w:val="22"/>
        </w:rPr>
      </w:pPr>
      <w:r w:rsidRPr="00493E26">
        <w:rPr>
          <w:rFonts w:ascii="Arial" w:hAnsi="Arial" w:cs="Arial"/>
          <w:sz w:val="22"/>
          <w:szCs w:val="22"/>
        </w:rPr>
        <w:t xml:space="preserve">Effective communication is fundamental to Mrs Thompson's care because her mild dementia affects memory, comprehension and information processing, increasing the risk of missed medication and unsafe behaviour such as leaving home unsuitably dressed. Practitioners must adapt their communication style to accommodate her cognitive needs, using simple, unhurried language, repetition and visual or written prompts to reinforce verbal information. De </w:t>
      </w:r>
      <w:proofErr w:type="spellStart"/>
      <w:r w:rsidRPr="00493E26">
        <w:rPr>
          <w:rFonts w:ascii="Arial" w:hAnsi="Arial" w:cs="Arial"/>
          <w:sz w:val="22"/>
          <w:szCs w:val="22"/>
        </w:rPr>
        <w:t>Vries</w:t>
      </w:r>
      <w:proofErr w:type="spellEnd"/>
      <w:r w:rsidRPr="00493E26">
        <w:rPr>
          <w:rFonts w:ascii="Arial" w:hAnsi="Arial" w:cs="Arial"/>
          <w:sz w:val="22"/>
          <w:szCs w:val="22"/>
        </w:rPr>
        <w:t xml:space="preserve"> (2013) argues that communication difficulties in dementia are often misread as behavioural problems rather than expressions of unmet need, meaning </w:t>
      </w:r>
      <w:r w:rsidR="00493E26" w:rsidRPr="00493E26">
        <w:rPr>
          <w:rFonts w:ascii="Arial" w:hAnsi="Arial" w:cs="Arial"/>
          <w:sz w:val="22"/>
          <w:szCs w:val="22"/>
        </w:rPr>
        <w:t>staffs</w:t>
      </w:r>
      <w:r w:rsidRPr="00493E26">
        <w:rPr>
          <w:rFonts w:ascii="Arial" w:hAnsi="Arial" w:cs="Arial"/>
          <w:sz w:val="22"/>
          <w:szCs w:val="22"/>
        </w:rPr>
        <w:t xml:space="preserve"> who understand the cognitive basis of Mrs Thompson's confusion are better placed to respond appropriately rather than simply managing symptoms after they occur. This distinction matters in Mrs Thompson's case: her missed medication led to increased confusion, but confusion itself may also have been a contributing cause of the missed dose, suggesting a cyclical relationship between communication breakdown and clinical risk that a purely reactive approach would fail to address.</w:t>
      </w:r>
    </w:p>
    <w:p w:rsidR="002D1764" w:rsidRPr="00493E26" w:rsidRDefault="00824532" w:rsidP="00493E26">
      <w:pPr>
        <w:spacing w:after="200" w:line="360" w:lineRule="auto"/>
        <w:jc w:val="both"/>
        <w:rPr>
          <w:rFonts w:ascii="Arial" w:hAnsi="Arial" w:cs="Arial"/>
          <w:sz w:val="22"/>
          <w:szCs w:val="22"/>
        </w:rPr>
      </w:pPr>
      <w:r w:rsidRPr="00493E26">
        <w:rPr>
          <w:rFonts w:ascii="Arial" w:hAnsi="Arial" w:cs="Arial"/>
          <w:sz w:val="22"/>
          <w:szCs w:val="22"/>
        </w:rPr>
        <w:lastRenderedPageBreak/>
        <w:t xml:space="preserve">A recognised framework supporting more attentive practice is Egan's SOLER model, introduced during teaching as a tool for building rapport (Egan, 2014). SOLER stands for sitting </w:t>
      </w:r>
      <w:proofErr w:type="gramStart"/>
      <w:r w:rsidRPr="00493E26">
        <w:rPr>
          <w:rFonts w:ascii="Arial" w:hAnsi="Arial" w:cs="Arial"/>
          <w:sz w:val="22"/>
          <w:szCs w:val="22"/>
        </w:rPr>
        <w:t>Squarely</w:t>
      </w:r>
      <w:proofErr w:type="gramEnd"/>
      <w:r w:rsidRPr="00493E26">
        <w:rPr>
          <w:rFonts w:ascii="Arial" w:hAnsi="Arial" w:cs="Arial"/>
          <w:sz w:val="22"/>
          <w:szCs w:val="22"/>
        </w:rPr>
        <w:t>, an Open posture, Leaning toward the person, appropriate Eye contact, and Relaxing to appear approachable. Applying SOLER helps staff appear calm and non-threatening, encouraging Mrs Thompson to voice concerns about her medication or wellbeing. However, the model was developed for general counselling relationships rather than for people with cognitive impairment specifically, and its emphasis on sustained eye contact may need adapting, since prolonged eye contact can occasionally heighten anxiety rather than reduce it in some people with dementia. Used uncritically, therefore, SOLER risks being applied as a generic checklist rather than a framework sensitive to Mrs Thompson's individual presentation.</w:t>
      </w:r>
    </w:p>
    <w:p w:rsidR="002D1764" w:rsidRPr="00493E26" w:rsidRDefault="00824532" w:rsidP="00493E26">
      <w:pPr>
        <w:spacing w:after="200" w:line="360" w:lineRule="auto"/>
        <w:jc w:val="both"/>
        <w:rPr>
          <w:rFonts w:ascii="Arial" w:hAnsi="Arial" w:cs="Arial"/>
          <w:sz w:val="22"/>
          <w:szCs w:val="22"/>
        </w:rPr>
      </w:pPr>
      <w:r w:rsidRPr="00493E26">
        <w:rPr>
          <w:rFonts w:ascii="Arial" w:hAnsi="Arial" w:cs="Arial"/>
          <w:sz w:val="22"/>
          <w:szCs w:val="22"/>
        </w:rPr>
        <w:t>Communication must also reflect the core principles of the Equality Act 2010, which protects individuals from discrimination on protected characteristics, including age and disability (Equality Act 2010). Mrs Thompson's dementia falls within the Act's definition of disability, meaning services must make reasonable adjustments such as extra appointment time and accessible language. In practice, however, 'reasonable adjustment' is a resource-dependent judgement rather than a fixed standard, and time-pressured domiciliary visits may fall short of what dignified communication actually requires, exposing a gap between the Act's legal principle and its everyday delivery.</w:t>
      </w:r>
    </w:p>
    <w:p w:rsidR="002D1764" w:rsidRPr="00493E26" w:rsidRDefault="00824532" w:rsidP="00493E26">
      <w:pPr>
        <w:spacing w:after="200" w:line="360" w:lineRule="auto"/>
        <w:jc w:val="both"/>
        <w:rPr>
          <w:rFonts w:ascii="Arial" w:hAnsi="Arial" w:cs="Arial"/>
          <w:sz w:val="22"/>
          <w:szCs w:val="22"/>
        </w:rPr>
      </w:pPr>
      <w:r w:rsidRPr="00493E26">
        <w:rPr>
          <w:rFonts w:ascii="Arial" w:hAnsi="Arial" w:cs="Arial"/>
          <w:sz w:val="22"/>
          <w:szCs w:val="22"/>
        </w:rPr>
        <w:t>Where Mrs Thompson's capacity is in question, the Mental Capacity Act 2005 presumes capacity unless proven otherwise and requires best-interests decisions when she cannot decide for herself (Mental Capacity Act 2005). Involving her family must therefore be balanced carefully: well-intentioned relatives can inadvertently speak over Mrs Thompson rather than for her, so professionals must ensure family involvement supports rather than substitutes her own voice, however diminished by cognitive decline it may currently be.</w:t>
      </w:r>
    </w:p>
    <w:p w:rsidR="002D1764" w:rsidRPr="00493E26" w:rsidRDefault="00824532" w:rsidP="00493E26">
      <w:pPr>
        <w:pStyle w:val="Heading1"/>
        <w:spacing w:before="300" w:after="200" w:line="360" w:lineRule="auto"/>
        <w:rPr>
          <w:rFonts w:ascii="Arial" w:hAnsi="Arial" w:cs="Arial"/>
          <w:sz w:val="24"/>
          <w:szCs w:val="24"/>
        </w:rPr>
      </w:pPr>
      <w:r w:rsidRPr="00493E26">
        <w:rPr>
          <w:rFonts w:ascii="Arial" w:hAnsi="Arial" w:cs="Arial"/>
          <w:sz w:val="24"/>
          <w:szCs w:val="24"/>
        </w:rPr>
        <w:t>The Importance of Good Administrative Skills</w:t>
      </w:r>
    </w:p>
    <w:p w:rsidR="002D1764" w:rsidRPr="00493E26" w:rsidRDefault="00824532" w:rsidP="00493E26">
      <w:pPr>
        <w:spacing w:after="200" w:line="360" w:lineRule="auto"/>
        <w:jc w:val="both"/>
        <w:rPr>
          <w:rFonts w:ascii="Arial" w:hAnsi="Arial" w:cs="Arial"/>
          <w:sz w:val="22"/>
          <w:szCs w:val="22"/>
        </w:rPr>
      </w:pPr>
      <w:r w:rsidRPr="00493E26">
        <w:rPr>
          <w:rFonts w:ascii="Arial" w:hAnsi="Arial" w:cs="Arial"/>
          <w:sz w:val="22"/>
          <w:szCs w:val="22"/>
        </w:rPr>
        <w:t xml:space="preserve">Accurate administration underpins safe, accountable care for Mrs Thompson, particularly given the incidents already logged through the service's formal processes. When medication was missed and confusion increased, documentation of what occurred and what action followed enabled the concern to be escalated and a medication review requested. Brooks (2021) emphasises that clear documentation supports continuity of care by allowing other professionals to see current care plans at a glance, which matters given how many professionals are now involved in Mrs Thompson's review. Yet Brooks (2021) also cautions that documentation can </w:t>
      </w:r>
      <w:r w:rsidRPr="00493E26">
        <w:rPr>
          <w:rFonts w:ascii="Arial" w:hAnsi="Arial" w:cs="Arial"/>
          <w:sz w:val="22"/>
          <w:szCs w:val="22"/>
        </w:rPr>
        <w:lastRenderedPageBreak/>
        <w:t>become a routine, generic exercise rather than a genuinely reflective one; if entries about Mrs Thompson's confusion are recorded in standardised language without capturing what was distinctive about her presentation on that occasion, subtle warning signs of deterioration may be missed even when the paperwork itself appears fully compliant with organisational policy. This distinction between compliant recording and meaningful recording is significant, because a record that satisfies audit requirements is not automatically one that alerts the next professional to a developing pattern of risk. For Mrs Thompson, this means care workers should document not only that confusion occurred, but its specific timing relative to missed doses, so that a recurring pattern becomes visible to the GP conducting the medication review rather than being buried across separate, disconnected entries.</w:t>
      </w:r>
    </w:p>
    <w:p w:rsidR="002D1764" w:rsidRPr="00493E26" w:rsidRDefault="00824532" w:rsidP="00493E26">
      <w:pPr>
        <w:spacing w:after="200" w:line="360" w:lineRule="auto"/>
        <w:jc w:val="both"/>
        <w:rPr>
          <w:rFonts w:ascii="Arial" w:hAnsi="Arial" w:cs="Arial"/>
          <w:sz w:val="22"/>
          <w:szCs w:val="22"/>
        </w:rPr>
      </w:pPr>
      <w:r w:rsidRPr="00493E26">
        <w:rPr>
          <w:rFonts w:ascii="Arial" w:hAnsi="Arial" w:cs="Arial"/>
          <w:sz w:val="22"/>
          <w:szCs w:val="22"/>
        </w:rPr>
        <w:t>Record keeping must comply with the Data Protection Act 2018, which incorporates the UK General Data Protection Regulation and requires personal data to be processed lawfully, fairly and transparently, collected for specified purposes, and stored securely with restricted access (Data Protection Act 2018). Applied to Mrs Thompson's case, information about her missed medication and the cold-weather incident should be shared only with professionals directly involved in her care. This is reinforced by wider information governance principles used across health and social care, which hold that identifiable information should be used only when necessary and shared on a strict need-to-know basis, while also recognising that sharing information can be as important as protecting it. This second principle is easily overlooked in practice: an overly cautious reading of confidentiality can itself become a safeguarding risk if it delays professionals from flagging a pattern of missed medication or unsafe behaviour to the right people at the right time, an organisational tension that Willis et al. (2022) identify as a recurring barrier within multidisciplinary settings more broadly. Providers are also expected to maintain complete, accurate and contemporaneous records as part of good governance, treating poor record keeping not as a minor technical failing but as a direct risk to patient safety, which is arguably precisely what occurred in the gap between Mrs Thompson's missed dose and the confusion that followed it.</w:t>
      </w:r>
    </w:p>
    <w:p w:rsidR="002D1764" w:rsidRPr="00493E26" w:rsidRDefault="00824532" w:rsidP="00493E26">
      <w:pPr>
        <w:pStyle w:val="Heading1"/>
        <w:spacing w:before="300" w:after="200" w:line="360" w:lineRule="auto"/>
        <w:rPr>
          <w:rFonts w:ascii="Arial" w:hAnsi="Arial" w:cs="Arial"/>
          <w:sz w:val="24"/>
          <w:szCs w:val="24"/>
        </w:rPr>
      </w:pPr>
      <w:r w:rsidRPr="00493E26">
        <w:rPr>
          <w:rFonts w:ascii="Arial" w:hAnsi="Arial" w:cs="Arial"/>
          <w:sz w:val="24"/>
          <w:szCs w:val="24"/>
        </w:rPr>
        <w:t xml:space="preserve">Collaborative Working </w:t>
      </w:r>
      <w:proofErr w:type="gramStart"/>
      <w:r w:rsidRPr="00493E26">
        <w:rPr>
          <w:rFonts w:ascii="Arial" w:hAnsi="Arial" w:cs="Arial"/>
          <w:sz w:val="24"/>
          <w:szCs w:val="24"/>
        </w:rPr>
        <w:t>Between</w:t>
      </w:r>
      <w:proofErr w:type="gramEnd"/>
      <w:r w:rsidRPr="00493E26">
        <w:rPr>
          <w:rFonts w:ascii="Arial" w:hAnsi="Arial" w:cs="Arial"/>
          <w:sz w:val="24"/>
          <w:szCs w:val="24"/>
        </w:rPr>
        <w:t xml:space="preserve"> Professionals</w:t>
      </w:r>
    </w:p>
    <w:p w:rsidR="002D1764" w:rsidRPr="00493E26" w:rsidRDefault="00824532" w:rsidP="00493E26">
      <w:pPr>
        <w:spacing w:after="200" w:line="360" w:lineRule="auto"/>
        <w:jc w:val="both"/>
        <w:rPr>
          <w:rFonts w:ascii="Arial" w:hAnsi="Arial" w:cs="Arial"/>
          <w:sz w:val="22"/>
          <w:szCs w:val="22"/>
        </w:rPr>
      </w:pPr>
      <w:r w:rsidRPr="00493E26">
        <w:rPr>
          <w:rFonts w:ascii="Arial" w:hAnsi="Arial" w:cs="Arial"/>
          <w:sz w:val="22"/>
          <w:szCs w:val="22"/>
        </w:rPr>
        <w:t xml:space="preserve">Mrs Thompson's care depends on effective collaboration between her GP, community nurse, domiciliary care workers and the local council's safeguarding team, </w:t>
      </w:r>
      <w:proofErr w:type="gramStart"/>
      <w:r w:rsidRPr="00493E26">
        <w:rPr>
          <w:rFonts w:ascii="Arial" w:hAnsi="Arial" w:cs="Arial"/>
          <w:sz w:val="22"/>
          <w:szCs w:val="22"/>
        </w:rPr>
        <w:t>each holding distinct knowledge</w:t>
      </w:r>
      <w:proofErr w:type="gramEnd"/>
      <w:r w:rsidRPr="00493E26">
        <w:rPr>
          <w:rFonts w:ascii="Arial" w:hAnsi="Arial" w:cs="Arial"/>
          <w:sz w:val="22"/>
          <w:szCs w:val="22"/>
        </w:rPr>
        <w:t xml:space="preserve"> of her situation that no single professional could gather alone. The GP oversees the requested medication review, the community nurse monitors physical and cognitive changes </w:t>
      </w:r>
      <w:r w:rsidRPr="00493E26">
        <w:rPr>
          <w:rFonts w:ascii="Arial" w:hAnsi="Arial" w:cs="Arial"/>
          <w:sz w:val="22"/>
          <w:szCs w:val="22"/>
        </w:rPr>
        <w:lastRenderedPageBreak/>
        <w:t>between appointments, and domiciliary carers observe daily functioning during twice-daily visits, making them particularly well placed to notice early warning signs before they escalate into a crisis. The Care Act 2014 places a duty on local authorities and partner organisations to cooperate in safeguarding adults with care and support needs (Care Act 2014). This statutory duty, however, is not accompanied by additional ring-fenced resources, meaning its practical delivery depends heavily on local capacity and staffing levels; a legal obligation to cooperate does not, by itself, guarantee the systems or time needed to act on it consistently across every case.</w:t>
      </w:r>
    </w:p>
    <w:p w:rsidR="002D1764" w:rsidRPr="00493E26" w:rsidRDefault="00824532" w:rsidP="00493E26">
      <w:pPr>
        <w:spacing w:after="200" w:line="360" w:lineRule="auto"/>
        <w:jc w:val="both"/>
        <w:rPr>
          <w:rFonts w:ascii="Arial" w:hAnsi="Arial" w:cs="Arial"/>
          <w:sz w:val="22"/>
          <w:szCs w:val="22"/>
        </w:rPr>
      </w:pPr>
      <w:r w:rsidRPr="00493E26">
        <w:rPr>
          <w:rFonts w:ascii="Arial" w:hAnsi="Arial" w:cs="Arial"/>
          <w:sz w:val="22"/>
          <w:szCs w:val="22"/>
        </w:rPr>
        <w:t>Willis et al. (2022) found that multidisciplinary teams working with older people face organisational barriers such as differing IT systems and professional hierarchies, which can delay decisive action when a person's situation is deteriorating, exactly the kind of delay that may have allowed two separate incidents to occur before Mrs Thompson's case was formally escalated for review. These barriers can be addressed through regular case conferences, a named coordinator, and shared digital records permitting real-time updates across organisations rather than isolated, agency-specific systems that leave each professional working from an incomplete picture. For Mrs Thompson, a clear communication pathway between the domiciliary agency and the GP practice would ensure concerns about missed medication are flagged immediately, rather than being recorded accurately but shared too slowly to prevent further harm from occurring.</w:t>
      </w:r>
    </w:p>
    <w:p w:rsidR="002D1764" w:rsidRPr="00493E26" w:rsidRDefault="00824532" w:rsidP="00493E26">
      <w:pPr>
        <w:pStyle w:val="Heading1"/>
        <w:spacing w:before="300" w:after="200" w:line="360" w:lineRule="auto"/>
        <w:rPr>
          <w:rFonts w:ascii="Arial" w:hAnsi="Arial" w:cs="Arial"/>
          <w:sz w:val="24"/>
          <w:szCs w:val="24"/>
        </w:rPr>
      </w:pPr>
      <w:r w:rsidRPr="00493E26">
        <w:rPr>
          <w:rFonts w:ascii="Arial" w:hAnsi="Arial" w:cs="Arial"/>
          <w:sz w:val="24"/>
          <w:szCs w:val="24"/>
        </w:rPr>
        <w:t>Conclusion</w:t>
      </w:r>
    </w:p>
    <w:p w:rsidR="002D1764" w:rsidRPr="00493E26" w:rsidRDefault="00824532" w:rsidP="00493E26">
      <w:pPr>
        <w:spacing w:after="200" w:line="360" w:lineRule="auto"/>
        <w:jc w:val="both"/>
        <w:rPr>
          <w:rFonts w:ascii="Arial" w:hAnsi="Arial" w:cs="Arial"/>
          <w:sz w:val="22"/>
          <w:szCs w:val="22"/>
        </w:rPr>
      </w:pPr>
      <w:r w:rsidRPr="00493E26">
        <w:rPr>
          <w:rFonts w:ascii="Arial" w:hAnsi="Arial" w:cs="Arial"/>
          <w:sz w:val="22"/>
          <w:szCs w:val="22"/>
        </w:rPr>
        <w:t xml:space="preserve">This report has argued that Mrs Thompson's safety depends on communication, administration and collaboration functioning as a single interdependent system rather than separate duties. The missed medication was, at root, a communication and monitoring failure; the resulting confusion was escalated only because administrative records captured it accurately; and that escalation translated into protective action only once professionals collaborated across agency boundaries. Applying Egan's (2014) SOLER model and the Equality Act 2010 supports dignified communication, while the Mental Capacity Act 2005 protects her right to be involved, though both require more than mechanical application. Record keeping guided by the Data Protection Act 2018 and Brooks (2021) provides an evidential basis for the review, provided documentation stays reflective rather than routine. Collaboration underpinned by the Care Act 2014 and evidenced by Willis et al. (2022) ensures concerns are shared promptly, but only where </w:t>
      </w:r>
      <w:r w:rsidRPr="00493E26">
        <w:rPr>
          <w:rFonts w:ascii="Arial" w:hAnsi="Arial" w:cs="Arial"/>
          <w:sz w:val="22"/>
          <w:szCs w:val="22"/>
        </w:rPr>
        <w:lastRenderedPageBreak/>
        <w:t>organisational barriers are actively managed. A coordinated, critically applied approach is therefore essential to protecting older adults like Mrs Thompson in community-based care.</w:t>
      </w:r>
    </w:p>
    <w:p w:rsidR="002D1764" w:rsidRPr="00493E26" w:rsidRDefault="00824532" w:rsidP="00493E26">
      <w:pPr>
        <w:pStyle w:val="Heading1"/>
        <w:spacing w:before="400" w:after="200" w:line="360" w:lineRule="auto"/>
        <w:rPr>
          <w:rFonts w:ascii="Arial" w:hAnsi="Arial" w:cs="Arial"/>
          <w:sz w:val="24"/>
          <w:szCs w:val="24"/>
        </w:rPr>
      </w:pPr>
      <w:r w:rsidRPr="00493E26">
        <w:rPr>
          <w:rFonts w:ascii="Arial" w:hAnsi="Arial" w:cs="Arial"/>
          <w:sz w:val="24"/>
          <w:szCs w:val="24"/>
        </w:rPr>
        <w:t>References</w:t>
      </w:r>
    </w:p>
    <w:p w:rsidR="002D1764" w:rsidRPr="00493E26" w:rsidRDefault="00824532" w:rsidP="0067175F">
      <w:pPr>
        <w:spacing w:after="160" w:line="360" w:lineRule="auto"/>
        <w:ind w:left="720" w:hanging="720"/>
        <w:rPr>
          <w:rFonts w:ascii="Arial" w:hAnsi="Arial" w:cs="Arial"/>
          <w:sz w:val="22"/>
          <w:szCs w:val="22"/>
        </w:rPr>
      </w:pPr>
      <w:proofErr w:type="gramStart"/>
      <w:r w:rsidRPr="00493E26">
        <w:rPr>
          <w:rFonts w:ascii="Arial" w:hAnsi="Arial" w:cs="Arial"/>
          <w:sz w:val="22"/>
          <w:szCs w:val="22"/>
        </w:rPr>
        <w:t>Brooks, N. (2021) 'How to undertake effective record-keep</w:t>
      </w:r>
      <w:r w:rsidR="0067175F">
        <w:rPr>
          <w:rFonts w:ascii="Arial" w:hAnsi="Arial" w:cs="Arial"/>
          <w:sz w:val="22"/>
          <w:szCs w:val="22"/>
        </w:rPr>
        <w:t xml:space="preserve">ing and documentation', </w:t>
      </w:r>
      <w:proofErr w:type="spellStart"/>
      <w:r w:rsidR="0067175F">
        <w:rPr>
          <w:rFonts w:ascii="Arial" w:hAnsi="Arial" w:cs="Arial"/>
          <w:sz w:val="22"/>
          <w:szCs w:val="22"/>
        </w:rPr>
        <w:t>Nursing</w:t>
      </w:r>
      <w:r w:rsidRPr="00493E26">
        <w:rPr>
          <w:rFonts w:ascii="Arial" w:hAnsi="Arial" w:cs="Arial"/>
          <w:sz w:val="22"/>
          <w:szCs w:val="22"/>
        </w:rPr>
        <w:t>Standard</w:t>
      </w:r>
      <w:proofErr w:type="spellEnd"/>
      <w:r w:rsidRPr="00493E26">
        <w:rPr>
          <w:rFonts w:ascii="Arial" w:hAnsi="Arial" w:cs="Arial"/>
          <w:sz w:val="22"/>
          <w:szCs w:val="22"/>
        </w:rPr>
        <w:t>, 36(4), pp. 31-33.</w:t>
      </w:r>
      <w:proofErr w:type="gramEnd"/>
      <w:r w:rsidRPr="00493E26">
        <w:rPr>
          <w:rFonts w:ascii="Arial" w:hAnsi="Arial" w:cs="Arial"/>
          <w:sz w:val="22"/>
          <w:szCs w:val="22"/>
        </w:rPr>
        <w:t xml:space="preserve"> </w:t>
      </w:r>
      <w:proofErr w:type="spellStart"/>
      <w:proofErr w:type="gramStart"/>
      <w:r w:rsidRPr="00493E26">
        <w:rPr>
          <w:rFonts w:ascii="Arial" w:hAnsi="Arial" w:cs="Arial"/>
          <w:sz w:val="22"/>
          <w:szCs w:val="22"/>
        </w:rPr>
        <w:t>doi</w:t>
      </w:r>
      <w:proofErr w:type="spellEnd"/>
      <w:proofErr w:type="gramEnd"/>
      <w:r w:rsidRPr="00493E26">
        <w:rPr>
          <w:rFonts w:ascii="Arial" w:hAnsi="Arial" w:cs="Arial"/>
          <w:sz w:val="22"/>
          <w:szCs w:val="22"/>
        </w:rPr>
        <w:t>: 10.7748/ns.2021.e11700.</w:t>
      </w:r>
    </w:p>
    <w:p w:rsidR="002D1764" w:rsidRPr="00493E26" w:rsidRDefault="00824532" w:rsidP="0067175F">
      <w:pPr>
        <w:spacing w:after="160" w:line="360" w:lineRule="auto"/>
        <w:ind w:left="720" w:hanging="720"/>
        <w:rPr>
          <w:rFonts w:ascii="Arial" w:hAnsi="Arial" w:cs="Arial"/>
          <w:sz w:val="22"/>
          <w:szCs w:val="22"/>
        </w:rPr>
      </w:pPr>
      <w:r w:rsidRPr="00493E26">
        <w:rPr>
          <w:rFonts w:ascii="Arial" w:hAnsi="Arial" w:cs="Arial"/>
          <w:sz w:val="22"/>
          <w:szCs w:val="22"/>
        </w:rPr>
        <w:t>Care Act 2014, c. 23. Available at: https://www.legislation.gov.uk/ukpga/2014/23/contents (Accessed: 1 August 2026).</w:t>
      </w:r>
    </w:p>
    <w:p w:rsidR="002D1764" w:rsidRPr="00493E26" w:rsidRDefault="00824532" w:rsidP="0067175F">
      <w:pPr>
        <w:spacing w:after="160" w:line="360" w:lineRule="auto"/>
        <w:ind w:left="720" w:hanging="720"/>
        <w:rPr>
          <w:rFonts w:ascii="Arial" w:hAnsi="Arial" w:cs="Arial"/>
          <w:sz w:val="22"/>
          <w:szCs w:val="22"/>
        </w:rPr>
      </w:pPr>
      <w:proofErr w:type="gramStart"/>
      <w:r w:rsidRPr="00493E26">
        <w:rPr>
          <w:rFonts w:ascii="Arial" w:hAnsi="Arial" w:cs="Arial"/>
          <w:sz w:val="22"/>
          <w:szCs w:val="22"/>
        </w:rPr>
        <w:t>Data Protection Act 2018, c. 12.</w:t>
      </w:r>
      <w:proofErr w:type="gramEnd"/>
      <w:r w:rsidRPr="00493E26">
        <w:rPr>
          <w:rFonts w:ascii="Arial" w:hAnsi="Arial" w:cs="Arial"/>
          <w:sz w:val="22"/>
          <w:szCs w:val="22"/>
        </w:rPr>
        <w:t xml:space="preserve"> Available at: https://www.legislation.gov.uk/ukpga/2018/12/contents (Accessed: 1 August 2026).</w:t>
      </w:r>
    </w:p>
    <w:p w:rsidR="002D1764" w:rsidRPr="00493E26" w:rsidRDefault="00824532" w:rsidP="0067175F">
      <w:pPr>
        <w:spacing w:after="160" w:line="360" w:lineRule="auto"/>
        <w:ind w:left="720" w:hanging="720"/>
        <w:rPr>
          <w:rFonts w:ascii="Arial" w:hAnsi="Arial" w:cs="Arial"/>
          <w:sz w:val="22"/>
          <w:szCs w:val="22"/>
        </w:rPr>
      </w:pPr>
      <w:proofErr w:type="gramStart"/>
      <w:r w:rsidRPr="00493E26">
        <w:rPr>
          <w:rFonts w:ascii="Arial" w:hAnsi="Arial" w:cs="Arial"/>
          <w:sz w:val="22"/>
          <w:szCs w:val="22"/>
        </w:rPr>
        <w:t xml:space="preserve">De </w:t>
      </w:r>
      <w:proofErr w:type="spellStart"/>
      <w:r w:rsidRPr="00493E26">
        <w:rPr>
          <w:rFonts w:ascii="Arial" w:hAnsi="Arial" w:cs="Arial"/>
          <w:sz w:val="22"/>
          <w:szCs w:val="22"/>
        </w:rPr>
        <w:t>Vries</w:t>
      </w:r>
      <w:proofErr w:type="spellEnd"/>
      <w:r w:rsidRPr="00493E26">
        <w:rPr>
          <w:rFonts w:ascii="Arial" w:hAnsi="Arial" w:cs="Arial"/>
          <w:sz w:val="22"/>
          <w:szCs w:val="22"/>
        </w:rPr>
        <w:t>, K. (2013) 'Communicating with older people with dementia', Nursing Older People, 25(4), pp. 30-37.</w:t>
      </w:r>
      <w:proofErr w:type="gramEnd"/>
      <w:r w:rsidRPr="00493E26">
        <w:rPr>
          <w:rFonts w:ascii="Arial" w:hAnsi="Arial" w:cs="Arial"/>
          <w:sz w:val="22"/>
          <w:szCs w:val="22"/>
        </w:rPr>
        <w:t xml:space="preserve"> </w:t>
      </w:r>
      <w:proofErr w:type="spellStart"/>
      <w:proofErr w:type="gramStart"/>
      <w:r w:rsidRPr="00493E26">
        <w:rPr>
          <w:rFonts w:ascii="Arial" w:hAnsi="Arial" w:cs="Arial"/>
          <w:sz w:val="22"/>
          <w:szCs w:val="22"/>
        </w:rPr>
        <w:t>doi</w:t>
      </w:r>
      <w:proofErr w:type="spellEnd"/>
      <w:proofErr w:type="gramEnd"/>
      <w:r w:rsidRPr="00493E26">
        <w:rPr>
          <w:rFonts w:ascii="Arial" w:hAnsi="Arial" w:cs="Arial"/>
          <w:sz w:val="22"/>
          <w:szCs w:val="22"/>
        </w:rPr>
        <w:t>: 10.7748/nop2013.05.25.4.30.e429.</w:t>
      </w:r>
    </w:p>
    <w:p w:rsidR="002D1764" w:rsidRPr="00493E26" w:rsidRDefault="00824532" w:rsidP="0067175F">
      <w:pPr>
        <w:spacing w:after="160" w:line="360" w:lineRule="auto"/>
        <w:ind w:left="720" w:hanging="720"/>
        <w:rPr>
          <w:rFonts w:ascii="Arial" w:hAnsi="Arial" w:cs="Arial"/>
          <w:sz w:val="22"/>
          <w:szCs w:val="22"/>
        </w:rPr>
      </w:pPr>
      <w:r w:rsidRPr="00493E26">
        <w:rPr>
          <w:rFonts w:ascii="Arial" w:hAnsi="Arial" w:cs="Arial"/>
          <w:sz w:val="22"/>
          <w:szCs w:val="22"/>
        </w:rPr>
        <w:t xml:space="preserve">Egan, G. (2014) </w:t>
      </w:r>
      <w:proofErr w:type="gramStart"/>
      <w:r w:rsidRPr="00493E26">
        <w:rPr>
          <w:rFonts w:ascii="Arial" w:hAnsi="Arial" w:cs="Arial"/>
          <w:sz w:val="22"/>
          <w:szCs w:val="22"/>
        </w:rPr>
        <w:t>The</w:t>
      </w:r>
      <w:proofErr w:type="gramEnd"/>
      <w:r w:rsidRPr="00493E26">
        <w:rPr>
          <w:rFonts w:ascii="Arial" w:hAnsi="Arial" w:cs="Arial"/>
          <w:sz w:val="22"/>
          <w:szCs w:val="22"/>
        </w:rPr>
        <w:t xml:space="preserve"> Skilled Helper: A Problem-Management and Opportunity-Development Approach to Helping. </w:t>
      </w:r>
      <w:proofErr w:type="gramStart"/>
      <w:r w:rsidRPr="00493E26">
        <w:rPr>
          <w:rFonts w:ascii="Arial" w:hAnsi="Arial" w:cs="Arial"/>
          <w:sz w:val="22"/>
          <w:szCs w:val="22"/>
        </w:rPr>
        <w:t xml:space="preserve">10th </w:t>
      </w:r>
      <w:proofErr w:type="spellStart"/>
      <w:r w:rsidRPr="00493E26">
        <w:rPr>
          <w:rFonts w:ascii="Arial" w:hAnsi="Arial" w:cs="Arial"/>
          <w:sz w:val="22"/>
          <w:szCs w:val="22"/>
        </w:rPr>
        <w:t>edn</w:t>
      </w:r>
      <w:proofErr w:type="spellEnd"/>
      <w:r w:rsidRPr="00493E26">
        <w:rPr>
          <w:rFonts w:ascii="Arial" w:hAnsi="Arial" w:cs="Arial"/>
          <w:sz w:val="22"/>
          <w:szCs w:val="22"/>
        </w:rPr>
        <w:t>.</w:t>
      </w:r>
      <w:proofErr w:type="gramEnd"/>
      <w:r w:rsidRPr="00493E26">
        <w:rPr>
          <w:rFonts w:ascii="Arial" w:hAnsi="Arial" w:cs="Arial"/>
          <w:sz w:val="22"/>
          <w:szCs w:val="22"/>
        </w:rPr>
        <w:t xml:space="preserve"> Belmont, CA: Brooks/Cole.</w:t>
      </w:r>
    </w:p>
    <w:p w:rsidR="002D1764" w:rsidRPr="00493E26" w:rsidRDefault="00824532" w:rsidP="0067175F">
      <w:pPr>
        <w:spacing w:after="160" w:line="360" w:lineRule="auto"/>
        <w:ind w:left="720" w:hanging="720"/>
        <w:rPr>
          <w:rFonts w:ascii="Arial" w:hAnsi="Arial" w:cs="Arial"/>
          <w:sz w:val="22"/>
          <w:szCs w:val="22"/>
        </w:rPr>
      </w:pPr>
      <w:proofErr w:type="gramStart"/>
      <w:r w:rsidRPr="00493E26">
        <w:rPr>
          <w:rFonts w:ascii="Arial" w:hAnsi="Arial" w:cs="Arial"/>
          <w:sz w:val="22"/>
          <w:szCs w:val="22"/>
        </w:rPr>
        <w:t>Equality Act 2010, c. 15.</w:t>
      </w:r>
      <w:proofErr w:type="gramEnd"/>
      <w:r w:rsidRPr="00493E26">
        <w:rPr>
          <w:rFonts w:ascii="Arial" w:hAnsi="Arial" w:cs="Arial"/>
          <w:sz w:val="22"/>
          <w:szCs w:val="22"/>
        </w:rPr>
        <w:t xml:space="preserve"> Available at: https://www.legislation.gov.uk/ukpga/2010/15/contents (Accessed: 1 August 2026).</w:t>
      </w:r>
    </w:p>
    <w:p w:rsidR="002D1764" w:rsidRPr="00493E26" w:rsidRDefault="00824532" w:rsidP="0067175F">
      <w:pPr>
        <w:spacing w:after="160" w:line="360" w:lineRule="auto"/>
        <w:ind w:left="720" w:hanging="720"/>
        <w:rPr>
          <w:rFonts w:ascii="Arial" w:hAnsi="Arial" w:cs="Arial"/>
          <w:sz w:val="22"/>
          <w:szCs w:val="22"/>
        </w:rPr>
      </w:pPr>
      <w:proofErr w:type="gramStart"/>
      <w:r w:rsidRPr="00493E26">
        <w:rPr>
          <w:rFonts w:ascii="Arial" w:hAnsi="Arial" w:cs="Arial"/>
          <w:sz w:val="22"/>
          <w:szCs w:val="22"/>
        </w:rPr>
        <w:t>Mental Capacity Act 2005, c. 9.</w:t>
      </w:r>
      <w:proofErr w:type="gramEnd"/>
      <w:r w:rsidRPr="00493E26">
        <w:rPr>
          <w:rFonts w:ascii="Arial" w:hAnsi="Arial" w:cs="Arial"/>
          <w:sz w:val="22"/>
          <w:szCs w:val="22"/>
        </w:rPr>
        <w:t xml:space="preserve"> Available at: https://www.legislation.gov.uk/ukpga/2005/9/contents (Accessed: 1 August 2026).</w:t>
      </w:r>
    </w:p>
    <w:p w:rsidR="002D1764" w:rsidRPr="00493E26" w:rsidRDefault="00824532" w:rsidP="0067175F">
      <w:pPr>
        <w:spacing w:after="160" w:line="360" w:lineRule="auto"/>
        <w:ind w:left="720" w:hanging="720"/>
        <w:rPr>
          <w:rFonts w:ascii="Arial" w:hAnsi="Arial" w:cs="Arial"/>
          <w:sz w:val="22"/>
          <w:szCs w:val="22"/>
        </w:rPr>
      </w:pPr>
      <w:r w:rsidRPr="00493E26">
        <w:rPr>
          <w:rFonts w:ascii="Arial" w:hAnsi="Arial" w:cs="Arial"/>
          <w:sz w:val="22"/>
          <w:szCs w:val="22"/>
        </w:rPr>
        <w:t xml:space="preserve">Willis, P., Lloyd, L., Hammond, J., Milne, A., Nelson-Becker, H., Perry, E., Ray, M., Richards, S. and Tanner, D. (2022) 'Casting light on the distinctive contribution of social work in multidisciplinary teams for older people', British Journal of Social Work, 52(1), pp. 480-497. </w:t>
      </w:r>
      <w:proofErr w:type="spellStart"/>
      <w:proofErr w:type="gramStart"/>
      <w:r w:rsidRPr="00493E26">
        <w:rPr>
          <w:rFonts w:ascii="Arial" w:hAnsi="Arial" w:cs="Arial"/>
          <w:sz w:val="22"/>
          <w:szCs w:val="22"/>
        </w:rPr>
        <w:t>doi</w:t>
      </w:r>
      <w:proofErr w:type="spellEnd"/>
      <w:proofErr w:type="gramEnd"/>
      <w:r w:rsidRPr="00493E26">
        <w:rPr>
          <w:rFonts w:ascii="Arial" w:hAnsi="Arial" w:cs="Arial"/>
          <w:sz w:val="22"/>
          <w:szCs w:val="22"/>
        </w:rPr>
        <w:t>: 10.1093/</w:t>
      </w:r>
      <w:proofErr w:type="spellStart"/>
      <w:r w:rsidRPr="00493E26">
        <w:rPr>
          <w:rFonts w:ascii="Arial" w:hAnsi="Arial" w:cs="Arial"/>
          <w:sz w:val="22"/>
          <w:szCs w:val="22"/>
        </w:rPr>
        <w:t>bjsw</w:t>
      </w:r>
      <w:proofErr w:type="spellEnd"/>
      <w:r w:rsidRPr="00493E26">
        <w:rPr>
          <w:rFonts w:ascii="Arial" w:hAnsi="Arial" w:cs="Arial"/>
          <w:sz w:val="22"/>
          <w:szCs w:val="22"/>
        </w:rPr>
        <w:t>/bcab004.</w:t>
      </w:r>
      <w:bookmarkStart w:id="0" w:name="_GoBack"/>
      <w:bookmarkEnd w:id="0"/>
    </w:p>
    <w:sectPr w:rsidR="002D1764" w:rsidRPr="00493E26">
      <w:pgSz w:w="12240" w:h="15840"/>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73C34A2"/>
    <w:multiLevelType w:val="hybridMultilevel"/>
    <w:tmpl w:val="F0548E10"/>
    <w:lvl w:ilvl="0" w:tplc="85162A58">
      <w:start w:val="1"/>
      <w:numFmt w:val="bullet"/>
      <w:lvlText w:val="●"/>
      <w:lvlJc w:val="left"/>
      <w:pPr>
        <w:ind w:left="720" w:hanging="360"/>
      </w:pPr>
    </w:lvl>
    <w:lvl w:ilvl="1" w:tplc="CAE425CC">
      <w:start w:val="1"/>
      <w:numFmt w:val="bullet"/>
      <w:lvlText w:val="○"/>
      <w:lvlJc w:val="left"/>
      <w:pPr>
        <w:ind w:left="1440" w:hanging="360"/>
      </w:pPr>
    </w:lvl>
    <w:lvl w:ilvl="2" w:tplc="8FB6D492">
      <w:start w:val="1"/>
      <w:numFmt w:val="bullet"/>
      <w:lvlText w:val="■"/>
      <w:lvlJc w:val="left"/>
      <w:pPr>
        <w:ind w:left="2160" w:hanging="360"/>
      </w:pPr>
    </w:lvl>
    <w:lvl w:ilvl="3" w:tplc="83AE1D9A">
      <w:start w:val="1"/>
      <w:numFmt w:val="bullet"/>
      <w:lvlText w:val="●"/>
      <w:lvlJc w:val="left"/>
      <w:pPr>
        <w:ind w:left="2880" w:hanging="360"/>
      </w:pPr>
    </w:lvl>
    <w:lvl w:ilvl="4" w:tplc="080ACCB8">
      <w:start w:val="1"/>
      <w:numFmt w:val="bullet"/>
      <w:lvlText w:val="○"/>
      <w:lvlJc w:val="left"/>
      <w:pPr>
        <w:ind w:left="3600" w:hanging="360"/>
      </w:pPr>
    </w:lvl>
    <w:lvl w:ilvl="5" w:tplc="286E53AE">
      <w:start w:val="1"/>
      <w:numFmt w:val="bullet"/>
      <w:lvlText w:val="■"/>
      <w:lvlJc w:val="left"/>
      <w:pPr>
        <w:ind w:left="4320" w:hanging="360"/>
      </w:pPr>
    </w:lvl>
    <w:lvl w:ilvl="6" w:tplc="8E26F31E">
      <w:start w:val="1"/>
      <w:numFmt w:val="bullet"/>
      <w:lvlText w:val="●"/>
      <w:lvlJc w:val="left"/>
      <w:pPr>
        <w:ind w:left="5040" w:hanging="360"/>
      </w:pPr>
    </w:lvl>
    <w:lvl w:ilvl="7" w:tplc="7A94DEBA">
      <w:start w:val="1"/>
      <w:numFmt w:val="bullet"/>
      <w:lvlText w:val="●"/>
      <w:lvlJc w:val="left"/>
      <w:pPr>
        <w:ind w:left="5760" w:hanging="360"/>
      </w:pPr>
    </w:lvl>
    <w:lvl w:ilvl="8" w:tplc="116EF090">
      <w:start w:val="1"/>
      <w:numFmt w:val="bullet"/>
      <w:lvlText w:val="●"/>
      <w:lvlJc w:val="left"/>
      <w:pPr>
        <w:ind w:left="6480" w:hanging="360"/>
      </w:pPr>
    </w:lvl>
  </w:abstractNum>
  <w:num w:numId="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defaultTabStop w:val="720"/>
  <w:characterSpacingControl w:val="doNotCompress"/>
  <w:compat>
    <w:compatSetting w:name="compatibilityMode" w:uri="http://schemas.microsoft.com/office/word" w:val="14"/>
  </w:compat>
  <w:rsids>
    <w:rsidRoot w:val="002D1764"/>
    <w:rsid w:val="002D1764"/>
    <w:rsid w:val="00493E26"/>
    <w:rsid w:val="0067175F"/>
    <w:rsid w:val="00824532"/>
    <w:rsid w:val="009D55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qFormat/>
    <w:pPr>
      <w:outlineLvl w:val="0"/>
    </w:pPr>
    <w:rPr>
      <w:color w:val="2E74B5"/>
      <w:sz w:val="32"/>
      <w:szCs w:val="32"/>
    </w:rPr>
  </w:style>
  <w:style w:type="paragraph" w:styleId="Heading2">
    <w:name w:val="heading 2"/>
    <w:qFormat/>
    <w:pPr>
      <w:outlineLvl w:val="1"/>
    </w:pPr>
    <w:rPr>
      <w:color w:val="2E74B5"/>
      <w:sz w:val="26"/>
      <w:szCs w:val="26"/>
    </w:rPr>
  </w:style>
  <w:style w:type="paragraph" w:styleId="Heading3">
    <w:name w:val="heading 3"/>
    <w:qFormat/>
    <w:pPr>
      <w:outlineLvl w:val="2"/>
    </w:pPr>
    <w:rPr>
      <w:color w:val="1F4D78"/>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qFormat/>
    <w:pPr>
      <w:outlineLvl w:val="0"/>
    </w:pPr>
    <w:rPr>
      <w:color w:val="2E74B5"/>
      <w:sz w:val="32"/>
      <w:szCs w:val="32"/>
    </w:rPr>
  </w:style>
  <w:style w:type="paragraph" w:styleId="Heading2">
    <w:name w:val="heading 2"/>
    <w:qFormat/>
    <w:pPr>
      <w:outlineLvl w:val="1"/>
    </w:pPr>
    <w:rPr>
      <w:color w:val="2E74B5"/>
      <w:sz w:val="26"/>
      <w:szCs w:val="26"/>
    </w:rPr>
  </w:style>
  <w:style w:type="paragraph" w:styleId="Heading3">
    <w:name w:val="heading 3"/>
    <w:qFormat/>
    <w:pPr>
      <w:outlineLvl w:val="2"/>
    </w:pPr>
    <w:rPr>
      <w:color w:val="1F4D78"/>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1788</Words>
  <Characters>10196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11961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mahbu</cp:lastModifiedBy>
  <cp:revision>2</cp:revision>
  <dcterms:created xsi:type="dcterms:W3CDTF">2026-08-02T08:18:00Z</dcterms:created>
  <dcterms:modified xsi:type="dcterms:W3CDTF">2026-08-02T08:18:00Z</dcterms:modified>
</cp:coreProperties>
</file>