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2A7" w:rsidRDefault="006B5361" w:rsidP="00A972A7">
      <w:pPr>
        <w:jc w:val="center"/>
        <w:rPr>
          <w:sz w:val="48"/>
          <w:szCs w:val="48"/>
          <w:shd w:val="clear" w:color="auto" w:fill="FFFFFF"/>
        </w:rPr>
      </w:pPr>
      <w:r>
        <w:rPr>
          <w:noProof/>
          <w:lang w:val="en-US"/>
        </w:rPr>
        <w:drawing>
          <wp:inline distT="0" distB="0" distL="0" distR="0">
            <wp:extent cx="3165050" cy="1266825"/>
            <wp:effectExtent l="0" t="0" r="0" b="0"/>
            <wp:docPr id="1" name="Picture 1" descr="Dylan Day poetry share, UWTSD, Carmarthen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lan Day poetry share, UWTSD, Carmarthen | Discover Dylan Thomas"/>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6852" cy="1267546"/>
                    </a:xfrm>
                    <a:prstGeom prst="rect">
                      <a:avLst/>
                    </a:prstGeom>
                    <a:noFill/>
                    <a:ln>
                      <a:noFill/>
                    </a:ln>
                  </pic:spPr>
                </pic:pic>
              </a:graphicData>
            </a:graphic>
          </wp:inline>
        </w:drawing>
      </w:r>
    </w:p>
    <w:p w:rsidR="00796ACF" w:rsidRDefault="003B219C" w:rsidP="00A972A7">
      <w:pPr>
        <w:jc w:val="center"/>
        <w:rPr>
          <w:sz w:val="48"/>
          <w:szCs w:val="48"/>
          <w:shd w:val="clear" w:color="auto" w:fill="FFFFFF"/>
        </w:rPr>
      </w:pPr>
      <w:r w:rsidRPr="00A972A7">
        <w:rPr>
          <w:sz w:val="48"/>
          <w:szCs w:val="48"/>
          <w:shd w:val="clear" w:color="auto" w:fill="FFFFFF"/>
        </w:rPr>
        <w:t>LCBB4001 Accounting Fundamentals</w:t>
      </w:r>
    </w:p>
    <w:p w:rsidR="006B5361" w:rsidRDefault="006B5361" w:rsidP="00A972A7">
      <w:pPr>
        <w:jc w:val="center"/>
        <w:rPr>
          <w:sz w:val="48"/>
          <w:szCs w:val="48"/>
          <w:shd w:val="clear" w:color="auto" w:fill="FFFFFF"/>
        </w:rPr>
      </w:pPr>
      <w:r w:rsidRPr="006B5361">
        <w:rPr>
          <w:sz w:val="48"/>
          <w:szCs w:val="48"/>
          <w:shd w:val="clear" w:color="auto" w:fill="FFFFFF"/>
        </w:rPr>
        <w:t>Assignment- A1</w:t>
      </w:r>
    </w:p>
    <w:p w:rsidR="00A972A7" w:rsidRDefault="00A972A7" w:rsidP="00A972A7">
      <w:pPr>
        <w:jc w:val="center"/>
        <w:rPr>
          <w:sz w:val="48"/>
          <w:szCs w:val="48"/>
          <w:shd w:val="clear" w:color="auto" w:fill="FFFFFF"/>
        </w:rPr>
      </w:pPr>
    </w:p>
    <w:p w:rsidR="00A972A7" w:rsidRDefault="00A972A7" w:rsidP="00A972A7">
      <w:pPr>
        <w:jc w:val="center"/>
        <w:rPr>
          <w:sz w:val="48"/>
          <w:szCs w:val="48"/>
          <w:shd w:val="clear" w:color="auto" w:fill="FFFFFF"/>
        </w:rPr>
      </w:pPr>
    </w:p>
    <w:p w:rsidR="00A972A7" w:rsidRDefault="00A972A7" w:rsidP="006B5361">
      <w:pPr>
        <w:rPr>
          <w:sz w:val="48"/>
          <w:szCs w:val="48"/>
          <w:shd w:val="clear" w:color="auto" w:fill="FFFFFF"/>
        </w:rPr>
      </w:pPr>
    </w:p>
    <w:p w:rsidR="006B5361" w:rsidRDefault="006B5361" w:rsidP="00A972A7">
      <w:pPr>
        <w:rPr>
          <w:b/>
          <w:i/>
          <w:shd w:val="clear" w:color="auto" w:fill="FFFFFF"/>
        </w:rPr>
      </w:pPr>
    </w:p>
    <w:p w:rsidR="006B5361" w:rsidRDefault="006B5361" w:rsidP="00A972A7">
      <w:pPr>
        <w:rPr>
          <w:b/>
          <w:i/>
          <w:shd w:val="clear" w:color="auto" w:fill="FFFFFF"/>
        </w:rPr>
      </w:pPr>
    </w:p>
    <w:p w:rsidR="006B5361" w:rsidRDefault="006B5361" w:rsidP="00A972A7">
      <w:pPr>
        <w:rPr>
          <w:b/>
          <w:i/>
          <w:shd w:val="clear" w:color="auto" w:fill="FFFFFF"/>
        </w:rPr>
      </w:pPr>
    </w:p>
    <w:p w:rsidR="006B5361" w:rsidRDefault="006B5361" w:rsidP="00A972A7">
      <w:pPr>
        <w:rPr>
          <w:b/>
          <w:i/>
          <w:shd w:val="clear" w:color="auto" w:fill="FFFFFF"/>
        </w:rPr>
      </w:pPr>
    </w:p>
    <w:p w:rsidR="006B5361" w:rsidRDefault="006B5361" w:rsidP="00A972A7">
      <w:pPr>
        <w:rPr>
          <w:b/>
          <w:i/>
          <w:shd w:val="clear" w:color="auto" w:fill="FFFFFF"/>
        </w:rPr>
      </w:pPr>
    </w:p>
    <w:p w:rsidR="006B5361" w:rsidRDefault="006B5361" w:rsidP="00A972A7">
      <w:pPr>
        <w:rPr>
          <w:b/>
          <w:i/>
          <w:shd w:val="clear" w:color="auto" w:fill="FFFFFF"/>
        </w:rPr>
      </w:pPr>
    </w:p>
    <w:p w:rsidR="006B5361" w:rsidRPr="000F3887" w:rsidRDefault="006B5361" w:rsidP="00A972A7">
      <w:pPr>
        <w:rPr>
          <w:shd w:val="clear" w:color="auto" w:fill="FFFFFF"/>
        </w:rPr>
      </w:pPr>
    </w:p>
    <w:p w:rsidR="00A972A7" w:rsidRPr="000F3887" w:rsidRDefault="003B219C" w:rsidP="000F3887">
      <w:pPr>
        <w:rPr>
          <w:b/>
          <w:shd w:val="clear" w:color="auto" w:fill="FFFFFF"/>
        </w:rPr>
      </w:pPr>
      <w:r w:rsidRPr="000F3887">
        <w:rPr>
          <w:b/>
          <w:shd w:val="clear" w:color="auto" w:fill="FFFFFF"/>
        </w:rPr>
        <w:t>Student Name:</w:t>
      </w:r>
      <w:r w:rsidR="000F3887" w:rsidRPr="000F3887">
        <w:rPr>
          <w:b/>
          <w:shd w:val="clear" w:color="auto" w:fill="FFFFFF"/>
        </w:rPr>
        <w:t xml:space="preserve"> </w:t>
      </w:r>
      <w:r w:rsidR="000F3887">
        <w:rPr>
          <w:b/>
          <w:shd w:val="clear" w:color="auto" w:fill="FFFFFF"/>
        </w:rPr>
        <w:t xml:space="preserve">  Ana Maria Budau </w:t>
      </w:r>
    </w:p>
    <w:p w:rsidR="00A972A7" w:rsidRPr="000F3887" w:rsidRDefault="003B219C" w:rsidP="000F3887">
      <w:pPr>
        <w:rPr>
          <w:b/>
          <w:shd w:val="clear" w:color="auto" w:fill="FFFFFF"/>
        </w:rPr>
      </w:pPr>
      <w:r w:rsidRPr="000F3887">
        <w:rPr>
          <w:b/>
          <w:shd w:val="clear" w:color="auto" w:fill="FFFFFF"/>
        </w:rPr>
        <w:t>Student ID:</w:t>
      </w:r>
      <w:r w:rsidR="000F3887">
        <w:rPr>
          <w:b/>
          <w:shd w:val="clear" w:color="auto" w:fill="FFFFFF"/>
        </w:rPr>
        <w:t xml:space="preserve"> 2030929</w:t>
      </w:r>
    </w:p>
    <w:p w:rsidR="006B5361" w:rsidRPr="006B5361" w:rsidRDefault="006B5361" w:rsidP="000F3887">
      <w:pPr>
        <w:rPr>
          <w:shd w:val="clear" w:color="auto" w:fill="FFFFFF"/>
        </w:rPr>
      </w:pPr>
      <w:r>
        <w:rPr>
          <w:shd w:val="clear" w:color="auto" w:fill="FFFFFF"/>
        </w:rPr>
        <w:br w:type="page"/>
      </w:r>
    </w:p>
    <w:sdt>
      <w:sdtPr>
        <w:rPr>
          <w:rFonts w:ascii="Arial" w:eastAsiaTheme="minorHAnsi" w:hAnsi="Arial" w:cstheme="minorBidi"/>
          <w:color w:val="auto"/>
          <w:sz w:val="24"/>
          <w:szCs w:val="22"/>
          <w:lang w:val="en-GB"/>
        </w:rPr>
        <w:id w:val="1976559759"/>
        <w:docPartObj>
          <w:docPartGallery w:val="Table of Contents"/>
          <w:docPartUnique/>
        </w:docPartObj>
      </w:sdtPr>
      <w:sdtEndPr>
        <w:rPr>
          <w:b/>
          <w:bCs/>
          <w:noProof/>
        </w:rPr>
      </w:sdtEndPr>
      <w:sdtContent>
        <w:p w:rsidR="00A972A7" w:rsidRDefault="003B219C">
          <w:pPr>
            <w:pStyle w:val="TOCHeading"/>
          </w:pPr>
          <w:r>
            <w:t>Table of Contents</w:t>
          </w:r>
        </w:p>
        <w:p w:rsidR="001E67DC" w:rsidRDefault="0058140B">
          <w:pPr>
            <w:pStyle w:val="TOC1"/>
            <w:tabs>
              <w:tab w:val="right" w:leader="dot" w:pos="9016"/>
            </w:tabs>
            <w:rPr>
              <w:rFonts w:asciiTheme="minorHAnsi" w:eastAsiaTheme="minorEastAsia" w:hAnsiTheme="minorHAnsi"/>
              <w:noProof/>
              <w:sz w:val="22"/>
              <w:lang w:eastAsia="en-GB"/>
            </w:rPr>
          </w:pPr>
          <w:r w:rsidRPr="0058140B">
            <w:fldChar w:fldCharType="begin"/>
          </w:r>
          <w:r w:rsidR="003B219C">
            <w:instrText xml:space="preserve"> TOC \o "1-3" \h \z \u </w:instrText>
          </w:r>
          <w:r w:rsidRPr="0058140B">
            <w:fldChar w:fldCharType="separate"/>
          </w:r>
          <w:hyperlink w:anchor="_Toc77895371" w:history="1">
            <w:r w:rsidR="001E67DC" w:rsidRPr="00D03A2C">
              <w:rPr>
                <w:rStyle w:val="Hyperlink"/>
                <w:noProof/>
              </w:rPr>
              <w:t>Introduction</w:t>
            </w:r>
            <w:r w:rsidR="001E67DC">
              <w:rPr>
                <w:noProof/>
                <w:webHidden/>
              </w:rPr>
              <w:tab/>
            </w:r>
            <w:r>
              <w:rPr>
                <w:noProof/>
                <w:webHidden/>
              </w:rPr>
              <w:fldChar w:fldCharType="begin"/>
            </w:r>
            <w:r w:rsidR="001E67DC">
              <w:rPr>
                <w:noProof/>
                <w:webHidden/>
              </w:rPr>
              <w:instrText xml:space="preserve"> PAGEREF _Toc77895371 \h </w:instrText>
            </w:r>
            <w:r>
              <w:rPr>
                <w:noProof/>
                <w:webHidden/>
              </w:rPr>
            </w:r>
            <w:r>
              <w:rPr>
                <w:noProof/>
                <w:webHidden/>
              </w:rPr>
              <w:fldChar w:fldCharType="separate"/>
            </w:r>
            <w:r w:rsidR="001E67DC">
              <w:rPr>
                <w:noProof/>
                <w:webHidden/>
              </w:rPr>
              <w:t>3</w:t>
            </w:r>
            <w:r>
              <w:rPr>
                <w:noProof/>
                <w:webHidden/>
              </w:rPr>
              <w:fldChar w:fldCharType="end"/>
            </w:r>
          </w:hyperlink>
        </w:p>
        <w:p w:rsidR="001E67DC" w:rsidRDefault="0058140B">
          <w:pPr>
            <w:pStyle w:val="TOC1"/>
            <w:tabs>
              <w:tab w:val="right" w:leader="dot" w:pos="9016"/>
            </w:tabs>
            <w:rPr>
              <w:rFonts w:asciiTheme="minorHAnsi" w:eastAsiaTheme="minorEastAsia" w:hAnsiTheme="minorHAnsi"/>
              <w:noProof/>
              <w:sz w:val="22"/>
              <w:lang w:eastAsia="en-GB"/>
            </w:rPr>
          </w:pPr>
          <w:hyperlink w:anchor="_Toc77895372" w:history="1">
            <w:r w:rsidR="001E67DC" w:rsidRPr="00D03A2C">
              <w:rPr>
                <w:rStyle w:val="Hyperlink"/>
                <w:noProof/>
              </w:rPr>
              <w:t>Question 1</w:t>
            </w:r>
            <w:r w:rsidR="001E67DC">
              <w:rPr>
                <w:noProof/>
                <w:webHidden/>
              </w:rPr>
              <w:tab/>
            </w:r>
            <w:r>
              <w:rPr>
                <w:noProof/>
                <w:webHidden/>
              </w:rPr>
              <w:fldChar w:fldCharType="begin"/>
            </w:r>
            <w:r w:rsidR="001E67DC">
              <w:rPr>
                <w:noProof/>
                <w:webHidden/>
              </w:rPr>
              <w:instrText xml:space="preserve"> PAGEREF _Toc77895372 \h </w:instrText>
            </w:r>
            <w:r>
              <w:rPr>
                <w:noProof/>
                <w:webHidden/>
              </w:rPr>
            </w:r>
            <w:r>
              <w:rPr>
                <w:noProof/>
                <w:webHidden/>
              </w:rPr>
              <w:fldChar w:fldCharType="separate"/>
            </w:r>
            <w:r w:rsidR="001E67DC">
              <w:rPr>
                <w:noProof/>
                <w:webHidden/>
              </w:rPr>
              <w:t>4</w:t>
            </w:r>
            <w:r>
              <w:rPr>
                <w:noProof/>
                <w:webHidden/>
              </w:rPr>
              <w:fldChar w:fldCharType="end"/>
            </w:r>
          </w:hyperlink>
        </w:p>
        <w:p w:rsidR="001E67DC" w:rsidRDefault="0058140B">
          <w:pPr>
            <w:pStyle w:val="TOC2"/>
            <w:tabs>
              <w:tab w:val="right" w:leader="dot" w:pos="9016"/>
            </w:tabs>
            <w:rPr>
              <w:rFonts w:asciiTheme="minorHAnsi" w:eastAsiaTheme="minorEastAsia" w:hAnsiTheme="minorHAnsi"/>
              <w:noProof/>
              <w:sz w:val="22"/>
              <w:lang w:eastAsia="en-GB"/>
            </w:rPr>
          </w:pPr>
          <w:hyperlink w:anchor="_Toc77895373" w:history="1">
            <w:r w:rsidR="001E67DC" w:rsidRPr="00D03A2C">
              <w:rPr>
                <w:rStyle w:val="Hyperlink"/>
                <w:noProof/>
              </w:rPr>
              <w:t>a) Preparing a profit and loss statement and statement of financial position for Kedison Plc.</w:t>
            </w:r>
            <w:r w:rsidR="001E67DC">
              <w:rPr>
                <w:noProof/>
                <w:webHidden/>
              </w:rPr>
              <w:tab/>
            </w:r>
            <w:r>
              <w:rPr>
                <w:noProof/>
                <w:webHidden/>
              </w:rPr>
              <w:fldChar w:fldCharType="begin"/>
            </w:r>
            <w:r w:rsidR="001E67DC">
              <w:rPr>
                <w:noProof/>
                <w:webHidden/>
              </w:rPr>
              <w:instrText xml:space="preserve"> PAGEREF _Toc77895373 \h </w:instrText>
            </w:r>
            <w:r>
              <w:rPr>
                <w:noProof/>
                <w:webHidden/>
              </w:rPr>
            </w:r>
            <w:r>
              <w:rPr>
                <w:noProof/>
                <w:webHidden/>
              </w:rPr>
              <w:fldChar w:fldCharType="separate"/>
            </w:r>
            <w:r w:rsidR="001E67DC">
              <w:rPr>
                <w:noProof/>
                <w:webHidden/>
              </w:rPr>
              <w:t>4</w:t>
            </w:r>
            <w:r>
              <w:rPr>
                <w:noProof/>
                <w:webHidden/>
              </w:rPr>
              <w:fldChar w:fldCharType="end"/>
            </w:r>
          </w:hyperlink>
        </w:p>
        <w:p w:rsidR="001E67DC" w:rsidRDefault="0058140B">
          <w:pPr>
            <w:pStyle w:val="TOC2"/>
            <w:tabs>
              <w:tab w:val="right" w:leader="dot" w:pos="9016"/>
            </w:tabs>
            <w:rPr>
              <w:rFonts w:asciiTheme="minorHAnsi" w:eastAsiaTheme="minorEastAsia" w:hAnsiTheme="minorHAnsi"/>
              <w:noProof/>
              <w:sz w:val="22"/>
              <w:lang w:eastAsia="en-GB"/>
            </w:rPr>
          </w:pPr>
          <w:hyperlink w:anchor="_Toc77895374" w:history="1">
            <w:r w:rsidR="001E67DC" w:rsidRPr="00D03A2C">
              <w:rPr>
                <w:rStyle w:val="Hyperlink"/>
                <w:noProof/>
              </w:rPr>
              <w:t>b) Explaining the reason of statement of financial position equilibriums with their balances</w:t>
            </w:r>
            <w:r w:rsidR="001E67DC">
              <w:rPr>
                <w:noProof/>
                <w:webHidden/>
              </w:rPr>
              <w:tab/>
            </w:r>
            <w:r>
              <w:rPr>
                <w:noProof/>
                <w:webHidden/>
              </w:rPr>
              <w:fldChar w:fldCharType="begin"/>
            </w:r>
            <w:r w:rsidR="001E67DC">
              <w:rPr>
                <w:noProof/>
                <w:webHidden/>
              </w:rPr>
              <w:instrText xml:space="preserve"> PAGEREF _Toc77895374 \h </w:instrText>
            </w:r>
            <w:r>
              <w:rPr>
                <w:noProof/>
                <w:webHidden/>
              </w:rPr>
            </w:r>
            <w:r>
              <w:rPr>
                <w:noProof/>
                <w:webHidden/>
              </w:rPr>
              <w:fldChar w:fldCharType="separate"/>
            </w:r>
            <w:r w:rsidR="001E67DC">
              <w:rPr>
                <w:noProof/>
                <w:webHidden/>
              </w:rPr>
              <w:t>6</w:t>
            </w:r>
            <w:r>
              <w:rPr>
                <w:noProof/>
                <w:webHidden/>
              </w:rPr>
              <w:fldChar w:fldCharType="end"/>
            </w:r>
          </w:hyperlink>
        </w:p>
        <w:p w:rsidR="001E67DC" w:rsidRDefault="0058140B">
          <w:pPr>
            <w:pStyle w:val="TOC1"/>
            <w:tabs>
              <w:tab w:val="right" w:leader="dot" w:pos="9016"/>
            </w:tabs>
            <w:rPr>
              <w:rFonts w:asciiTheme="minorHAnsi" w:eastAsiaTheme="minorEastAsia" w:hAnsiTheme="minorHAnsi"/>
              <w:noProof/>
              <w:sz w:val="22"/>
              <w:lang w:eastAsia="en-GB"/>
            </w:rPr>
          </w:pPr>
          <w:hyperlink w:anchor="_Toc77895375" w:history="1">
            <w:r w:rsidR="001E67DC" w:rsidRPr="00D03A2C">
              <w:rPr>
                <w:rStyle w:val="Hyperlink"/>
                <w:noProof/>
              </w:rPr>
              <w:t>Question 2</w:t>
            </w:r>
            <w:r w:rsidR="001E67DC">
              <w:rPr>
                <w:noProof/>
                <w:webHidden/>
              </w:rPr>
              <w:tab/>
            </w:r>
            <w:r>
              <w:rPr>
                <w:noProof/>
                <w:webHidden/>
              </w:rPr>
              <w:fldChar w:fldCharType="begin"/>
            </w:r>
            <w:r w:rsidR="001E67DC">
              <w:rPr>
                <w:noProof/>
                <w:webHidden/>
              </w:rPr>
              <w:instrText xml:space="preserve"> PAGEREF _Toc77895375 \h </w:instrText>
            </w:r>
            <w:r>
              <w:rPr>
                <w:noProof/>
                <w:webHidden/>
              </w:rPr>
            </w:r>
            <w:r>
              <w:rPr>
                <w:noProof/>
                <w:webHidden/>
              </w:rPr>
              <w:fldChar w:fldCharType="separate"/>
            </w:r>
            <w:r w:rsidR="001E67DC">
              <w:rPr>
                <w:noProof/>
                <w:webHidden/>
              </w:rPr>
              <w:t>7</w:t>
            </w:r>
            <w:r>
              <w:rPr>
                <w:noProof/>
                <w:webHidden/>
              </w:rPr>
              <w:fldChar w:fldCharType="end"/>
            </w:r>
          </w:hyperlink>
        </w:p>
        <w:p w:rsidR="001E67DC" w:rsidRDefault="0058140B">
          <w:pPr>
            <w:pStyle w:val="TOC2"/>
            <w:tabs>
              <w:tab w:val="right" w:leader="dot" w:pos="9016"/>
            </w:tabs>
            <w:rPr>
              <w:rFonts w:asciiTheme="minorHAnsi" w:eastAsiaTheme="minorEastAsia" w:hAnsiTheme="minorHAnsi"/>
              <w:noProof/>
              <w:sz w:val="22"/>
              <w:lang w:eastAsia="en-GB"/>
            </w:rPr>
          </w:pPr>
          <w:hyperlink w:anchor="_Toc77895376" w:history="1">
            <w:r w:rsidR="001E67DC" w:rsidRPr="00D03A2C">
              <w:rPr>
                <w:rStyle w:val="Hyperlink"/>
                <w:noProof/>
              </w:rPr>
              <w:t>a) Calculating ratio for Chocco Plc. in the below section-</w:t>
            </w:r>
            <w:r w:rsidR="001E67DC">
              <w:rPr>
                <w:noProof/>
                <w:webHidden/>
              </w:rPr>
              <w:tab/>
            </w:r>
            <w:r>
              <w:rPr>
                <w:noProof/>
                <w:webHidden/>
              </w:rPr>
              <w:fldChar w:fldCharType="begin"/>
            </w:r>
            <w:r w:rsidR="001E67DC">
              <w:rPr>
                <w:noProof/>
                <w:webHidden/>
              </w:rPr>
              <w:instrText xml:space="preserve"> PAGEREF _Toc77895376 \h </w:instrText>
            </w:r>
            <w:r>
              <w:rPr>
                <w:noProof/>
                <w:webHidden/>
              </w:rPr>
            </w:r>
            <w:r>
              <w:rPr>
                <w:noProof/>
                <w:webHidden/>
              </w:rPr>
              <w:fldChar w:fldCharType="separate"/>
            </w:r>
            <w:r w:rsidR="001E67DC">
              <w:rPr>
                <w:noProof/>
                <w:webHidden/>
              </w:rPr>
              <w:t>7</w:t>
            </w:r>
            <w:r>
              <w:rPr>
                <w:noProof/>
                <w:webHidden/>
              </w:rPr>
              <w:fldChar w:fldCharType="end"/>
            </w:r>
          </w:hyperlink>
        </w:p>
        <w:p w:rsidR="001E67DC" w:rsidRDefault="0058140B">
          <w:pPr>
            <w:pStyle w:val="TOC2"/>
            <w:tabs>
              <w:tab w:val="right" w:leader="dot" w:pos="9016"/>
            </w:tabs>
            <w:rPr>
              <w:rFonts w:asciiTheme="minorHAnsi" w:eastAsiaTheme="minorEastAsia" w:hAnsiTheme="minorHAnsi"/>
              <w:noProof/>
              <w:sz w:val="22"/>
              <w:lang w:eastAsia="en-GB"/>
            </w:rPr>
          </w:pPr>
          <w:hyperlink w:anchor="_Toc77895377" w:history="1">
            <w:r w:rsidR="001E67DC" w:rsidRPr="00D03A2C">
              <w:rPr>
                <w:rStyle w:val="Hyperlink"/>
                <w:noProof/>
              </w:rPr>
              <w:t>b) Using the financial information and ratio analysis, the financial performance and position are thoroughly analysed</w:t>
            </w:r>
            <w:r w:rsidR="001E67DC">
              <w:rPr>
                <w:noProof/>
                <w:webHidden/>
              </w:rPr>
              <w:tab/>
            </w:r>
            <w:r>
              <w:rPr>
                <w:noProof/>
                <w:webHidden/>
              </w:rPr>
              <w:fldChar w:fldCharType="begin"/>
            </w:r>
            <w:r w:rsidR="001E67DC">
              <w:rPr>
                <w:noProof/>
                <w:webHidden/>
              </w:rPr>
              <w:instrText xml:space="preserve"> PAGEREF _Toc77895377 \h </w:instrText>
            </w:r>
            <w:r>
              <w:rPr>
                <w:noProof/>
                <w:webHidden/>
              </w:rPr>
            </w:r>
            <w:r>
              <w:rPr>
                <w:noProof/>
                <w:webHidden/>
              </w:rPr>
              <w:fldChar w:fldCharType="separate"/>
            </w:r>
            <w:r w:rsidR="001E67DC">
              <w:rPr>
                <w:noProof/>
                <w:webHidden/>
              </w:rPr>
              <w:t>11</w:t>
            </w:r>
            <w:r>
              <w:rPr>
                <w:noProof/>
                <w:webHidden/>
              </w:rPr>
              <w:fldChar w:fldCharType="end"/>
            </w:r>
          </w:hyperlink>
        </w:p>
        <w:p w:rsidR="001E67DC" w:rsidRDefault="0058140B">
          <w:pPr>
            <w:pStyle w:val="TOC1"/>
            <w:tabs>
              <w:tab w:val="right" w:leader="dot" w:pos="9016"/>
            </w:tabs>
            <w:rPr>
              <w:rFonts w:asciiTheme="minorHAnsi" w:eastAsiaTheme="minorEastAsia" w:hAnsiTheme="minorHAnsi"/>
              <w:noProof/>
              <w:sz w:val="22"/>
              <w:lang w:eastAsia="en-GB"/>
            </w:rPr>
          </w:pPr>
          <w:hyperlink w:anchor="_Toc77895378" w:history="1">
            <w:r w:rsidR="001E67DC" w:rsidRPr="00D03A2C">
              <w:rPr>
                <w:rStyle w:val="Hyperlink"/>
                <w:noProof/>
              </w:rPr>
              <w:t>Conclusion</w:t>
            </w:r>
            <w:r w:rsidR="001E67DC">
              <w:rPr>
                <w:noProof/>
                <w:webHidden/>
              </w:rPr>
              <w:tab/>
            </w:r>
            <w:r>
              <w:rPr>
                <w:noProof/>
                <w:webHidden/>
              </w:rPr>
              <w:fldChar w:fldCharType="begin"/>
            </w:r>
            <w:r w:rsidR="001E67DC">
              <w:rPr>
                <w:noProof/>
                <w:webHidden/>
              </w:rPr>
              <w:instrText xml:space="preserve"> PAGEREF _Toc77895378 \h </w:instrText>
            </w:r>
            <w:r>
              <w:rPr>
                <w:noProof/>
                <w:webHidden/>
              </w:rPr>
            </w:r>
            <w:r>
              <w:rPr>
                <w:noProof/>
                <w:webHidden/>
              </w:rPr>
              <w:fldChar w:fldCharType="separate"/>
            </w:r>
            <w:r w:rsidR="001E67DC">
              <w:rPr>
                <w:noProof/>
                <w:webHidden/>
              </w:rPr>
              <w:t>12</w:t>
            </w:r>
            <w:r>
              <w:rPr>
                <w:noProof/>
                <w:webHidden/>
              </w:rPr>
              <w:fldChar w:fldCharType="end"/>
            </w:r>
          </w:hyperlink>
        </w:p>
        <w:p w:rsidR="001E67DC" w:rsidRDefault="0058140B">
          <w:pPr>
            <w:pStyle w:val="TOC1"/>
            <w:tabs>
              <w:tab w:val="right" w:leader="dot" w:pos="9016"/>
            </w:tabs>
            <w:rPr>
              <w:rFonts w:asciiTheme="minorHAnsi" w:eastAsiaTheme="minorEastAsia" w:hAnsiTheme="minorHAnsi"/>
              <w:noProof/>
              <w:sz w:val="22"/>
              <w:lang w:eastAsia="en-GB"/>
            </w:rPr>
          </w:pPr>
          <w:hyperlink w:anchor="_Toc77895379" w:history="1">
            <w:r w:rsidR="001E67DC" w:rsidRPr="00D03A2C">
              <w:rPr>
                <w:rStyle w:val="Hyperlink"/>
                <w:noProof/>
              </w:rPr>
              <w:t>References</w:t>
            </w:r>
            <w:r w:rsidR="001E67DC">
              <w:rPr>
                <w:noProof/>
                <w:webHidden/>
              </w:rPr>
              <w:tab/>
            </w:r>
            <w:r>
              <w:rPr>
                <w:noProof/>
                <w:webHidden/>
              </w:rPr>
              <w:fldChar w:fldCharType="begin"/>
            </w:r>
            <w:r w:rsidR="001E67DC">
              <w:rPr>
                <w:noProof/>
                <w:webHidden/>
              </w:rPr>
              <w:instrText xml:space="preserve"> PAGEREF _Toc77895379 \h </w:instrText>
            </w:r>
            <w:r>
              <w:rPr>
                <w:noProof/>
                <w:webHidden/>
              </w:rPr>
            </w:r>
            <w:r>
              <w:rPr>
                <w:noProof/>
                <w:webHidden/>
              </w:rPr>
              <w:fldChar w:fldCharType="separate"/>
            </w:r>
            <w:r w:rsidR="001E67DC">
              <w:rPr>
                <w:noProof/>
                <w:webHidden/>
              </w:rPr>
              <w:t>13</w:t>
            </w:r>
            <w:r>
              <w:rPr>
                <w:noProof/>
                <w:webHidden/>
              </w:rPr>
              <w:fldChar w:fldCharType="end"/>
            </w:r>
          </w:hyperlink>
        </w:p>
        <w:p w:rsidR="00A972A7" w:rsidRDefault="0058140B" w:rsidP="00A972A7">
          <w:r>
            <w:rPr>
              <w:b/>
              <w:bCs/>
              <w:noProof/>
            </w:rPr>
            <w:fldChar w:fldCharType="end"/>
          </w:r>
        </w:p>
      </w:sdtContent>
    </w:sdt>
    <w:p w:rsidR="00A972A7" w:rsidRDefault="003B219C">
      <w:pPr>
        <w:spacing w:line="259" w:lineRule="auto"/>
        <w:jc w:val="left"/>
        <w:rPr>
          <w:rFonts w:eastAsiaTheme="majorEastAsia" w:cstheme="majorBidi"/>
          <w:b/>
          <w:color w:val="000000" w:themeColor="text1"/>
          <w:sz w:val="32"/>
          <w:szCs w:val="32"/>
        </w:rPr>
      </w:pPr>
      <w:r>
        <w:br w:type="page"/>
      </w:r>
    </w:p>
    <w:p w:rsidR="00A972A7" w:rsidRDefault="003B219C" w:rsidP="006B5361">
      <w:pPr>
        <w:pStyle w:val="Heading1"/>
        <w:spacing w:after="240"/>
      </w:pPr>
      <w:bookmarkStart w:id="0" w:name="_Toc77895371"/>
      <w:r w:rsidRPr="00A972A7">
        <w:lastRenderedPageBreak/>
        <w:t>Introduction</w:t>
      </w:r>
      <w:bookmarkEnd w:id="0"/>
    </w:p>
    <w:p w:rsidR="00A01A6B" w:rsidRPr="009D6670" w:rsidRDefault="003B219C" w:rsidP="006B5361">
      <w:pPr>
        <w:spacing w:after="240"/>
        <w:rPr>
          <w:shd w:val="clear" w:color="auto" w:fill="FFFFFF"/>
        </w:rPr>
      </w:pPr>
      <w:r>
        <w:t>Financial statements reflect the yearly long performance and financial condition of the corporation</w:t>
      </w:r>
      <w:r w:rsidR="009D6670">
        <w:rPr>
          <w:shd w:val="clear" w:color="auto" w:fill="FFFFFF"/>
        </w:rPr>
        <w:t>(Vintilă and Nenu, 2016)</w:t>
      </w:r>
      <w:r>
        <w:t>. The report has attempted to answer all the questions for assessment purposes. Firstly, the report has drawn the financial statements of KedisonPlc and describe the reason for having a balance equal balance in the statement of financial position of the company. Secondly, the report has highlighted calculations of various ratios as well as provided interpretation of the results of ratio describing the financial health of Chocco Plc.</w:t>
      </w:r>
    </w:p>
    <w:p w:rsidR="00A972A7" w:rsidRPr="00F35905" w:rsidRDefault="003B219C" w:rsidP="006B5361">
      <w:pPr>
        <w:spacing w:after="240"/>
      </w:pPr>
      <w:r>
        <w:br w:type="page"/>
      </w:r>
    </w:p>
    <w:p w:rsidR="00A972A7" w:rsidRDefault="003B219C" w:rsidP="006B5361">
      <w:pPr>
        <w:pStyle w:val="Heading1"/>
        <w:spacing w:after="240"/>
      </w:pPr>
      <w:bookmarkStart w:id="1" w:name="_Toc77895372"/>
      <w:r>
        <w:lastRenderedPageBreak/>
        <w:t>Question 1</w:t>
      </w:r>
      <w:bookmarkEnd w:id="1"/>
    </w:p>
    <w:p w:rsidR="00A972A7" w:rsidRDefault="003B219C" w:rsidP="006B5361">
      <w:pPr>
        <w:pStyle w:val="Heading2"/>
        <w:spacing w:after="240"/>
      </w:pPr>
      <w:bookmarkStart w:id="2" w:name="_Toc77895373"/>
      <w:r>
        <w:t>a) Preparing a profit and loss statement and statement of financial position for Kedison Plc.</w:t>
      </w:r>
      <w:bookmarkEnd w:id="2"/>
    </w:p>
    <w:p w:rsidR="00A2692B" w:rsidRPr="009D6670" w:rsidRDefault="003B219C" w:rsidP="006B5361">
      <w:pPr>
        <w:spacing w:after="240"/>
        <w:rPr>
          <w:shd w:val="clear" w:color="auto" w:fill="FFFFFF"/>
        </w:rPr>
      </w:pPr>
      <w:r w:rsidRPr="009D6670">
        <w:rPr>
          <w:b/>
        </w:rPr>
        <w:t>Profit and loss statement/ Comprehensive Income statement:</w:t>
      </w:r>
      <w:r>
        <w:t xml:space="preserve"> The comprehensive income statement generates information regarding the calculation of yearly revenue and expenses of the country</w:t>
      </w:r>
      <w:r w:rsidR="009D6670">
        <w:rPr>
          <w:shd w:val="clear" w:color="auto" w:fill="FFFFFF"/>
        </w:rPr>
        <w:t>(Zamfir et al., 2016)</w:t>
      </w:r>
      <w:r>
        <w:t>. The below section will construct an income statement for KedisonPlc:</w:t>
      </w:r>
    </w:p>
    <w:p w:rsidR="00A2692B" w:rsidRPr="00A2692B" w:rsidRDefault="003B219C" w:rsidP="006B5361">
      <w:pPr>
        <w:spacing w:after="240"/>
        <w:jc w:val="center"/>
        <w:rPr>
          <w:b/>
        </w:rPr>
      </w:pPr>
      <w:r w:rsidRPr="00A2692B">
        <w:rPr>
          <w:b/>
        </w:rPr>
        <w:t>Kedison PLC</w:t>
      </w:r>
    </w:p>
    <w:p w:rsidR="00A2692B" w:rsidRPr="00A2692B" w:rsidRDefault="003B219C" w:rsidP="006B5361">
      <w:pPr>
        <w:spacing w:after="240"/>
        <w:jc w:val="center"/>
        <w:rPr>
          <w:b/>
        </w:rPr>
      </w:pPr>
      <w:r w:rsidRPr="00A2692B">
        <w:rPr>
          <w:b/>
        </w:rPr>
        <w:t>Comprehensive Income Statement</w:t>
      </w:r>
    </w:p>
    <w:p w:rsidR="00A2692B" w:rsidRPr="00A2692B" w:rsidRDefault="003B219C" w:rsidP="006B5361">
      <w:pPr>
        <w:spacing w:after="240"/>
        <w:jc w:val="center"/>
        <w:rPr>
          <w:b/>
        </w:rPr>
      </w:pPr>
      <w:r w:rsidRPr="00A2692B">
        <w:rPr>
          <w:b/>
        </w:rPr>
        <w:t>For the year ended on 31</w:t>
      </w:r>
      <w:r w:rsidRPr="00A2692B">
        <w:rPr>
          <w:b/>
          <w:vertAlign w:val="superscript"/>
        </w:rPr>
        <w:t>st</w:t>
      </w:r>
      <w:r w:rsidRPr="00A2692B">
        <w:rPr>
          <w:b/>
        </w:rPr>
        <w:t xml:space="preserve"> December 2021</w:t>
      </w:r>
    </w:p>
    <w:tbl>
      <w:tblPr>
        <w:tblStyle w:val="TableGrid"/>
        <w:tblW w:w="0" w:type="auto"/>
        <w:tblLook w:val="04A0"/>
      </w:tblPr>
      <w:tblGrid>
        <w:gridCol w:w="3005"/>
        <w:gridCol w:w="3005"/>
        <w:gridCol w:w="3006"/>
      </w:tblGrid>
      <w:tr w:rsidR="00CD7A72" w:rsidTr="00A2692B">
        <w:tc>
          <w:tcPr>
            <w:tcW w:w="3005" w:type="dxa"/>
          </w:tcPr>
          <w:p w:rsidR="00A2692B" w:rsidRDefault="003B219C" w:rsidP="006B5361">
            <w:pPr>
              <w:spacing w:after="240"/>
            </w:pPr>
            <w:r>
              <w:t>Particulars</w:t>
            </w:r>
          </w:p>
        </w:tc>
        <w:tc>
          <w:tcPr>
            <w:tcW w:w="3005" w:type="dxa"/>
          </w:tcPr>
          <w:p w:rsidR="00A2692B" w:rsidRDefault="003B219C" w:rsidP="006B5361">
            <w:pPr>
              <w:spacing w:after="240"/>
            </w:pPr>
            <w:r>
              <w:t>Details</w:t>
            </w:r>
          </w:p>
        </w:tc>
        <w:tc>
          <w:tcPr>
            <w:tcW w:w="3006" w:type="dxa"/>
          </w:tcPr>
          <w:p w:rsidR="00A2692B" w:rsidRDefault="003B219C" w:rsidP="006B5361">
            <w:pPr>
              <w:spacing w:after="240"/>
            </w:pPr>
            <w:r>
              <w:t>Amount</w:t>
            </w:r>
          </w:p>
        </w:tc>
      </w:tr>
      <w:tr w:rsidR="00CD7A72" w:rsidTr="00A2692B">
        <w:tc>
          <w:tcPr>
            <w:tcW w:w="3005" w:type="dxa"/>
          </w:tcPr>
          <w:p w:rsidR="00A2692B" w:rsidRDefault="003B219C" w:rsidP="006B5361">
            <w:pPr>
              <w:spacing w:after="240"/>
            </w:pPr>
            <w:r>
              <w:t>Sales/ Revenue</w:t>
            </w:r>
          </w:p>
        </w:tc>
        <w:tc>
          <w:tcPr>
            <w:tcW w:w="3005" w:type="dxa"/>
          </w:tcPr>
          <w:p w:rsidR="00A2692B" w:rsidRDefault="00A2692B" w:rsidP="006B5361">
            <w:pPr>
              <w:spacing w:after="240"/>
            </w:pPr>
          </w:p>
        </w:tc>
        <w:tc>
          <w:tcPr>
            <w:tcW w:w="3006" w:type="dxa"/>
          </w:tcPr>
          <w:p w:rsidR="00A2692B" w:rsidRDefault="003B219C" w:rsidP="006B5361">
            <w:pPr>
              <w:spacing w:after="240"/>
            </w:pPr>
            <w:r>
              <w:t>826,650</w:t>
            </w:r>
          </w:p>
        </w:tc>
      </w:tr>
      <w:tr w:rsidR="00CD7A72" w:rsidTr="00A2692B">
        <w:tc>
          <w:tcPr>
            <w:tcW w:w="3005" w:type="dxa"/>
          </w:tcPr>
          <w:p w:rsidR="00A2692B" w:rsidRDefault="003B219C" w:rsidP="006B5361">
            <w:pPr>
              <w:spacing w:after="240"/>
            </w:pPr>
            <w:r>
              <w:t>Less: Cost of Sales</w:t>
            </w:r>
          </w:p>
        </w:tc>
        <w:tc>
          <w:tcPr>
            <w:tcW w:w="3005" w:type="dxa"/>
          </w:tcPr>
          <w:p w:rsidR="00A2692B" w:rsidRDefault="00A2692B" w:rsidP="006B5361">
            <w:pPr>
              <w:spacing w:after="240"/>
            </w:pPr>
          </w:p>
        </w:tc>
        <w:tc>
          <w:tcPr>
            <w:tcW w:w="3006" w:type="dxa"/>
          </w:tcPr>
          <w:p w:rsidR="00A2692B" w:rsidRDefault="003B219C" w:rsidP="006B5361">
            <w:pPr>
              <w:spacing w:after="240"/>
            </w:pPr>
            <w:r>
              <w:t>(578,650)</w:t>
            </w:r>
          </w:p>
        </w:tc>
      </w:tr>
      <w:tr w:rsidR="00CD7A72" w:rsidTr="00A2692B">
        <w:tc>
          <w:tcPr>
            <w:tcW w:w="3005" w:type="dxa"/>
          </w:tcPr>
          <w:p w:rsidR="00A2692B" w:rsidRDefault="003B219C" w:rsidP="006B5361">
            <w:pPr>
              <w:spacing w:after="240"/>
            </w:pPr>
            <w:r>
              <w:t>Gross profit</w:t>
            </w:r>
          </w:p>
        </w:tc>
        <w:tc>
          <w:tcPr>
            <w:tcW w:w="3005" w:type="dxa"/>
          </w:tcPr>
          <w:p w:rsidR="00A2692B" w:rsidRDefault="00A2692B" w:rsidP="006B5361">
            <w:pPr>
              <w:spacing w:after="240"/>
            </w:pPr>
          </w:p>
        </w:tc>
        <w:tc>
          <w:tcPr>
            <w:tcW w:w="3006" w:type="dxa"/>
          </w:tcPr>
          <w:p w:rsidR="00A2692B" w:rsidRDefault="003B219C" w:rsidP="006B5361">
            <w:pPr>
              <w:spacing w:after="240"/>
            </w:pPr>
            <w:r>
              <w:t>248,000</w:t>
            </w:r>
          </w:p>
        </w:tc>
      </w:tr>
      <w:tr w:rsidR="00CD7A72" w:rsidTr="00A2692B">
        <w:tc>
          <w:tcPr>
            <w:tcW w:w="3005" w:type="dxa"/>
          </w:tcPr>
          <w:p w:rsidR="00A2692B" w:rsidRDefault="003B219C" w:rsidP="006B5361">
            <w:pPr>
              <w:spacing w:after="240"/>
            </w:pPr>
            <w:r>
              <w:t>Less: Administrative expenses</w:t>
            </w:r>
          </w:p>
        </w:tc>
        <w:tc>
          <w:tcPr>
            <w:tcW w:w="3005" w:type="dxa"/>
          </w:tcPr>
          <w:p w:rsidR="00A2692B" w:rsidRDefault="00A2692B" w:rsidP="006B5361">
            <w:pPr>
              <w:spacing w:after="240"/>
            </w:pPr>
          </w:p>
        </w:tc>
        <w:tc>
          <w:tcPr>
            <w:tcW w:w="3006" w:type="dxa"/>
          </w:tcPr>
          <w:p w:rsidR="00A2692B" w:rsidRDefault="003B219C" w:rsidP="006B5361">
            <w:pPr>
              <w:spacing w:after="240"/>
            </w:pPr>
            <w:r>
              <w:t>(30,000)</w:t>
            </w:r>
          </w:p>
        </w:tc>
      </w:tr>
      <w:tr w:rsidR="00CD7A72" w:rsidTr="00A2692B">
        <w:tc>
          <w:tcPr>
            <w:tcW w:w="3005" w:type="dxa"/>
          </w:tcPr>
          <w:p w:rsidR="00A2692B" w:rsidRDefault="003B219C" w:rsidP="006B5361">
            <w:pPr>
              <w:spacing w:after="240"/>
            </w:pPr>
            <w:r>
              <w:t>Less: Distribution cost</w:t>
            </w:r>
          </w:p>
        </w:tc>
        <w:tc>
          <w:tcPr>
            <w:tcW w:w="3005" w:type="dxa"/>
          </w:tcPr>
          <w:p w:rsidR="00A2692B" w:rsidRDefault="00A2692B" w:rsidP="006B5361">
            <w:pPr>
              <w:spacing w:after="240"/>
            </w:pPr>
          </w:p>
        </w:tc>
        <w:tc>
          <w:tcPr>
            <w:tcW w:w="3006" w:type="dxa"/>
          </w:tcPr>
          <w:p w:rsidR="00A2692B" w:rsidRDefault="003B219C" w:rsidP="006B5361">
            <w:pPr>
              <w:spacing w:after="240"/>
            </w:pPr>
            <w:r>
              <w:t>(28,000)</w:t>
            </w:r>
          </w:p>
        </w:tc>
      </w:tr>
      <w:tr w:rsidR="00CD7A72" w:rsidTr="00A2692B">
        <w:tc>
          <w:tcPr>
            <w:tcW w:w="3005" w:type="dxa"/>
          </w:tcPr>
          <w:p w:rsidR="00183B46" w:rsidRDefault="003B219C" w:rsidP="006B5361">
            <w:pPr>
              <w:spacing w:after="240"/>
            </w:pPr>
            <w:r>
              <w:t>Directors’ remuneration</w:t>
            </w:r>
          </w:p>
        </w:tc>
        <w:tc>
          <w:tcPr>
            <w:tcW w:w="3005" w:type="dxa"/>
          </w:tcPr>
          <w:p w:rsidR="00183B46" w:rsidRDefault="00183B46" w:rsidP="006B5361">
            <w:pPr>
              <w:spacing w:after="240"/>
            </w:pPr>
          </w:p>
        </w:tc>
        <w:tc>
          <w:tcPr>
            <w:tcW w:w="3006" w:type="dxa"/>
          </w:tcPr>
          <w:p w:rsidR="00183B46" w:rsidRDefault="003B219C" w:rsidP="006B5361">
            <w:pPr>
              <w:spacing w:after="240"/>
            </w:pPr>
            <w:r>
              <w:t>(5,000)</w:t>
            </w:r>
          </w:p>
        </w:tc>
      </w:tr>
      <w:tr w:rsidR="00CD7A72" w:rsidTr="00A2692B">
        <w:tc>
          <w:tcPr>
            <w:tcW w:w="3005" w:type="dxa"/>
          </w:tcPr>
          <w:p w:rsidR="00183B46" w:rsidRDefault="003B219C" w:rsidP="006B5361">
            <w:pPr>
              <w:spacing w:after="240"/>
            </w:pPr>
            <w:r>
              <w:t>Salesman’s commission</w:t>
            </w:r>
          </w:p>
        </w:tc>
        <w:tc>
          <w:tcPr>
            <w:tcW w:w="3005" w:type="dxa"/>
          </w:tcPr>
          <w:p w:rsidR="00183B46" w:rsidRDefault="00183B46" w:rsidP="006B5361">
            <w:pPr>
              <w:spacing w:after="240"/>
            </w:pPr>
          </w:p>
        </w:tc>
        <w:tc>
          <w:tcPr>
            <w:tcW w:w="3006" w:type="dxa"/>
          </w:tcPr>
          <w:p w:rsidR="00183B46" w:rsidRDefault="003B219C" w:rsidP="006B5361">
            <w:pPr>
              <w:spacing w:after="240"/>
            </w:pPr>
            <w:r>
              <w:t>(3000)</w:t>
            </w:r>
          </w:p>
        </w:tc>
      </w:tr>
      <w:tr w:rsidR="00CD7A72" w:rsidTr="00A2692B">
        <w:tc>
          <w:tcPr>
            <w:tcW w:w="3005" w:type="dxa"/>
          </w:tcPr>
          <w:p w:rsidR="00A2692B" w:rsidRDefault="003B219C" w:rsidP="006B5361">
            <w:pPr>
              <w:spacing w:after="240"/>
            </w:pPr>
            <w:r>
              <w:t>Operating profit</w:t>
            </w:r>
          </w:p>
        </w:tc>
        <w:tc>
          <w:tcPr>
            <w:tcW w:w="3005" w:type="dxa"/>
          </w:tcPr>
          <w:p w:rsidR="00A2692B" w:rsidRDefault="00A2692B" w:rsidP="006B5361">
            <w:pPr>
              <w:spacing w:after="240"/>
            </w:pPr>
          </w:p>
        </w:tc>
        <w:tc>
          <w:tcPr>
            <w:tcW w:w="3006" w:type="dxa"/>
          </w:tcPr>
          <w:p w:rsidR="00A2692B" w:rsidRDefault="003B219C" w:rsidP="006B5361">
            <w:pPr>
              <w:spacing w:after="240"/>
            </w:pPr>
            <w:r>
              <w:t>185,000</w:t>
            </w:r>
          </w:p>
        </w:tc>
      </w:tr>
      <w:tr w:rsidR="00CD7A72" w:rsidTr="00A2692B">
        <w:tc>
          <w:tcPr>
            <w:tcW w:w="3005" w:type="dxa"/>
          </w:tcPr>
          <w:p w:rsidR="00A2692B" w:rsidRDefault="003B219C" w:rsidP="006B5361">
            <w:pPr>
              <w:spacing w:after="240"/>
            </w:pPr>
            <w:r>
              <w:t>Less: Interest expenses</w:t>
            </w:r>
          </w:p>
        </w:tc>
        <w:tc>
          <w:tcPr>
            <w:tcW w:w="3005" w:type="dxa"/>
          </w:tcPr>
          <w:p w:rsidR="00A2692B" w:rsidRDefault="00A2692B" w:rsidP="006B5361">
            <w:pPr>
              <w:spacing w:after="240"/>
            </w:pPr>
          </w:p>
        </w:tc>
        <w:tc>
          <w:tcPr>
            <w:tcW w:w="3006" w:type="dxa"/>
          </w:tcPr>
          <w:p w:rsidR="00A2692B" w:rsidRDefault="003B219C" w:rsidP="006B5361">
            <w:pPr>
              <w:spacing w:after="240"/>
            </w:pPr>
            <w:r>
              <w:t>(4000)</w:t>
            </w:r>
          </w:p>
        </w:tc>
      </w:tr>
      <w:tr w:rsidR="00CD7A72" w:rsidTr="00A2692B">
        <w:tc>
          <w:tcPr>
            <w:tcW w:w="3005" w:type="dxa"/>
          </w:tcPr>
          <w:p w:rsidR="00A2692B" w:rsidRDefault="003B219C" w:rsidP="006B5361">
            <w:pPr>
              <w:spacing w:after="240"/>
            </w:pPr>
            <w:r>
              <w:t>Interest paid</w:t>
            </w:r>
          </w:p>
        </w:tc>
        <w:tc>
          <w:tcPr>
            <w:tcW w:w="3005" w:type="dxa"/>
          </w:tcPr>
          <w:p w:rsidR="00A2692B" w:rsidRDefault="003B219C" w:rsidP="006B5361">
            <w:pPr>
              <w:spacing w:after="240"/>
            </w:pPr>
            <w:r>
              <w:t>2000</w:t>
            </w:r>
          </w:p>
        </w:tc>
        <w:tc>
          <w:tcPr>
            <w:tcW w:w="3006" w:type="dxa"/>
          </w:tcPr>
          <w:p w:rsidR="00A2692B" w:rsidRDefault="00A2692B" w:rsidP="006B5361">
            <w:pPr>
              <w:spacing w:after="240"/>
            </w:pPr>
          </w:p>
        </w:tc>
      </w:tr>
      <w:tr w:rsidR="00CD7A72" w:rsidTr="00A2692B">
        <w:tc>
          <w:tcPr>
            <w:tcW w:w="3005" w:type="dxa"/>
          </w:tcPr>
          <w:p w:rsidR="00A2692B" w:rsidRDefault="003B219C" w:rsidP="006B5361">
            <w:pPr>
              <w:spacing w:after="240"/>
            </w:pPr>
            <w:r>
              <w:t>Interest due</w:t>
            </w:r>
          </w:p>
        </w:tc>
        <w:tc>
          <w:tcPr>
            <w:tcW w:w="3005" w:type="dxa"/>
          </w:tcPr>
          <w:p w:rsidR="00A2692B" w:rsidRPr="00095D01" w:rsidRDefault="003B219C" w:rsidP="006B5361">
            <w:pPr>
              <w:spacing w:after="240"/>
              <w:rPr>
                <w:u w:val="single"/>
              </w:rPr>
            </w:pPr>
            <w:r w:rsidRPr="00095D01">
              <w:rPr>
                <w:u w:val="single"/>
              </w:rPr>
              <w:t>2000</w:t>
            </w:r>
          </w:p>
        </w:tc>
        <w:tc>
          <w:tcPr>
            <w:tcW w:w="3006" w:type="dxa"/>
          </w:tcPr>
          <w:p w:rsidR="00A2692B" w:rsidRDefault="00A2692B" w:rsidP="006B5361">
            <w:pPr>
              <w:spacing w:after="240"/>
            </w:pPr>
          </w:p>
        </w:tc>
      </w:tr>
      <w:tr w:rsidR="00CD7A72" w:rsidTr="00A2692B">
        <w:tc>
          <w:tcPr>
            <w:tcW w:w="3005" w:type="dxa"/>
          </w:tcPr>
          <w:p w:rsidR="00095D01" w:rsidRDefault="003B219C" w:rsidP="006B5361">
            <w:pPr>
              <w:spacing w:after="240"/>
            </w:pPr>
            <w:r>
              <w:lastRenderedPageBreak/>
              <w:t>Earnings before taxation</w:t>
            </w:r>
          </w:p>
        </w:tc>
        <w:tc>
          <w:tcPr>
            <w:tcW w:w="3005" w:type="dxa"/>
          </w:tcPr>
          <w:p w:rsidR="00095D01" w:rsidRPr="00095D01" w:rsidRDefault="00095D01" w:rsidP="006B5361">
            <w:pPr>
              <w:spacing w:after="240"/>
              <w:rPr>
                <w:u w:val="single"/>
              </w:rPr>
            </w:pPr>
          </w:p>
        </w:tc>
        <w:tc>
          <w:tcPr>
            <w:tcW w:w="3006" w:type="dxa"/>
          </w:tcPr>
          <w:p w:rsidR="00095D01" w:rsidRDefault="003B219C" w:rsidP="006B5361">
            <w:pPr>
              <w:spacing w:after="240"/>
            </w:pPr>
            <w:r>
              <w:t>181,000</w:t>
            </w:r>
          </w:p>
        </w:tc>
      </w:tr>
      <w:tr w:rsidR="00CD7A72" w:rsidTr="00A2692B">
        <w:tc>
          <w:tcPr>
            <w:tcW w:w="3005" w:type="dxa"/>
          </w:tcPr>
          <w:p w:rsidR="00095D01" w:rsidRDefault="003B219C" w:rsidP="006B5361">
            <w:pPr>
              <w:spacing w:after="240"/>
            </w:pPr>
            <w:r>
              <w:t>Less: Corporate taxes</w:t>
            </w:r>
          </w:p>
        </w:tc>
        <w:tc>
          <w:tcPr>
            <w:tcW w:w="3005" w:type="dxa"/>
          </w:tcPr>
          <w:p w:rsidR="00095D01" w:rsidRPr="00095D01" w:rsidRDefault="00095D01" w:rsidP="006B5361">
            <w:pPr>
              <w:spacing w:after="240"/>
              <w:rPr>
                <w:u w:val="single"/>
              </w:rPr>
            </w:pPr>
          </w:p>
        </w:tc>
        <w:tc>
          <w:tcPr>
            <w:tcW w:w="3006" w:type="dxa"/>
          </w:tcPr>
          <w:p w:rsidR="00095D01" w:rsidRDefault="003B219C" w:rsidP="006B5361">
            <w:pPr>
              <w:spacing w:after="240"/>
            </w:pPr>
            <w:r>
              <w:t>(68,000)</w:t>
            </w:r>
          </w:p>
        </w:tc>
      </w:tr>
      <w:tr w:rsidR="00CD7A72" w:rsidTr="00A2692B">
        <w:tc>
          <w:tcPr>
            <w:tcW w:w="3005" w:type="dxa"/>
          </w:tcPr>
          <w:p w:rsidR="00095D01" w:rsidRDefault="003B219C" w:rsidP="006B5361">
            <w:pPr>
              <w:spacing w:after="240"/>
            </w:pPr>
            <w:r>
              <w:t>Net earnings</w:t>
            </w:r>
          </w:p>
        </w:tc>
        <w:tc>
          <w:tcPr>
            <w:tcW w:w="3005" w:type="dxa"/>
          </w:tcPr>
          <w:p w:rsidR="00095D01" w:rsidRPr="00095D01" w:rsidRDefault="00095D01" w:rsidP="006B5361">
            <w:pPr>
              <w:spacing w:after="240"/>
              <w:rPr>
                <w:u w:val="single"/>
              </w:rPr>
            </w:pPr>
          </w:p>
        </w:tc>
        <w:tc>
          <w:tcPr>
            <w:tcW w:w="3006" w:type="dxa"/>
          </w:tcPr>
          <w:p w:rsidR="00095D01" w:rsidRDefault="003B219C" w:rsidP="006B5361">
            <w:pPr>
              <w:spacing w:after="240"/>
            </w:pPr>
            <w:r>
              <w:t>113,000</w:t>
            </w:r>
          </w:p>
        </w:tc>
      </w:tr>
      <w:tr w:rsidR="00CD7A72" w:rsidTr="00A2692B">
        <w:tc>
          <w:tcPr>
            <w:tcW w:w="3005" w:type="dxa"/>
          </w:tcPr>
          <w:p w:rsidR="00095D01" w:rsidRDefault="003B219C" w:rsidP="006B5361">
            <w:pPr>
              <w:spacing w:after="240"/>
            </w:pPr>
            <w:r>
              <w:t>Dividends:</w:t>
            </w:r>
          </w:p>
        </w:tc>
        <w:tc>
          <w:tcPr>
            <w:tcW w:w="3005" w:type="dxa"/>
          </w:tcPr>
          <w:p w:rsidR="00095D01" w:rsidRPr="00095D01" w:rsidRDefault="00095D01" w:rsidP="006B5361">
            <w:pPr>
              <w:spacing w:after="240"/>
              <w:rPr>
                <w:u w:val="single"/>
              </w:rPr>
            </w:pPr>
          </w:p>
        </w:tc>
        <w:tc>
          <w:tcPr>
            <w:tcW w:w="3006" w:type="dxa"/>
          </w:tcPr>
          <w:p w:rsidR="00095D01" w:rsidRDefault="00095D01" w:rsidP="006B5361">
            <w:pPr>
              <w:spacing w:after="240"/>
            </w:pPr>
          </w:p>
        </w:tc>
      </w:tr>
      <w:tr w:rsidR="00CD7A72" w:rsidTr="00A2692B">
        <w:tc>
          <w:tcPr>
            <w:tcW w:w="3005" w:type="dxa"/>
          </w:tcPr>
          <w:p w:rsidR="00095D01" w:rsidRDefault="003B219C" w:rsidP="006B5361">
            <w:pPr>
              <w:spacing w:after="240"/>
            </w:pPr>
            <w:r>
              <w:t>Preferences dividend</w:t>
            </w:r>
          </w:p>
        </w:tc>
        <w:tc>
          <w:tcPr>
            <w:tcW w:w="3005" w:type="dxa"/>
          </w:tcPr>
          <w:p w:rsidR="00095D01" w:rsidRPr="002C0276" w:rsidRDefault="00095D01" w:rsidP="006B5361">
            <w:pPr>
              <w:spacing w:after="240"/>
            </w:pPr>
          </w:p>
        </w:tc>
        <w:tc>
          <w:tcPr>
            <w:tcW w:w="3006" w:type="dxa"/>
          </w:tcPr>
          <w:p w:rsidR="00095D01" w:rsidRPr="002C0276" w:rsidRDefault="003B219C" w:rsidP="006B5361">
            <w:pPr>
              <w:spacing w:after="240"/>
            </w:pPr>
            <w:r w:rsidRPr="002C0276">
              <w:t>(30,000)</w:t>
            </w:r>
          </w:p>
        </w:tc>
      </w:tr>
      <w:tr w:rsidR="00CD7A72" w:rsidTr="00A2692B">
        <w:tc>
          <w:tcPr>
            <w:tcW w:w="3005" w:type="dxa"/>
          </w:tcPr>
          <w:p w:rsidR="00095D01" w:rsidRDefault="003B219C" w:rsidP="006B5361">
            <w:pPr>
              <w:spacing w:after="240"/>
            </w:pPr>
            <w:r>
              <w:t>Ordinary dividend paid</w:t>
            </w:r>
          </w:p>
        </w:tc>
        <w:tc>
          <w:tcPr>
            <w:tcW w:w="3005" w:type="dxa"/>
          </w:tcPr>
          <w:p w:rsidR="00095D01" w:rsidRPr="00095D01" w:rsidRDefault="00095D01" w:rsidP="006B5361">
            <w:pPr>
              <w:spacing w:after="240"/>
              <w:rPr>
                <w:u w:val="single"/>
              </w:rPr>
            </w:pPr>
          </w:p>
        </w:tc>
        <w:tc>
          <w:tcPr>
            <w:tcW w:w="3006" w:type="dxa"/>
          </w:tcPr>
          <w:p w:rsidR="00095D01" w:rsidRPr="002C0276" w:rsidRDefault="003B219C" w:rsidP="006B5361">
            <w:pPr>
              <w:spacing w:after="240"/>
              <w:rPr>
                <w:u w:val="single"/>
              </w:rPr>
            </w:pPr>
            <w:r w:rsidRPr="002C0276">
              <w:rPr>
                <w:u w:val="single"/>
              </w:rPr>
              <w:t>(20,000)</w:t>
            </w:r>
          </w:p>
        </w:tc>
      </w:tr>
      <w:tr w:rsidR="00CD7A72" w:rsidTr="00A2692B">
        <w:tc>
          <w:tcPr>
            <w:tcW w:w="3005" w:type="dxa"/>
          </w:tcPr>
          <w:p w:rsidR="00095D01" w:rsidRDefault="003B219C" w:rsidP="006B5361">
            <w:pPr>
              <w:spacing w:after="240"/>
            </w:pPr>
            <w:r>
              <w:t>Retained earnings</w:t>
            </w:r>
          </w:p>
        </w:tc>
        <w:tc>
          <w:tcPr>
            <w:tcW w:w="3005" w:type="dxa"/>
          </w:tcPr>
          <w:p w:rsidR="00095D01" w:rsidRPr="00095D01" w:rsidRDefault="00095D01" w:rsidP="006B5361">
            <w:pPr>
              <w:spacing w:after="240"/>
              <w:rPr>
                <w:u w:val="single"/>
              </w:rPr>
            </w:pPr>
          </w:p>
        </w:tc>
        <w:tc>
          <w:tcPr>
            <w:tcW w:w="3006" w:type="dxa"/>
          </w:tcPr>
          <w:p w:rsidR="00095D01" w:rsidRDefault="003B219C" w:rsidP="006B5361">
            <w:pPr>
              <w:spacing w:after="240"/>
            </w:pPr>
            <w:r>
              <w:t>63,000</w:t>
            </w:r>
          </w:p>
        </w:tc>
      </w:tr>
      <w:tr w:rsidR="00CD7A72" w:rsidTr="00A2692B">
        <w:tc>
          <w:tcPr>
            <w:tcW w:w="3005" w:type="dxa"/>
          </w:tcPr>
          <w:p w:rsidR="00095D01" w:rsidRDefault="003B219C" w:rsidP="006B5361">
            <w:pPr>
              <w:spacing w:after="240"/>
            </w:pPr>
            <w:r>
              <w:t>Retained earnings (B/C)</w:t>
            </w:r>
          </w:p>
        </w:tc>
        <w:tc>
          <w:tcPr>
            <w:tcW w:w="3005" w:type="dxa"/>
          </w:tcPr>
          <w:p w:rsidR="00095D01" w:rsidRPr="00095D01" w:rsidRDefault="00095D01" w:rsidP="006B5361">
            <w:pPr>
              <w:spacing w:after="240"/>
              <w:rPr>
                <w:u w:val="single"/>
              </w:rPr>
            </w:pPr>
          </w:p>
        </w:tc>
        <w:tc>
          <w:tcPr>
            <w:tcW w:w="3006" w:type="dxa"/>
          </w:tcPr>
          <w:p w:rsidR="00095D01" w:rsidRDefault="003B219C" w:rsidP="006B5361">
            <w:pPr>
              <w:spacing w:after="240"/>
            </w:pPr>
            <w:r>
              <w:t>132,000</w:t>
            </w:r>
          </w:p>
        </w:tc>
      </w:tr>
      <w:tr w:rsidR="00CD7A72" w:rsidTr="00A2692B">
        <w:tc>
          <w:tcPr>
            <w:tcW w:w="3005" w:type="dxa"/>
          </w:tcPr>
          <w:p w:rsidR="002C0276" w:rsidRDefault="003B219C" w:rsidP="006B5361">
            <w:pPr>
              <w:spacing w:after="240"/>
            </w:pPr>
            <w:r>
              <w:t>Retained earnings (C/D)</w:t>
            </w:r>
          </w:p>
        </w:tc>
        <w:tc>
          <w:tcPr>
            <w:tcW w:w="3005" w:type="dxa"/>
          </w:tcPr>
          <w:p w:rsidR="002C0276" w:rsidRPr="00095D01" w:rsidRDefault="002C0276" w:rsidP="006B5361">
            <w:pPr>
              <w:spacing w:after="240"/>
              <w:rPr>
                <w:u w:val="single"/>
              </w:rPr>
            </w:pPr>
          </w:p>
        </w:tc>
        <w:tc>
          <w:tcPr>
            <w:tcW w:w="3006" w:type="dxa"/>
          </w:tcPr>
          <w:p w:rsidR="002C0276" w:rsidRDefault="003B219C" w:rsidP="006B5361">
            <w:pPr>
              <w:spacing w:after="240"/>
            </w:pPr>
            <w:r>
              <w:t>195,000</w:t>
            </w:r>
          </w:p>
        </w:tc>
      </w:tr>
    </w:tbl>
    <w:p w:rsidR="00A2692B" w:rsidRDefault="00A2692B" w:rsidP="006B5361">
      <w:pPr>
        <w:spacing w:after="240"/>
      </w:pPr>
    </w:p>
    <w:p w:rsidR="00DF2EF9" w:rsidRPr="009D6670" w:rsidRDefault="003B219C" w:rsidP="006B5361">
      <w:pPr>
        <w:spacing w:after="240"/>
        <w:rPr>
          <w:shd w:val="clear" w:color="auto" w:fill="FFFFFF"/>
        </w:rPr>
      </w:pPr>
      <w:r w:rsidRPr="00DD6D5B">
        <w:rPr>
          <w:b/>
        </w:rPr>
        <w:t>Statement of financial position/ Balance Sheet:</w:t>
      </w:r>
      <w:r>
        <w:t xml:space="preserve"> The statement of balance sheet or financial position accounts for the classification of assets, liabilities, and shareholders' equity of the company</w:t>
      </w:r>
      <w:r w:rsidR="009D6670">
        <w:rPr>
          <w:shd w:val="clear" w:color="auto" w:fill="FFFFFF"/>
        </w:rPr>
        <w:t>(Yahaya et al., 2015)</w:t>
      </w:r>
      <w:r>
        <w:t>. By preparing the statement of financial position, the organisation can determine how many assets that the organisation hold to cover its debts. The following section will prepare the statement of financial position of KedisonPlc:</w:t>
      </w:r>
    </w:p>
    <w:p w:rsidR="00DF2EF9" w:rsidRPr="00DD6D5B" w:rsidRDefault="003B219C" w:rsidP="006B5361">
      <w:pPr>
        <w:spacing w:after="240"/>
        <w:jc w:val="center"/>
        <w:rPr>
          <w:b/>
        </w:rPr>
      </w:pPr>
      <w:r w:rsidRPr="00DD6D5B">
        <w:rPr>
          <w:b/>
        </w:rPr>
        <w:t>Kedison PLC</w:t>
      </w:r>
    </w:p>
    <w:p w:rsidR="00DD6D5B" w:rsidRPr="00DD6D5B" w:rsidRDefault="003B219C" w:rsidP="006B5361">
      <w:pPr>
        <w:spacing w:after="240"/>
        <w:jc w:val="center"/>
        <w:rPr>
          <w:b/>
        </w:rPr>
      </w:pPr>
      <w:r w:rsidRPr="00DD6D5B">
        <w:rPr>
          <w:b/>
        </w:rPr>
        <w:t>Statement of Financial position</w:t>
      </w:r>
    </w:p>
    <w:p w:rsidR="00DD6D5B" w:rsidRPr="00DD6D5B" w:rsidRDefault="003B219C" w:rsidP="006B5361">
      <w:pPr>
        <w:spacing w:after="240"/>
        <w:jc w:val="center"/>
        <w:rPr>
          <w:b/>
        </w:rPr>
      </w:pPr>
      <w:r w:rsidRPr="00DD6D5B">
        <w:rPr>
          <w:b/>
        </w:rPr>
        <w:t>For th</w:t>
      </w:r>
      <w:r w:rsidR="007D661E">
        <w:rPr>
          <w:b/>
        </w:rPr>
        <w:t>e year ended on 31 December 2020</w:t>
      </w:r>
    </w:p>
    <w:tbl>
      <w:tblPr>
        <w:tblStyle w:val="TableGrid"/>
        <w:tblW w:w="0" w:type="auto"/>
        <w:tblLook w:val="04A0"/>
      </w:tblPr>
      <w:tblGrid>
        <w:gridCol w:w="2510"/>
        <w:gridCol w:w="2277"/>
        <w:gridCol w:w="1951"/>
        <w:gridCol w:w="2278"/>
      </w:tblGrid>
      <w:tr w:rsidR="007D661E" w:rsidTr="007D661E">
        <w:tc>
          <w:tcPr>
            <w:tcW w:w="2510" w:type="dxa"/>
          </w:tcPr>
          <w:p w:rsidR="007D661E" w:rsidRDefault="007D661E" w:rsidP="006B5361">
            <w:pPr>
              <w:spacing w:after="240"/>
            </w:pPr>
            <w:r>
              <w:t>Particulars</w:t>
            </w:r>
          </w:p>
        </w:tc>
        <w:tc>
          <w:tcPr>
            <w:tcW w:w="2277" w:type="dxa"/>
          </w:tcPr>
          <w:p w:rsidR="007D661E" w:rsidRDefault="007D661E" w:rsidP="006B5361">
            <w:pPr>
              <w:spacing w:after="240"/>
            </w:pPr>
            <w:r>
              <w:t>Details</w:t>
            </w:r>
          </w:p>
        </w:tc>
        <w:tc>
          <w:tcPr>
            <w:tcW w:w="1951" w:type="dxa"/>
          </w:tcPr>
          <w:p w:rsidR="007D661E" w:rsidRDefault="007D661E" w:rsidP="006B5361">
            <w:pPr>
              <w:spacing w:after="240"/>
            </w:pPr>
            <w:r>
              <w:t>Details</w:t>
            </w:r>
          </w:p>
        </w:tc>
        <w:tc>
          <w:tcPr>
            <w:tcW w:w="2278" w:type="dxa"/>
          </w:tcPr>
          <w:p w:rsidR="007D661E" w:rsidRDefault="007D661E" w:rsidP="006B5361">
            <w:pPr>
              <w:spacing w:after="240"/>
            </w:pPr>
            <w:r>
              <w:t>Amount</w:t>
            </w:r>
          </w:p>
        </w:tc>
      </w:tr>
      <w:tr w:rsidR="007D661E" w:rsidTr="007D661E">
        <w:tc>
          <w:tcPr>
            <w:tcW w:w="2510" w:type="dxa"/>
          </w:tcPr>
          <w:p w:rsidR="007D661E" w:rsidRPr="007D661E" w:rsidRDefault="007D661E" w:rsidP="006B5361">
            <w:pPr>
              <w:spacing w:after="240"/>
              <w:rPr>
                <w:b/>
              </w:rPr>
            </w:pPr>
            <w:r w:rsidRPr="007D661E">
              <w:rPr>
                <w:b/>
              </w:rPr>
              <w:t xml:space="preserve">Long term assets: </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Plant and equipment</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r>
              <w:t>632,730</w:t>
            </w:r>
          </w:p>
        </w:tc>
      </w:tr>
      <w:tr w:rsidR="007D661E" w:rsidTr="007D661E">
        <w:tc>
          <w:tcPr>
            <w:tcW w:w="2510" w:type="dxa"/>
          </w:tcPr>
          <w:p w:rsidR="007D661E" w:rsidRPr="007D661E" w:rsidRDefault="007D661E" w:rsidP="006B5361">
            <w:pPr>
              <w:spacing w:after="240"/>
              <w:rPr>
                <w:b/>
              </w:rPr>
            </w:pPr>
            <w:r w:rsidRPr="007D661E">
              <w:rPr>
                <w:b/>
              </w:rPr>
              <w:t>Current assets:</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lastRenderedPageBreak/>
              <w:t>Debtors</w:t>
            </w:r>
          </w:p>
        </w:tc>
        <w:tc>
          <w:tcPr>
            <w:tcW w:w="2277" w:type="dxa"/>
          </w:tcPr>
          <w:p w:rsidR="007D661E" w:rsidRDefault="007D661E" w:rsidP="006B5361">
            <w:pPr>
              <w:spacing w:after="240"/>
            </w:pPr>
          </w:p>
        </w:tc>
        <w:tc>
          <w:tcPr>
            <w:tcW w:w="1951" w:type="dxa"/>
          </w:tcPr>
          <w:p w:rsidR="007D661E" w:rsidRDefault="00521A3E" w:rsidP="006B5361">
            <w:pPr>
              <w:spacing w:after="240"/>
            </w:pPr>
            <w:r>
              <w:t>170,125</w:t>
            </w: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Cash and bank</w:t>
            </w:r>
          </w:p>
        </w:tc>
        <w:tc>
          <w:tcPr>
            <w:tcW w:w="2277" w:type="dxa"/>
          </w:tcPr>
          <w:p w:rsidR="007D661E" w:rsidRDefault="007D661E" w:rsidP="006B5361">
            <w:pPr>
              <w:spacing w:after="240"/>
            </w:pPr>
          </w:p>
        </w:tc>
        <w:tc>
          <w:tcPr>
            <w:tcW w:w="1951" w:type="dxa"/>
          </w:tcPr>
          <w:p w:rsidR="007D661E" w:rsidRDefault="007D661E" w:rsidP="006B5361">
            <w:pPr>
              <w:spacing w:after="240"/>
            </w:pPr>
            <w:r>
              <w:t>12,900</w:t>
            </w: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Stocks</w:t>
            </w:r>
          </w:p>
        </w:tc>
        <w:tc>
          <w:tcPr>
            <w:tcW w:w="2277" w:type="dxa"/>
          </w:tcPr>
          <w:p w:rsidR="007D661E" w:rsidRDefault="007D661E" w:rsidP="006B5361">
            <w:pPr>
              <w:spacing w:after="240"/>
            </w:pPr>
          </w:p>
        </w:tc>
        <w:tc>
          <w:tcPr>
            <w:tcW w:w="1951" w:type="dxa"/>
          </w:tcPr>
          <w:p w:rsidR="007D661E" w:rsidRPr="007D661E" w:rsidRDefault="007D661E" w:rsidP="006B5361">
            <w:pPr>
              <w:spacing w:after="240"/>
              <w:rPr>
                <w:u w:val="single"/>
              </w:rPr>
            </w:pPr>
            <w:r w:rsidRPr="007D661E">
              <w:rPr>
                <w:u w:val="single"/>
              </w:rPr>
              <w:t>330,600</w:t>
            </w:r>
          </w:p>
        </w:tc>
        <w:tc>
          <w:tcPr>
            <w:tcW w:w="2278" w:type="dxa"/>
          </w:tcPr>
          <w:p w:rsidR="007D661E" w:rsidRPr="007D661E" w:rsidRDefault="007D661E" w:rsidP="006B5361">
            <w:pPr>
              <w:spacing w:after="240"/>
              <w:rPr>
                <w:u w:val="single"/>
              </w:rPr>
            </w:pPr>
          </w:p>
        </w:tc>
      </w:tr>
      <w:tr w:rsidR="007D661E" w:rsidTr="007D661E">
        <w:tc>
          <w:tcPr>
            <w:tcW w:w="2510" w:type="dxa"/>
          </w:tcPr>
          <w:p w:rsidR="007D661E" w:rsidRDefault="007D661E" w:rsidP="006B5361">
            <w:pPr>
              <w:spacing w:after="240"/>
            </w:pPr>
            <w:r>
              <w:t>Current assets</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521A3E" w:rsidP="006B5361">
            <w:pPr>
              <w:spacing w:after="240"/>
            </w:pPr>
            <w:r>
              <w:rPr>
                <w:u w:val="single"/>
              </w:rPr>
              <w:t>513,625</w:t>
            </w:r>
          </w:p>
        </w:tc>
      </w:tr>
      <w:tr w:rsidR="007D661E" w:rsidTr="007D661E">
        <w:tc>
          <w:tcPr>
            <w:tcW w:w="2510" w:type="dxa"/>
          </w:tcPr>
          <w:p w:rsidR="007D661E" w:rsidRPr="007D661E" w:rsidRDefault="007D661E" w:rsidP="006B5361">
            <w:pPr>
              <w:spacing w:after="240"/>
              <w:rPr>
                <w:b/>
              </w:rPr>
            </w:pPr>
            <w:r w:rsidRPr="007D661E">
              <w:rPr>
                <w:b/>
              </w:rPr>
              <w:t>Total assets</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Pr="007D661E" w:rsidRDefault="007D661E" w:rsidP="006B5361">
            <w:pPr>
              <w:spacing w:after="240"/>
              <w:rPr>
                <w:u w:val="double"/>
              </w:rPr>
            </w:pPr>
            <w:r w:rsidRPr="007D661E">
              <w:rPr>
                <w:u w:val="double"/>
              </w:rPr>
              <w:t>1,</w:t>
            </w:r>
            <w:r w:rsidR="00521A3E">
              <w:rPr>
                <w:u w:val="double"/>
              </w:rPr>
              <w:t>146,355</w:t>
            </w:r>
          </w:p>
        </w:tc>
      </w:tr>
      <w:tr w:rsidR="007D661E" w:rsidTr="007D661E">
        <w:tc>
          <w:tcPr>
            <w:tcW w:w="2510" w:type="dxa"/>
          </w:tcPr>
          <w:p w:rsidR="007D661E" w:rsidRPr="007D661E" w:rsidRDefault="007D661E" w:rsidP="006B5361">
            <w:pPr>
              <w:spacing w:after="240"/>
              <w:rPr>
                <w:b/>
              </w:rPr>
            </w:pPr>
            <w:r w:rsidRPr="007D661E">
              <w:rPr>
                <w:b/>
              </w:rPr>
              <w:t>Long term liabilities:</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4% Debentures</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r>
              <w:t>100,000</w:t>
            </w:r>
          </w:p>
        </w:tc>
      </w:tr>
      <w:tr w:rsidR="007D661E" w:rsidTr="007D661E">
        <w:tc>
          <w:tcPr>
            <w:tcW w:w="2510" w:type="dxa"/>
          </w:tcPr>
          <w:p w:rsidR="007D661E" w:rsidRPr="007D661E" w:rsidRDefault="007D661E" w:rsidP="006B5361">
            <w:pPr>
              <w:spacing w:after="240"/>
              <w:rPr>
                <w:b/>
              </w:rPr>
            </w:pPr>
            <w:r w:rsidRPr="007D661E">
              <w:rPr>
                <w:b/>
              </w:rPr>
              <w:t>Current Liabilities</w:t>
            </w:r>
            <w:r>
              <w:rPr>
                <w:b/>
              </w:rPr>
              <w:t>:</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Accrued interest</w:t>
            </w:r>
          </w:p>
        </w:tc>
        <w:tc>
          <w:tcPr>
            <w:tcW w:w="2277" w:type="dxa"/>
          </w:tcPr>
          <w:p w:rsidR="007D661E" w:rsidRDefault="007D661E" w:rsidP="006B5361">
            <w:pPr>
              <w:spacing w:after="240"/>
            </w:pPr>
          </w:p>
        </w:tc>
        <w:tc>
          <w:tcPr>
            <w:tcW w:w="1951" w:type="dxa"/>
          </w:tcPr>
          <w:p w:rsidR="007D661E" w:rsidRDefault="007D661E" w:rsidP="006B5361">
            <w:pPr>
              <w:spacing w:after="240"/>
            </w:pPr>
            <w:r>
              <w:t>2,000</w:t>
            </w: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Trade Creditor</w:t>
            </w:r>
          </w:p>
        </w:tc>
        <w:tc>
          <w:tcPr>
            <w:tcW w:w="2277" w:type="dxa"/>
          </w:tcPr>
          <w:p w:rsidR="007D661E" w:rsidRDefault="007D661E" w:rsidP="006B5361">
            <w:pPr>
              <w:spacing w:after="240"/>
            </w:pPr>
          </w:p>
        </w:tc>
        <w:tc>
          <w:tcPr>
            <w:tcW w:w="1951" w:type="dxa"/>
          </w:tcPr>
          <w:p w:rsidR="007D661E" w:rsidRPr="00521A3E" w:rsidRDefault="007D661E" w:rsidP="006B5361">
            <w:pPr>
              <w:spacing w:after="240"/>
            </w:pPr>
            <w:r w:rsidRPr="00521A3E">
              <w:t>171,355</w:t>
            </w:r>
          </w:p>
        </w:tc>
        <w:tc>
          <w:tcPr>
            <w:tcW w:w="2278" w:type="dxa"/>
          </w:tcPr>
          <w:p w:rsidR="007D661E" w:rsidRDefault="007D661E" w:rsidP="006B5361">
            <w:pPr>
              <w:spacing w:after="240"/>
            </w:pPr>
          </w:p>
        </w:tc>
      </w:tr>
      <w:tr w:rsidR="00521A3E" w:rsidTr="007D661E">
        <w:tc>
          <w:tcPr>
            <w:tcW w:w="2510" w:type="dxa"/>
          </w:tcPr>
          <w:p w:rsidR="00521A3E" w:rsidRDefault="00521A3E" w:rsidP="006B5361">
            <w:pPr>
              <w:spacing w:after="240"/>
            </w:pPr>
            <w:r>
              <w:t>Accrued corporation taxes</w:t>
            </w:r>
          </w:p>
        </w:tc>
        <w:tc>
          <w:tcPr>
            <w:tcW w:w="2277" w:type="dxa"/>
          </w:tcPr>
          <w:p w:rsidR="00521A3E" w:rsidRDefault="00521A3E" w:rsidP="006B5361">
            <w:pPr>
              <w:spacing w:after="240"/>
            </w:pPr>
          </w:p>
        </w:tc>
        <w:tc>
          <w:tcPr>
            <w:tcW w:w="1951" w:type="dxa"/>
          </w:tcPr>
          <w:p w:rsidR="00521A3E" w:rsidRPr="007D661E" w:rsidRDefault="00521A3E" w:rsidP="006B5361">
            <w:pPr>
              <w:spacing w:after="240"/>
              <w:rPr>
                <w:u w:val="single"/>
              </w:rPr>
            </w:pPr>
            <w:r>
              <w:rPr>
                <w:u w:val="single"/>
              </w:rPr>
              <w:t>68000</w:t>
            </w:r>
          </w:p>
        </w:tc>
        <w:tc>
          <w:tcPr>
            <w:tcW w:w="2278" w:type="dxa"/>
          </w:tcPr>
          <w:p w:rsidR="00521A3E" w:rsidRDefault="00521A3E" w:rsidP="006B5361">
            <w:pPr>
              <w:spacing w:after="240"/>
            </w:pPr>
          </w:p>
        </w:tc>
      </w:tr>
      <w:tr w:rsidR="00521A3E" w:rsidTr="007D661E">
        <w:tc>
          <w:tcPr>
            <w:tcW w:w="2510" w:type="dxa"/>
          </w:tcPr>
          <w:p w:rsidR="00521A3E" w:rsidRDefault="00521A3E" w:rsidP="006B5361">
            <w:pPr>
              <w:spacing w:after="240"/>
            </w:pPr>
            <w:r>
              <w:t>Total current liability</w:t>
            </w:r>
          </w:p>
        </w:tc>
        <w:tc>
          <w:tcPr>
            <w:tcW w:w="2277" w:type="dxa"/>
          </w:tcPr>
          <w:p w:rsidR="00521A3E" w:rsidRDefault="00521A3E" w:rsidP="006B5361">
            <w:pPr>
              <w:spacing w:after="240"/>
            </w:pPr>
          </w:p>
        </w:tc>
        <w:tc>
          <w:tcPr>
            <w:tcW w:w="1951" w:type="dxa"/>
          </w:tcPr>
          <w:p w:rsidR="00521A3E" w:rsidRDefault="00521A3E" w:rsidP="006B5361">
            <w:pPr>
              <w:spacing w:after="240"/>
              <w:rPr>
                <w:u w:val="single"/>
              </w:rPr>
            </w:pPr>
          </w:p>
        </w:tc>
        <w:tc>
          <w:tcPr>
            <w:tcW w:w="2278" w:type="dxa"/>
          </w:tcPr>
          <w:p w:rsidR="00521A3E" w:rsidRDefault="00521A3E" w:rsidP="006B5361">
            <w:pPr>
              <w:spacing w:after="240"/>
            </w:pPr>
            <w:r>
              <w:t>241,355</w:t>
            </w:r>
          </w:p>
        </w:tc>
      </w:tr>
      <w:tr w:rsidR="00521A3E" w:rsidTr="007D661E">
        <w:tc>
          <w:tcPr>
            <w:tcW w:w="2510" w:type="dxa"/>
          </w:tcPr>
          <w:p w:rsidR="00521A3E" w:rsidRDefault="00521A3E" w:rsidP="006B5361">
            <w:pPr>
              <w:spacing w:after="240"/>
            </w:pPr>
          </w:p>
        </w:tc>
        <w:tc>
          <w:tcPr>
            <w:tcW w:w="2277" w:type="dxa"/>
          </w:tcPr>
          <w:p w:rsidR="00521A3E" w:rsidRDefault="00521A3E" w:rsidP="006B5361">
            <w:pPr>
              <w:spacing w:after="240"/>
            </w:pPr>
          </w:p>
        </w:tc>
        <w:tc>
          <w:tcPr>
            <w:tcW w:w="1951" w:type="dxa"/>
          </w:tcPr>
          <w:p w:rsidR="00521A3E" w:rsidRDefault="00521A3E" w:rsidP="006B5361">
            <w:pPr>
              <w:spacing w:after="240"/>
              <w:rPr>
                <w:u w:val="single"/>
              </w:rPr>
            </w:pPr>
          </w:p>
        </w:tc>
        <w:tc>
          <w:tcPr>
            <w:tcW w:w="2278" w:type="dxa"/>
          </w:tcPr>
          <w:p w:rsidR="00521A3E" w:rsidRDefault="00521A3E" w:rsidP="006B5361">
            <w:pPr>
              <w:spacing w:after="240"/>
            </w:pPr>
          </w:p>
        </w:tc>
      </w:tr>
      <w:tr w:rsidR="007D661E" w:rsidTr="007D661E">
        <w:tc>
          <w:tcPr>
            <w:tcW w:w="2510" w:type="dxa"/>
          </w:tcPr>
          <w:p w:rsidR="007D661E" w:rsidRPr="007D661E" w:rsidRDefault="007D661E" w:rsidP="006B5361">
            <w:pPr>
              <w:spacing w:after="240"/>
              <w:rPr>
                <w:b/>
              </w:rPr>
            </w:pPr>
            <w:r w:rsidRPr="007D661E">
              <w:rPr>
                <w:b/>
              </w:rPr>
              <w:t>Shareholder’s equity:</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Ordinary share</w:t>
            </w:r>
          </w:p>
        </w:tc>
        <w:tc>
          <w:tcPr>
            <w:tcW w:w="2277" w:type="dxa"/>
          </w:tcPr>
          <w:p w:rsidR="007D661E" w:rsidRDefault="007D661E" w:rsidP="006B5361">
            <w:pPr>
              <w:spacing w:after="240"/>
            </w:pPr>
            <w:r>
              <w:t>310,000</w:t>
            </w: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Preference shares</w:t>
            </w:r>
          </w:p>
        </w:tc>
        <w:tc>
          <w:tcPr>
            <w:tcW w:w="2277" w:type="dxa"/>
          </w:tcPr>
          <w:p w:rsidR="007D661E" w:rsidRDefault="007D661E" w:rsidP="006B5361">
            <w:pPr>
              <w:spacing w:after="240"/>
            </w:pPr>
            <w:r>
              <w:t>300,000</w:t>
            </w: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Default="007D661E" w:rsidP="006B5361">
            <w:pPr>
              <w:spacing w:after="240"/>
            </w:pPr>
            <w:r>
              <w:t>Retained earnings</w:t>
            </w:r>
          </w:p>
        </w:tc>
        <w:tc>
          <w:tcPr>
            <w:tcW w:w="2277" w:type="dxa"/>
          </w:tcPr>
          <w:p w:rsidR="007D661E" w:rsidRPr="007D661E" w:rsidRDefault="007D661E" w:rsidP="006B5361">
            <w:pPr>
              <w:spacing w:after="240"/>
              <w:rPr>
                <w:u w:val="single"/>
              </w:rPr>
            </w:pPr>
            <w:r w:rsidRPr="007D661E">
              <w:rPr>
                <w:u w:val="single"/>
              </w:rPr>
              <w:t>195,000</w:t>
            </w:r>
          </w:p>
        </w:tc>
        <w:tc>
          <w:tcPr>
            <w:tcW w:w="1951" w:type="dxa"/>
          </w:tcPr>
          <w:p w:rsidR="007D661E" w:rsidRDefault="007D661E" w:rsidP="006B5361">
            <w:pPr>
              <w:spacing w:after="240"/>
            </w:pPr>
          </w:p>
        </w:tc>
        <w:tc>
          <w:tcPr>
            <w:tcW w:w="2278" w:type="dxa"/>
          </w:tcPr>
          <w:p w:rsidR="007D661E" w:rsidRDefault="007D661E" w:rsidP="006B5361">
            <w:pPr>
              <w:spacing w:after="240"/>
            </w:pPr>
          </w:p>
        </w:tc>
      </w:tr>
      <w:tr w:rsidR="007D661E" w:rsidTr="007D661E">
        <w:tc>
          <w:tcPr>
            <w:tcW w:w="2510" w:type="dxa"/>
          </w:tcPr>
          <w:p w:rsidR="007D661E" w:rsidRPr="00521A3E" w:rsidRDefault="00521A3E" w:rsidP="006B5361">
            <w:pPr>
              <w:spacing w:after="240"/>
              <w:rPr>
                <w:b/>
              </w:rPr>
            </w:pPr>
            <w:r w:rsidRPr="00521A3E">
              <w:rPr>
                <w:b/>
              </w:rPr>
              <w:t>Shareholder’s equity</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Pr="00521A3E" w:rsidRDefault="00521A3E" w:rsidP="006B5361">
            <w:pPr>
              <w:spacing w:after="240"/>
              <w:rPr>
                <w:u w:val="single"/>
              </w:rPr>
            </w:pPr>
            <w:r w:rsidRPr="00521A3E">
              <w:rPr>
                <w:u w:val="single"/>
              </w:rPr>
              <w:t>805,000</w:t>
            </w:r>
          </w:p>
        </w:tc>
      </w:tr>
      <w:tr w:rsidR="007D661E" w:rsidTr="007D661E">
        <w:tc>
          <w:tcPr>
            <w:tcW w:w="2510" w:type="dxa"/>
          </w:tcPr>
          <w:p w:rsidR="007D661E" w:rsidRPr="00521A3E" w:rsidRDefault="00521A3E" w:rsidP="006B5361">
            <w:pPr>
              <w:spacing w:after="240"/>
              <w:rPr>
                <w:b/>
              </w:rPr>
            </w:pPr>
            <w:r w:rsidRPr="00521A3E">
              <w:rPr>
                <w:b/>
              </w:rPr>
              <w:t>Total liability and shareholders’ equity</w:t>
            </w:r>
          </w:p>
        </w:tc>
        <w:tc>
          <w:tcPr>
            <w:tcW w:w="2277" w:type="dxa"/>
          </w:tcPr>
          <w:p w:rsidR="007D661E" w:rsidRDefault="007D661E" w:rsidP="006B5361">
            <w:pPr>
              <w:spacing w:after="240"/>
            </w:pPr>
          </w:p>
        </w:tc>
        <w:tc>
          <w:tcPr>
            <w:tcW w:w="1951" w:type="dxa"/>
          </w:tcPr>
          <w:p w:rsidR="007D661E" w:rsidRDefault="007D661E" w:rsidP="006B5361">
            <w:pPr>
              <w:spacing w:after="240"/>
            </w:pPr>
          </w:p>
        </w:tc>
        <w:tc>
          <w:tcPr>
            <w:tcW w:w="2278" w:type="dxa"/>
          </w:tcPr>
          <w:p w:rsidR="007D661E" w:rsidRPr="00521A3E" w:rsidRDefault="00521A3E" w:rsidP="006B5361">
            <w:pPr>
              <w:spacing w:after="240"/>
              <w:rPr>
                <w:u w:val="double"/>
              </w:rPr>
            </w:pPr>
            <w:r w:rsidRPr="00521A3E">
              <w:rPr>
                <w:u w:val="double"/>
              </w:rPr>
              <w:t>1146,355</w:t>
            </w:r>
          </w:p>
        </w:tc>
      </w:tr>
    </w:tbl>
    <w:p w:rsidR="00DF2EF9" w:rsidRDefault="00DF2EF9" w:rsidP="006B5361">
      <w:pPr>
        <w:spacing w:after="240"/>
      </w:pPr>
    </w:p>
    <w:p w:rsidR="00A972A7" w:rsidRDefault="003B219C" w:rsidP="006B5361">
      <w:pPr>
        <w:pStyle w:val="Heading2"/>
        <w:spacing w:after="240"/>
      </w:pPr>
      <w:bookmarkStart w:id="3" w:name="_Toc77895374"/>
      <w:r>
        <w:lastRenderedPageBreak/>
        <w:t>b) Explaining the reason of statement of financial position equilibriums with their balances</w:t>
      </w:r>
      <w:bookmarkEnd w:id="3"/>
    </w:p>
    <w:p w:rsidR="00A972A7" w:rsidRPr="00826654" w:rsidRDefault="003B219C" w:rsidP="006B5361">
      <w:pPr>
        <w:spacing w:after="240"/>
        <w:rPr>
          <w:shd w:val="clear" w:color="auto" w:fill="FFFFFF"/>
        </w:rPr>
      </w:pPr>
      <w:r>
        <w:t xml:space="preserve">While talking regarding the statement of financial position, the </w:t>
      </w:r>
      <w:r w:rsidR="001C3E43">
        <w:t xml:space="preserve">sides of their </w:t>
      </w:r>
      <w:r>
        <w:t>balance</w:t>
      </w:r>
      <w:r w:rsidR="001C3E43">
        <w:t xml:space="preserve">sare always balanced </w:t>
      </w:r>
      <w:r>
        <w:t>because of working as an accounting equation</w:t>
      </w:r>
      <w:r w:rsidR="009D6670">
        <w:rPr>
          <w:shd w:val="clear" w:color="auto" w:fill="FFFFFF"/>
        </w:rPr>
        <w:t>(Vintilă and Nenu, 2016)</w:t>
      </w:r>
      <w:r>
        <w:t xml:space="preserve">. Here, the assets of the organisation are balanced with the liabilities and shareholders' equity of the firm. In general, the financial statement of the company is prepared for a certain date to demonstrate the financial </w:t>
      </w:r>
      <w:r w:rsidR="001C3E43">
        <w:t xml:space="preserve">condition </w:t>
      </w:r>
      <w:r>
        <w:t>of the</w:t>
      </w:r>
      <w:r w:rsidR="001C3E43">
        <w:t xml:space="preserve"> corporation</w:t>
      </w:r>
      <w:r>
        <w:t xml:space="preserve">. Moreover, the statement of financial position is the output of a double-entry system where every transaction is put into two sides with an equal amount of balances. For this reason, </w:t>
      </w:r>
      <w:r w:rsidR="00826654">
        <w:t>when the ledgers accounts are used to prepare the financial statement of position, the assets sides which represent debits balances with the credit side of shareholders’ equity and liabilities of the company.</w:t>
      </w:r>
    </w:p>
    <w:p w:rsidR="006B5361" w:rsidRDefault="006B5361" w:rsidP="006B5361">
      <w:pPr>
        <w:spacing w:after="240"/>
        <w:jc w:val="left"/>
        <w:rPr>
          <w:rFonts w:eastAsiaTheme="majorEastAsia" w:cstheme="majorBidi"/>
          <w:b/>
          <w:color w:val="000000" w:themeColor="text1"/>
          <w:sz w:val="32"/>
          <w:szCs w:val="32"/>
        </w:rPr>
      </w:pPr>
      <w:bookmarkStart w:id="4" w:name="_Toc77895375"/>
      <w:r>
        <w:br w:type="page"/>
      </w:r>
    </w:p>
    <w:p w:rsidR="00A972A7" w:rsidRDefault="003B219C" w:rsidP="006B5361">
      <w:pPr>
        <w:pStyle w:val="Heading1"/>
        <w:spacing w:after="240"/>
      </w:pPr>
      <w:r>
        <w:lastRenderedPageBreak/>
        <w:t>Question 2</w:t>
      </w:r>
      <w:bookmarkEnd w:id="4"/>
    </w:p>
    <w:p w:rsidR="00A01A6B" w:rsidRPr="00A01A6B" w:rsidRDefault="003B219C" w:rsidP="006B5361">
      <w:pPr>
        <w:spacing w:after="240"/>
        <w:rPr>
          <w:rStyle w:val="Heading2Char"/>
        </w:rPr>
      </w:pPr>
      <w:bookmarkStart w:id="5" w:name="_Toc77895376"/>
      <w:r w:rsidRPr="00A01A6B">
        <w:rPr>
          <w:rStyle w:val="Heading2Char"/>
        </w:rPr>
        <w:t>a) Calculating ratio for Chocco Plc. in the below section-</w:t>
      </w:r>
      <w:bookmarkEnd w:id="5"/>
    </w:p>
    <w:p w:rsidR="00A01A6B" w:rsidRPr="009D6670" w:rsidRDefault="003B219C" w:rsidP="006B5361">
      <w:pPr>
        <w:spacing w:after="240"/>
        <w:rPr>
          <w:shd w:val="clear" w:color="auto" w:fill="FFFFFF"/>
        </w:rPr>
      </w:pPr>
      <w:r>
        <w:t>The financial ratio represents the financial efficacy and performance of the Company. The ratio analysis is considered one of the most effective quantitative analysis tools that an organisation uses to gather a profound understanding of the performance and future prospects of the organisation</w:t>
      </w:r>
      <w:r w:rsidR="009D6670">
        <w:rPr>
          <w:shd w:val="clear" w:color="auto" w:fill="FFFFFF"/>
        </w:rPr>
        <w:t>(Amalia et al., 2020)</w:t>
      </w:r>
      <w:r>
        <w:t>. Moreover, they provide the organisation with signaling regarding the upcoming disasters and support the organisation in preparing against such challenges. Financial ratios are being able to evaluate short-term and long-term performance which gives the tools an edge with dealing with business prospects. The calculation of the required ratios are-</w:t>
      </w:r>
    </w:p>
    <w:p w:rsidR="00A01A6B" w:rsidRPr="009D6670" w:rsidRDefault="003B219C" w:rsidP="006B5361">
      <w:pPr>
        <w:spacing w:after="240"/>
        <w:rPr>
          <w:shd w:val="clear" w:color="auto" w:fill="FFFFFF"/>
        </w:rPr>
      </w:pPr>
      <w:r w:rsidRPr="00A01A6B">
        <w:rPr>
          <w:b/>
        </w:rPr>
        <w:t>ROCE:</w:t>
      </w:r>
      <w:r>
        <w:t xml:space="preserve"> ROCE is also regarded as a return on capital employed. The ratio determines</w:t>
      </w:r>
      <w:r w:rsidR="00643199">
        <w:t xml:space="preserve"> the profitability of the company concerning capital employed by ChoccoPlc</w:t>
      </w:r>
      <w:r w:rsidR="009D6670">
        <w:rPr>
          <w:shd w:val="clear" w:color="auto" w:fill="FFFFFF"/>
        </w:rPr>
        <w:t>(Amelia, 2015)</w:t>
      </w:r>
      <w:r w:rsidR="00643199">
        <w:t>. With the help of ROCE analysis, the companies which tend to be more capital intensive can determine the efficiency of capital employed by the corporation generation more profit for the company. Return on capital employed is calculated by dividing EBIT by capital employed by the organisation. The subsequent section will demonstrate the calculation of ROCE for Chocco Plc.:</w:t>
      </w:r>
    </w:p>
    <w:tbl>
      <w:tblPr>
        <w:tblStyle w:val="GridTable4"/>
        <w:tblW w:w="0" w:type="auto"/>
        <w:tblLook w:val="04A0"/>
      </w:tblPr>
      <w:tblGrid>
        <w:gridCol w:w="2068"/>
        <w:gridCol w:w="2093"/>
        <w:gridCol w:w="2479"/>
        <w:gridCol w:w="2602"/>
      </w:tblGrid>
      <w:tr w:rsidR="00CD7A72" w:rsidTr="00CD7A72">
        <w:trPr>
          <w:cnfStyle w:val="100000000000"/>
        </w:trPr>
        <w:tc>
          <w:tcPr>
            <w:cnfStyle w:val="001000000000"/>
            <w:tcW w:w="2254" w:type="dxa"/>
          </w:tcPr>
          <w:p w:rsidR="00643199" w:rsidRDefault="003B219C" w:rsidP="006B5361">
            <w:pPr>
              <w:spacing w:after="240"/>
            </w:pPr>
            <w:r>
              <w:t>Ratio Analysis</w:t>
            </w:r>
          </w:p>
        </w:tc>
        <w:tc>
          <w:tcPr>
            <w:tcW w:w="2254" w:type="dxa"/>
          </w:tcPr>
          <w:p w:rsidR="00643199" w:rsidRDefault="003B219C" w:rsidP="006B5361">
            <w:pPr>
              <w:spacing w:after="240"/>
              <w:cnfStyle w:val="100000000000"/>
            </w:pPr>
            <w:r>
              <w:t>Ratio Calculation</w:t>
            </w:r>
          </w:p>
        </w:tc>
        <w:tc>
          <w:tcPr>
            <w:tcW w:w="2254" w:type="dxa"/>
          </w:tcPr>
          <w:p w:rsidR="00643199" w:rsidRDefault="003B219C" w:rsidP="006B5361">
            <w:pPr>
              <w:spacing w:after="240"/>
              <w:cnfStyle w:val="100000000000"/>
            </w:pPr>
            <w:r>
              <w:t>2020</w:t>
            </w:r>
          </w:p>
        </w:tc>
        <w:tc>
          <w:tcPr>
            <w:tcW w:w="2254" w:type="dxa"/>
          </w:tcPr>
          <w:p w:rsidR="00643199" w:rsidRDefault="003B219C" w:rsidP="006B5361">
            <w:pPr>
              <w:spacing w:after="240"/>
              <w:cnfStyle w:val="100000000000"/>
            </w:pPr>
            <w:r>
              <w:t>2019</w:t>
            </w:r>
          </w:p>
        </w:tc>
      </w:tr>
      <w:tr w:rsidR="00CD7A72" w:rsidTr="00CD7A72">
        <w:trPr>
          <w:cnfStyle w:val="000000100000"/>
        </w:trPr>
        <w:tc>
          <w:tcPr>
            <w:cnfStyle w:val="001000000000"/>
            <w:tcW w:w="2254" w:type="dxa"/>
          </w:tcPr>
          <w:p w:rsidR="00643199" w:rsidRDefault="003B219C" w:rsidP="006B5361">
            <w:pPr>
              <w:spacing w:after="240"/>
            </w:pPr>
            <w:r>
              <w:t>Return on Capital Employed</w:t>
            </w:r>
          </w:p>
        </w:tc>
        <w:tc>
          <w:tcPr>
            <w:tcW w:w="2254" w:type="dxa"/>
          </w:tcPr>
          <w:p w:rsidR="00643199" w:rsidRDefault="003B219C" w:rsidP="006B5361">
            <w:pPr>
              <w:spacing w:after="240"/>
              <w:cnfStyle w:val="000000100000"/>
            </w:pPr>
            <w:r>
              <w:t>EBIT/ Capital employed</w:t>
            </w:r>
          </w:p>
        </w:tc>
        <w:tc>
          <w:tcPr>
            <w:tcW w:w="2254" w:type="dxa"/>
          </w:tcPr>
          <w:p w:rsidR="00643199" w:rsidRDefault="003B219C" w:rsidP="006B5361">
            <w:pPr>
              <w:spacing w:after="240"/>
              <w:cnfStyle w:val="000000100000"/>
            </w:pPr>
            <w:r>
              <w:t>(431+189+226)/(9</w:t>
            </w:r>
            <w:r w:rsidR="006E3BA3">
              <w:t>,</w:t>
            </w:r>
            <w:r>
              <w:t>736-2</w:t>
            </w:r>
            <w:r w:rsidR="006E3BA3">
              <w:t>,</w:t>
            </w:r>
            <w:r>
              <w:t>511)</w:t>
            </w:r>
            <w:r w:rsidR="00844E4D">
              <w:t>*100</w:t>
            </w:r>
            <w:r>
              <w:t>=</w:t>
            </w:r>
            <w:r w:rsidR="00844E4D">
              <w:t>11.71%</w:t>
            </w:r>
          </w:p>
        </w:tc>
        <w:tc>
          <w:tcPr>
            <w:tcW w:w="2254" w:type="dxa"/>
          </w:tcPr>
          <w:p w:rsidR="00643199" w:rsidRDefault="003B219C" w:rsidP="006B5361">
            <w:pPr>
              <w:spacing w:after="240"/>
              <w:cnfStyle w:val="000000100000"/>
            </w:pPr>
            <w:r>
              <w:t>(366+173+181)/(10</w:t>
            </w:r>
            <w:r w:rsidR="006E3BA3">
              <w:t>,</w:t>
            </w:r>
            <w:r>
              <w:t>087-3</w:t>
            </w:r>
            <w:r w:rsidR="006E3BA3">
              <w:t>,</w:t>
            </w:r>
            <w:r>
              <w:t>046)=</w:t>
            </w:r>
            <w:r w:rsidR="00844E4D">
              <w:t>10.23%</w:t>
            </w:r>
          </w:p>
        </w:tc>
      </w:tr>
    </w:tbl>
    <w:p w:rsidR="00643199" w:rsidRDefault="00643199" w:rsidP="006B5361">
      <w:pPr>
        <w:spacing w:after="240"/>
      </w:pPr>
    </w:p>
    <w:p w:rsidR="00A01A6B" w:rsidRDefault="003B219C" w:rsidP="006B5361">
      <w:pPr>
        <w:spacing w:after="240"/>
      </w:pPr>
      <w:r>
        <w:t>*Capital employed is measured through deducting current liabilities from the total assets available to the company.</w:t>
      </w:r>
    </w:p>
    <w:p w:rsidR="00934AE8" w:rsidRDefault="003B219C" w:rsidP="006B5361">
      <w:pPr>
        <w:spacing w:after="240"/>
      </w:pPr>
      <w:r>
        <w:t>*The formula of EBIT or Earnings before interest and taxes:</w:t>
      </w:r>
    </w:p>
    <w:p w:rsidR="00934AE8" w:rsidRDefault="003B219C" w:rsidP="006B5361">
      <w:pPr>
        <w:spacing w:after="240"/>
      </w:pPr>
      <w:r>
        <w:t>EBIT= Profit+ Taxes+ interest</w:t>
      </w:r>
    </w:p>
    <w:p w:rsidR="00934AE8" w:rsidRDefault="003B219C" w:rsidP="006B5361">
      <w:pPr>
        <w:spacing w:after="240"/>
      </w:pPr>
      <w:r w:rsidRPr="00844E4D">
        <w:rPr>
          <w:b/>
        </w:rPr>
        <w:lastRenderedPageBreak/>
        <w:t>ROE:</w:t>
      </w:r>
      <w:r w:rsidR="00844E4D">
        <w:t xml:space="preserve"> Return on Equity refers to the return available to the shareholders/ Equity holders of the company after deducting all kinds of expenses of the company</w:t>
      </w:r>
      <w:r w:rsidR="009D6670">
        <w:rPr>
          <w:shd w:val="clear" w:color="auto" w:fill="FFFFFF"/>
        </w:rPr>
        <w:t>(Easton et al., 2018)</w:t>
      </w:r>
      <w:r w:rsidR="00844E4D">
        <w:t>. Through gaining a high return of equity, the company demonstrates its ability to generate higher returns against equity invested by the shareholders. Return on Equity is measured by dividing net income by total shareholders' equity. The subsequent section will calculate return on equity-</w:t>
      </w:r>
    </w:p>
    <w:tbl>
      <w:tblPr>
        <w:tblStyle w:val="GridTable4"/>
        <w:tblW w:w="0" w:type="auto"/>
        <w:tblLook w:val="04A0"/>
      </w:tblPr>
      <w:tblGrid>
        <w:gridCol w:w="1953"/>
        <w:gridCol w:w="2073"/>
        <w:gridCol w:w="2608"/>
        <w:gridCol w:w="2608"/>
      </w:tblGrid>
      <w:tr w:rsidR="00CD7A72" w:rsidTr="00CD7A72">
        <w:trPr>
          <w:cnfStyle w:val="100000000000"/>
        </w:trPr>
        <w:tc>
          <w:tcPr>
            <w:cnfStyle w:val="001000000000"/>
            <w:tcW w:w="2254" w:type="dxa"/>
          </w:tcPr>
          <w:p w:rsidR="00934AE8" w:rsidRDefault="003B219C" w:rsidP="006B5361">
            <w:pPr>
              <w:spacing w:after="240"/>
            </w:pPr>
            <w:r>
              <w:t>Ratio Analysis</w:t>
            </w:r>
          </w:p>
        </w:tc>
        <w:tc>
          <w:tcPr>
            <w:tcW w:w="2254" w:type="dxa"/>
          </w:tcPr>
          <w:p w:rsidR="00934AE8" w:rsidRDefault="003B219C" w:rsidP="006B5361">
            <w:pPr>
              <w:spacing w:after="240"/>
              <w:cnfStyle w:val="100000000000"/>
            </w:pPr>
            <w:r>
              <w:t>Ratio Calculation</w:t>
            </w:r>
          </w:p>
        </w:tc>
        <w:tc>
          <w:tcPr>
            <w:tcW w:w="2254" w:type="dxa"/>
          </w:tcPr>
          <w:p w:rsidR="00934AE8" w:rsidRDefault="003B219C" w:rsidP="006B5361">
            <w:pPr>
              <w:spacing w:after="240"/>
              <w:cnfStyle w:val="100000000000"/>
            </w:pPr>
            <w:r>
              <w:t>2020</w:t>
            </w:r>
          </w:p>
        </w:tc>
        <w:tc>
          <w:tcPr>
            <w:tcW w:w="2254" w:type="dxa"/>
          </w:tcPr>
          <w:p w:rsidR="00934AE8" w:rsidRDefault="003B219C" w:rsidP="006B5361">
            <w:pPr>
              <w:spacing w:after="240"/>
              <w:cnfStyle w:val="100000000000"/>
            </w:pPr>
            <w:r>
              <w:t>2019</w:t>
            </w:r>
          </w:p>
        </w:tc>
      </w:tr>
      <w:tr w:rsidR="00CD7A72" w:rsidTr="00CD7A72">
        <w:trPr>
          <w:cnfStyle w:val="000000100000"/>
        </w:trPr>
        <w:tc>
          <w:tcPr>
            <w:cnfStyle w:val="001000000000"/>
            <w:tcW w:w="2254" w:type="dxa"/>
          </w:tcPr>
          <w:p w:rsidR="00934AE8" w:rsidRDefault="003B219C" w:rsidP="006B5361">
            <w:pPr>
              <w:spacing w:after="240"/>
            </w:pPr>
            <w:r>
              <w:t>Return on Equity</w:t>
            </w:r>
          </w:p>
        </w:tc>
        <w:tc>
          <w:tcPr>
            <w:tcW w:w="2254" w:type="dxa"/>
          </w:tcPr>
          <w:p w:rsidR="00934AE8" w:rsidRDefault="003B219C" w:rsidP="006B5361">
            <w:pPr>
              <w:spacing w:after="240"/>
              <w:cnfStyle w:val="000000100000"/>
            </w:pPr>
            <w:r>
              <w:t>Net income/ Shareholders’ equity</w:t>
            </w:r>
          </w:p>
        </w:tc>
        <w:tc>
          <w:tcPr>
            <w:tcW w:w="2254" w:type="dxa"/>
          </w:tcPr>
          <w:p w:rsidR="00934AE8" w:rsidRDefault="003B219C" w:rsidP="006B5361">
            <w:pPr>
              <w:spacing w:after="240"/>
              <w:cnfStyle w:val="000000100000"/>
            </w:pPr>
            <w:r>
              <w:t>(431/3088)*100=13.96%</w:t>
            </w:r>
          </w:p>
        </w:tc>
        <w:tc>
          <w:tcPr>
            <w:tcW w:w="2254" w:type="dxa"/>
          </w:tcPr>
          <w:p w:rsidR="00934AE8" w:rsidRDefault="003B219C" w:rsidP="006B5361">
            <w:pPr>
              <w:spacing w:after="240"/>
              <w:cnfStyle w:val="000000100000"/>
            </w:pPr>
            <w:r>
              <w:t>(366/2912)*100=12.57%</w:t>
            </w:r>
          </w:p>
        </w:tc>
      </w:tr>
    </w:tbl>
    <w:p w:rsidR="00934AE8" w:rsidRDefault="00934AE8" w:rsidP="006B5361">
      <w:pPr>
        <w:spacing w:after="240"/>
      </w:pPr>
    </w:p>
    <w:p w:rsidR="00A01A6B" w:rsidRPr="009D6670" w:rsidRDefault="003B219C" w:rsidP="006B5361">
      <w:pPr>
        <w:spacing w:after="240"/>
        <w:rPr>
          <w:shd w:val="clear" w:color="auto" w:fill="FFFFFF"/>
        </w:rPr>
      </w:pPr>
      <w:r w:rsidRPr="006E3BA3">
        <w:rPr>
          <w:b/>
        </w:rPr>
        <w:t>Earnings per share:</w:t>
      </w:r>
      <w:r w:rsidR="001C3E43">
        <w:t xml:space="preserve">It </w:t>
      </w:r>
      <w:r w:rsidR="006E3BA3">
        <w:t>refers to the portion of net earnings distributed to each share of the company</w:t>
      </w:r>
      <w:r w:rsidR="009D6670">
        <w:rPr>
          <w:shd w:val="clear" w:color="auto" w:fill="FFFFFF"/>
        </w:rPr>
        <w:t>(Husain and Sunardi, 2020)</w:t>
      </w:r>
      <w:r w:rsidR="006E3BA3">
        <w:t xml:space="preserve">. EPS indicates how much return individual stocks are making as well as helps in determining the value of the company. </w:t>
      </w:r>
      <w:r w:rsidR="001C3E43">
        <w:t xml:space="preserve">The calculation of EPS can be found out </w:t>
      </w:r>
      <w:r w:rsidR="006E3BA3">
        <w:t>by dividing net income by the number of common shares outstanding. The below section will demonstrate EPS calculation-</w:t>
      </w:r>
    </w:p>
    <w:tbl>
      <w:tblPr>
        <w:tblStyle w:val="GridTable4"/>
        <w:tblW w:w="0" w:type="auto"/>
        <w:tblLook w:val="04A0"/>
      </w:tblPr>
      <w:tblGrid>
        <w:gridCol w:w="2254"/>
        <w:gridCol w:w="2691"/>
        <w:gridCol w:w="1817"/>
        <w:gridCol w:w="2254"/>
      </w:tblGrid>
      <w:tr w:rsidR="00CD7A72" w:rsidTr="00CD7A72">
        <w:trPr>
          <w:cnfStyle w:val="100000000000"/>
        </w:trPr>
        <w:tc>
          <w:tcPr>
            <w:cnfStyle w:val="001000000000"/>
            <w:tcW w:w="2254" w:type="dxa"/>
          </w:tcPr>
          <w:p w:rsidR="00934AE8" w:rsidRDefault="003B219C" w:rsidP="006B5361">
            <w:pPr>
              <w:spacing w:after="240"/>
            </w:pPr>
            <w:r>
              <w:t>Ratio Analysis</w:t>
            </w:r>
          </w:p>
        </w:tc>
        <w:tc>
          <w:tcPr>
            <w:tcW w:w="2691" w:type="dxa"/>
          </w:tcPr>
          <w:p w:rsidR="00934AE8" w:rsidRDefault="003B219C" w:rsidP="006B5361">
            <w:pPr>
              <w:spacing w:after="240"/>
              <w:cnfStyle w:val="100000000000"/>
            </w:pPr>
            <w:r>
              <w:t>Ratio Calculation</w:t>
            </w:r>
          </w:p>
        </w:tc>
        <w:tc>
          <w:tcPr>
            <w:tcW w:w="1817" w:type="dxa"/>
          </w:tcPr>
          <w:p w:rsidR="00934AE8" w:rsidRDefault="003B219C" w:rsidP="006B5361">
            <w:pPr>
              <w:spacing w:after="240"/>
              <w:cnfStyle w:val="100000000000"/>
            </w:pPr>
            <w:r>
              <w:t>2020</w:t>
            </w:r>
          </w:p>
        </w:tc>
        <w:tc>
          <w:tcPr>
            <w:tcW w:w="2254" w:type="dxa"/>
          </w:tcPr>
          <w:p w:rsidR="00934AE8" w:rsidRDefault="003B219C" w:rsidP="006B5361">
            <w:pPr>
              <w:spacing w:after="240"/>
              <w:cnfStyle w:val="100000000000"/>
            </w:pPr>
            <w:r>
              <w:t>2019</w:t>
            </w:r>
          </w:p>
        </w:tc>
      </w:tr>
      <w:tr w:rsidR="00CD7A72" w:rsidTr="00CD7A72">
        <w:trPr>
          <w:cnfStyle w:val="000000100000"/>
        </w:trPr>
        <w:tc>
          <w:tcPr>
            <w:cnfStyle w:val="001000000000"/>
            <w:tcW w:w="2254" w:type="dxa"/>
          </w:tcPr>
          <w:p w:rsidR="00934AE8" w:rsidRDefault="003B219C" w:rsidP="006B5361">
            <w:pPr>
              <w:spacing w:after="240"/>
            </w:pPr>
            <w:r>
              <w:t>Earnings per share</w:t>
            </w:r>
          </w:p>
        </w:tc>
        <w:tc>
          <w:tcPr>
            <w:tcW w:w="2691" w:type="dxa"/>
          </w:tcPr>
          <w:p w:rsidR="00934AE8" w:rsidRDefault="003B219C" w:rsidP="006B5361">
            <w:pPr>
              <w:spacing w:after="240"/>
              <w:cnfStyle w:val="000000100000"/>
            </w:pPr>
            <w:r>
              <w:t>Net income/ Number of shares outstanding</w:t>
            </w:r>
          </w:p>
        </w:tc>
        <w:tc>
          <w:tcPr>
            <w:tcW w:w="1817" w:type="dxa"/>
          </w:tcPr>
          <w:p w:rsidR="00934AE8" w:rsidRDefault="003B219C" w:rsidP="006B5361">
            <w:pPr>
              <w:spacing w:after="240"/>
              <w:cnfStyle w:val="000000100000"/>
            </w:pPr>
            <w:r>
              <w:t>431/600= 0.72</w:t>
            </w:r>
          </w:p>
        </w:tc>
        <w:tc>
          <w:tcPr>
            <w:tcW w:w="2254" w:type="dxa"/>
          </w:tcPr>
          <w:p w:rsidR="00934AE8" w:rsidRDefault="003B219C" w:rsidP="006B5361">
            <w:pPr>
              <w:spacing w:after="240"/>
              <w:cnfStyle w:val="000000100000"/>
            </w:pPr>
            <w:r>
              <w:t>366/600=0.61</w:t>
            </w:r>
          </w:p>
        </w:tc>
      </w:tr>
    </w:tbl>
    <w:p w:rsidR="00A01A6B" w:rsidRDefault="00A01A6B" w:rsidP="006B5361">
      <w:pPr>
        <w:spacing w:after="240"/>
      </w:pPr>
    </w:p>
    <w:p w:rsidR="00A01A6B" w:rsidRPr="009D6670" w:rsidRDefault="003B219C" w:rsidP="006B5361">
      <w:pPr>
        <w:spacing w:after="240"/>
        <w:rPr>
          <w:shd w:val="clear" w:color="auto" w:fill="FFFFFF"/>
        </w:rPr>
      </w:pPr>
      <w:r w:rsidRPr="004444AF">
        <w:rPr>
          <w:b/>
        </w:rPr>
        <w:t>Net profit margin:</w:t>
      </w:r>
      <w:r w:rsidR="004444AF">
        <w:t xml:space="preserve"> Net profit margin is the profitability indicator that determines the percentage of net margin concerning revenue that is left for investors</w:t>
      </w:r>
      <w:r w:rsidR="009D6670">
        <w:rPr>
          <w:shd w:val="clear" w:color="auto" w:fill="FFFFFF"/>
        </w:rPr>
        <w:t>(Maaloul and Zeghal, 2015)</w:t>
      </w:r>
      <w:r w:rsidR="004444AF">
        <w:t xml:space="preserve">. With a high net profit margin, the organisation can have higher sustainability in comparison to its competitors. </w:t>
      </w:r>
      <w:r w:rsidR="001C3E43">
        <w:t>The amount of t</w:t>
      </w:r>
      <w:r w:rsidR="004444AF">
        <w:t xml:space="preserve">he net profit margin is </w:t>
      </w:r>
      <w:r w:rsidR="001C3E43">
        <w:t xml:space="preserve">found out </w:t>
      </w:r>
      <w:r w:rsidR="004444AF">
        <w:t>by apportioning net profit with revenue earned by the organisation. The below section will showcase the net profit margin-</w:t>
      </w:r>
    </w:p>
    <w:tbl>
      <w:tblPr>
        <w:tblStyle w:val="GridTable4"/>
        <w:tblW w:w="0" w:type="auto"/>
        <w:tblLook w:val="04A0"/>
      </w:tblPr>
      <w:tblGrid>
        <w:gridCol w:w="2221"/>
        <w:gridCol w:w="2229"/>
        <w:gridCol w:w="2547"/>
        <w:gridCol w:w="2245"/>
      </w:tblGrid>
      <w:tr w:rsidR="00CD7A72" w:rsidTr="00CD7A72">
        <w:trPr>
          <w:cnfStyle w:val="100000000000"/>
        </w:trPr>
        <w:tc>
          <w:tcPr>
            <w:cnfStyle w:val="001000000000"/>
            <w:tcW w:w="2254" w:type="dxa"/>
          </w:tcPr>
          <w:p w:rsidR="00934AE8" w:rsidRDefault="003B219C" w:rsidP="006B5361">
            <w:pPr>
              <w:spacing w:after="240"/>
            </w:pPr>
            <w:r>
              <w:t>Ratio Analysis</w:t>
            </w:r>
          </w:p>
        </w:tc>
        <w:tc>
          <w:tcPr>
            <w:tcW w:w="2254" w:type="dxa"/>
          </w:tcPr>
          <w:p w:rsidR="00934AE8" w:rsidRDefault="003B219C" w:rsidP="006B5361">
            <w:pPr>
              <w:spacing w:after="240"/>
              <w:cnfStyle w:val="100000000000"/>
            </w:pPr>
            <w:r>
              <w:t>Ratio Calculation</w:t>
            </w:r>
          </w:p>
        </w:tc>
        <w:tc>
          <w:tcPr>
            <w:tcW w:w="2254" w:type="dxa"/>
          </w:tcPr>
          <w:p w:rsidR="00934AE8" w:rsidRDefault="003B219C" w:rsidP="006B5361">
            <w:pPr>
              <w:spacing w:after="240"/>
              <w:cnfStyle w:val="100000000000"/>
            </w:pPr>
            <w:r>
              <w:t>2020</w:t>
            </w:r>
          </w:p>
        </w:tc>
        <w:tc>
          <w:tcPr>
            <w:tcW w:w="2254" w:type="dxa"/>
          </w:tcPr>
          <w:p w:rsidR="00934AE8" w:rsidRDefault="003B219C" w:rsidP="006B5361">
            <w:pPr>
              <w:spacing w:after="240"/>
              <w:cnfStyle w:val="100000000000"/>
            </w:pPr>
            <w:r>
              <w:t>2019</w:t>
            </w:r>
          </w:p>
        </w:tc>
      </w:tr>
      <w:tr w:rsidR="00CD7A72" w:rsidTr="00CD7A72">
        <w:trPr>
          <w:cnfStyle w:val="000000100000"/>
        </w:trPr>
        <w:tc>
          <w:tcPr>
            <w:cnfStyle w:val="001000000000"/>
            <w:tcW w:w="2254" w:type="dxa"/>
          </w:tcPr>
          <w:p w:rsidR="00934AE8" w:rsidRDefault="003B219C" w:rsidP="006B5361">
            <w:pPr>
              <w:spacing w:after="240"/>
            </w:pPr>
            <w:r>
              <w:lastRenderedPageBreak/>
              <w:t>Net profit margin</w:t>
            </w:r>
          </w:p>
        </w:tc>
        <w:tc>
          <w:tcPr>
            <w:tcW w:w="2254" w:type="dxa"/>
          </w:tcPr>
          <w:p w:rsidR="00934AE8" w:rsidRDefault="003B219C" w:rsidP="006B5361">
            <w:pPr>
              <w:spacing w:after="240"/>
              <w:cnfStyle w:val="000000100000"/>
            </w:pPr>
            <w:r>
              <w:t>Net profit/ Total revenue</w:t>
            </w:r>
          </w:p>
        </w:tc>
        <w:tc>
          <w:tcPr>
            <w:tcW w:w="2254" w:type="dxa"/>
          </w:tcPr>
          <w:p w:rsidR="00934AE8" w:rsidRDefault="003B219C" w:rsidP="006B5361">
            <w:pPr>
              <w:spacing w:after="240"/>
              <w:cnfStyle w:val="000000100000"/>
            </w:pPr>
            <w:r>
              <w:t>(</w:t>
            </w:r>
            <w:r w:rsidR="004444AF">
              <w:t>431/6,738</w:t>
            </w:r>
            <w:r>
              <w:t>)*100</w:t>
            </w:r>
            <w:r w:rsidR="004444AF">
              <w:t>=</w:t>
            </w:r>
            <w:r>
              <w:t>6.40%</w:t>
            </w:r>
          </w:p>
        </w:tc>
        <w:tc>
          <w:tcPr>
            <w:tcW w:w="2254" w:type="dxa"/>
          </w:tcPr>
          <w:p w:rsidR="00934AE8" w:rsidRDefault="003B219C" w:rsidP="006B5361">
            <w:pPr>
              <w:spacing w:after="240"/>
              <w:cnfStyle w:val="000000100000"/>
            </w:pPr>
            <w:r>
              <w:t>366/6,441=</w:t>
            </w:r>
            <w:r w:rsidR="005F110B">
              <w:t>5.68%</w:t>
            </w:r>
          </w:p>
        </w:tc>
      </w:tr>
    </w:tbl>
    <w:p w:rsidR="00A01A6B" w:rsidRDefault="00A01A6B" w:rsidP="006B5361">
      <w:pPr>
        <w:spacing w:after="240"/>
      </w:pPr>
    </w:p>
    <w:p w:rsidR="00A01A6B" w:rsidRPr="009D6670" w:rsidRDefault="003B219C" w:rsidP="006B5361">
      <w:pPr>
        <w:spacing w:after="240"/>
        <w:rPr>
          <w:shd w:val="clear" w:color="auto" w:fill="FFFFFF"/>
        </w:rPr>
      </w:pPr>
      <w:r w:rsidRPr="00E23DE2">
        <w:rPr>
          <w:b/>
        </w:rPr>
        <w:t>Asset turnover</w:t>
      </w:r>
      <w:r w:rsidR="00E23DE2" w:rsidRPr="00E23DE2">
        <w:rPr>
          <w:b/>
        </w:rPr>
        <w:t xml:space="preserve"> ratio</w:t>
      </w:r>
      <w:r w:rsidR="00E23DE2">
        <w:rPr>
          <w:b/>
        </w:rPr>
        <w:t xml:space="preserve">: </w:t>
      </w:r>
      <w:r w:rsidR="001C3E43">
        <w:t xml:space="preserve">It </w:t>
      </w:r>
      <w:bookmarkStart w:id="6" w:name="_GoBack"/>
      <w:bookmarkEnd w:id="6"/>
      <w:r w:rsidR="00E23DE2">
        <w:t>refers to the ability to utilise assets in generating sales for the organisation</w:t>
      </w:r>
      <w:r w:rsidR="009D6670">
        <w:rPr>
          <w:shd w:val="clear" w:color="auto" w:fill="FFFFFF"/>
        </w:rPr>
        <w:t>(Malik et al., 2016)</w:t>
      </w:r>
      <w:r w:rsidR="00E23DE2">
        <w:t>. With a high asset turnover ratio, the organisation can make a higher return from the investment made in assets. The asset turnover ratio is calculated by dividing revenue by total assets available at the hands of the company. The below section will showcase the calculation of asset turnover ratio-</w:t>
      </w:r>
    </w:p>
    <w:tbl>
      <w:tblPr>
        <w:tblStyle w:val="GridTable4"/>
        <w:tblW w:w="0" w:type="auto"/>
        <w:tblLayout w:type="fixed"/>
        <w:tblLook w:val="04A0"/>
      </w:tblPr>
      <w:tblGrid>
        <w:gridCol w:w="1885"/>
        <w:gridCol w:w="2700"/>
        <w:gridCol w:w="2250"/>
        <w:gridCol w:w="1997"/>
      </w:tblGrid>
      <w:tr w:rsidR="00CD7A72" w:rsidTr="00CD7A72">
        <w:trPr>
          <w:cnfStyle w:val="100000000000"/>
        </w:trPr>
        <w:tc>
          <w:tcPr>
            <w:cnfStyle w:val="001000000000"/>
            <w:tcW w:w="1885" w:type="dxa"/>
          </w:tcPr>
          <w:p w:rsidR="00E23DE2" w:rsidRDefault="003B219C" w:rsidP="006B5361">
            <w:pPr>
              <w:spacing w:after="240"/>
            </w:pPr>
            <w:r>
              <w:t>Ratio Analysis</w:t>
            </w:r>
          </w:p>
        </w:tc>
        <w:tc>
          <w:tcPr>
            <w:tcW w:w="2700" w:type="dxa"/>
          </w:tcPr>
          <w:p w:rsidR="00E23DE2" w:rsidRDefault="003B219C" w:rsidP="006B5361">
            <w:pPr>
              <w:spacing w:after="240"/>
              <w:cnfStyle w:val="100000000000"/>
            </w:pPr>
            <w:r>
              <w:t>Ratio Calculation</w:t>
            </w:r>
          </w:p>
        </w:tc>
        <w:tc>
          <w:tcPr>
            <w:tcW w:w="2250" w:type="dxa"/>
          </w:tcPr>
          <w:p w:rsidR="00E23DE2" w:rsidRDefault="003B219C" w:rsidP="006B5361">
            <w:pPr>
              <w:spacing w:after="240"/>
              <w:cnfStyle w:val="100000000000"/>
            </w:pPr>
            <w:r>
              <w:t>2020</w:t>
            </w:r>
          </w:p>
        </w:tc>
        <w:tc>
          <w:tcPr>
            <w:tcW w:w="1997" w:type="dxa"/>
          </w:tcPr>
          <w:p w:rsidR="00E23DE2" w:rsidRDefault="003B219C" w:rsidP="006B5361">
            <w:pPr>
              <w:spacing w:after="240"/>
              <w:cnfStyle w:val="100000000000"/>
            </w:pPr>
            <w:r>
              <w:t>2019</w:t>
            </w:r>
          </w:p>
        </w:tc>
      </w:tr>
      <w:tr w:rsidR="00CD7A72" w:rsidTr="00CD7A72">
        <w:trPr>
          <w:cnfStyle w:val="000000100000"/>
        </w:trPr>
        <w:tc>
          <w:tcPr>
            <w:cnfStyle w:val="001000000000"/>
            <w:tcW w:w="1885" w:type="dxa"/>
          </w:tcPr>
          <w:p w:rsidR="00E23DE2" w:rsidRDefault="003B219C" w:rsidP="006B5361">
            <w:pPr>
              <w:spacing w:after="240"/>
            </w:pPr>
            <w:r>
              <w:t>Asset turnover ratio</w:t>
            </w:r>
          </w:p>
        </w:tc>
        <w:tc>
          <w:tcPr>
            <w:tcW w:w="2700" w:type="dxa"/>
          </w:tcPr>
          <w:p w:rsidR="00E23DE2" w:rsidRDefault="003B219C" w:rsidP="006B5361">
            <w:pPr>
              <w:spacing w:after="240"/>
              <w:cnfStyle w:val="000000100000"/>
            </w:pPr>
            <w:r>
              <w:t>Revenue/ Total assets</w:t>
            </w:r>
          </w:p>
        </w:tc>
        <w:tc>
          <w:tcPr>
            <w:tcW w:w="2250" w:type="dxa"/>
          </w:tcPr>
          <w:p w:rsidR="00E23DE2" w:rsidRDefault="003B219C" w:rsidP="006B5361">
            <w:pPr>
              <w:spacing w:after="240"/>
              <w:cnfStyle w:val="000000100000"/>
            </w:pPr>
            <w:r>
              <w:t>(6,738/9,736)*100=69.21%</w:t>
            </w:r>
          </w:p>
        </w:tc>
        <w:tc>
          <w:tcPr>
            <w:tcW w:w="1997" w:type="dxa"/>
          </w:tcPr>
          <w:p w:rsidR="00E23DE2" w:rsidRDefault="003B219C" w:rsidP="006B5361">
            <w:pPr>
              <w:spacing w:after="240"/>
              <w:cnfStyle w:val="000000100000"/>
            </w:pPr>
            <w:r>
              <w:t>(6,441/10,087)*100=63.85%</w:t>
            </w:r>
          </w:p>
        </w:tc>
      </w:tr>
    </w:tbl>
    <w:p w:rsidR="00A01A6B" w:rsidRDefault="00A01A6B" w:rsidP="006B5361">
      <w:pPr>
        <w:spacing w:after="240"/>
      </w:pPr>
    </w:p>
    <w:p w:rsidR="00A01A6B" w:rsidRPr="009D6670" w:rsidRDefault="003B219C" w:rsidP="006B5361">
      <w:pPr>
        <w:spacing w:after="240"/>
        <w:rPr>
          <w:shd w:val="clear" w:color="auto" w:fill="FFFFFF"/>
        </w:rPr>
      </w:pPr>
      <w:r w:rsidRPr="0054745D">
        <w:rPr>
          <w:b/>
        </w:rPr>
        <w:t>Stockholding days:</w:t>
      </w:r>
      <w:r w:rsidR="00E45496">
        <w:t xml:space="preserve"> Stock holding days or inventory</w:t>
      </w:r>
      <w:r w:rsidR="0054745D">
        <w:t xml:space="preserve"> days refers to the period takes for converting stock into sales</w:t>
      </w:r>
      <w:r w:rsidR="009D6670">
        <w:rPr>
          <w:shd w:val="clear" w:color="auto" w:fill="FFFFFF"/>
        </w:rPr>
        <w:t>(Nalurita, 2017)</w:t>
      </w:r>
      <w:r w:rsidR="0054745D">
        <w:t>. With low stock holding time, the organisation show efficiency in converting stock as well as utilising funds trapped into the inventory of the company. The stock holding days are calculated by dividing the average inventory by the average cost of goods sold. The below section will demonstrate the calculation of Stock holding days-</w:t>
      </w:r>
    </w:p>
    <w:tbl>
      <w:tblPr>
        <w:tblStyle w:val="GridTable4"/>
        <w:tblW w:w="0" w:type="auto"/>
        <w:tblLayout w:type="fixed"/>
        <w:tblLook w:val="04A0"/>
      </w:tblPr>
      <w:tblGrid>
        <w:gridCol w:w="1766"/>
        <w:gridCol w:w="2639"/>
        <w:gridCol w:w="1932"/>
        <w:gridCol w:w="2679"/>
      </w:tblGrid>
      <w:tr w:rsidR="00CD7A72" w:rsidTr="00CD7A72">
        <w:trPr>
          <w:cnfStyle w:val="100000000000"/>
        </w:trPr>
        <w:tc>
          <w:tcPr>
            <w:cnfStyle w:val="001000000000"/>
            <w:tcW w:w="1766" w:type="dxa"/>
          </w:tcPr>
          <w:p w:rsidR="00934AE8" w:rsidRDefault="003B219C" w:rsidP="006B5361">
            <w:pPr>
              <w:spacing w:after="240"/>
            </w:pPr>
            <w:r>
              <w:t>Ratio Analysis</w:t>
            </w:r>
          </w:p>
        </w:tc>
        <w:tc>
          <w:tcPr>
            <w:tcW w:w="2639" w:type="dxa"/>
          </w:tcPr>
          <w:p w:rsidR="00934AE8" w:rsidRDefault="003B219C" w:rsidP="006B5361">
            <w:pPr>
              <w:spacing w:after="240"/>
              <w:cnfStyle w:val="100000000000"/>
            </w:pPr>
            <w:r>
              <w:t>Ratio Calculation</w:t>
            </w:r>
          </w:p>
        </w:tc>
        <w:tc>
          <w:tcPr>
            <w:tcW w:w="1932" w:type="dxa"/>
          </w:tcPr>
          <w:p w:rsidR="00934AE8" w:rsidRDefault="003B219C" w:rsidP="006B5361">
            <w:pPr>
              <w:spacing w:after="240"/>
              <w:cnfStyle w:val="100000000000"/>
            </w:pPr>
            <w:r>
              <w:t>2020</w:t>
            </w:r>
          </w:p>
        </w:tc>
        <w:tc>
          <w:tcPr>
            <w:tcW w:w="2679" w:type="dxa"/>
          </w:tcPr>
          <w:p w:rsidR="00934AE8" w:rsidRDefault="003B219C" w:rsidP="006B5361">
            <w:pPr>
              <w:spacing w:after="240"/>
              <w:cnfStyle w:val="100000000000"/>
            </w:pPr>
            <w:r>
              <w:t>2019</w:t>
            </w:r>
          </w:p>
        </w:tc>
      </w:tr>
      <w:tr w:rsidR="00CD7A72" w:rsidTr="00CD7A72">
        <w:trPr>
          <w:cnfStyle w:val="000000100000"/>
        </w:trPr>
        <w:tc>
          <w:tcPr>
            <w:cnfStyle w:val="001000000000"/>
            <w:tcW w:w="1766" w:type="dxa"/>
          </w:tcPr>
          <w:p w:rsidR="00934AE8" w:rsidRDefault="003B219C" w:rsidP="006B5361">
            <w:pPr>
              <w:spacing w:after="240"/>
            </w:pPr>
            <w:r>
              <w:t>Stock holding days</w:t>
            </w:r>
          </w:p>
        </w:tc>
        <w:tc>
          <w:tcPr>
            <w:tcW w:w="2639" w:type="dxa"/>
          </w:tcPr>
          <w:p w:rsidR="00934AE8" w:rsidRDefault="003B219C" w:rsidP="006B5361">
            <w:pPr>
              <w:spacing w:after="240"/>
              <w:cnfStyle w:val="000000100000"/>
            </w:pPr>
            <w:r>
              <w:t>(Cost of average inventory/ Cost of goods sold)*365</w:t>
            </w:r>
          </w:p>
        </w:tc>
        <w:tc>
          <w:tcPr>
            <w:tcW w:w="1932" w:type="dxa"/>
          </w:tcPr>
          <w:p w:rsidR="00934AE8" w:rsidRDefault="003B219C" w:rsidP="006B5361">
            <w:pPr>
              <w:spacing w:after="240"/>
              <w:cnfStyle w:val="000000100000"/>
            </w:pPr>
            <w:r>
              <w:t>(708/3,235)*365=79.88 days</w:t>
            </w:r>
          </w:p>
        </w:tc>
        <w:tc>
          <w:tcPr>
            <w:tcW w:w="2679" w:type="dxa"/>
          </w:tcPr>
          <w:p w:rsidR="00934AE8" w:rsidRDefault="003B219C" w:rsidP="006B5361">
            <w:pPr>
              <w:spacing w:after="240"/>
              <w:cnfStyle w:val="000000100000"/>
            </w:pPr>
            <w:r>
              <w:t>(659/3,096)*365=77.69 days</w:t>
            </w:r>
          </w:p>
        </w:tc>
      </w:tr>
    </w:tbl>
    <w:p w:rsidR="00A01A6B" w:rsidRDefault="00A01A6B" w:rsidP="006B5361">
      <w:pPr>
        <w:spacing w:after="240"/>
      </w:pPr>
    </w:p>
    <w:p w:rsidR="00A01A6B" w:rsidRPr="009D6670" w:rsidRDefault="003B219C" w:rsidP="006B5361">
      <w:pPr>
        <w:spacing w:after="240"/>
      </w:pPr>
      <w:r w:rsidRPr="005224A6">
        <w:rPr>
          <w:b/>
        </w:rPr>
        <w:t>Debtor’</w:t>
      </w:r>
      <w:r w:rsidR="005224A6">
        <w:rPr>
          <w:b/>
        </w:rPr>
        <w:t xml:space="preserve">s collection period: </w:t>
      </w:r>
      <w:r w:rsidR="005224A6">
        <w:t>The debtor's collection period indicates the period by which trade receivables are converted into cash and cash-equivalent assets</w:t>
      </w:r>
      <w:r w:rsidR="009D6670">
        <w:rPr>
          <w:shd w:val="clear" w:color="auto" w:fill="FFFFFF"/>
        </w:rPr>
        <w:t>(Robinson, 2020)</w:t>
      </w:r>
      <w:r w:rsidR="005224A6">
        <w:t xml:space="preserve">. When the organisation will have low debtor collection, the organisation will have a quicker conversion period from account receivables into </w:t>
      </w:r>
      <w:r w:rsidR="005224A6">
        <w:lastRenderedPageBreak/>
        <w:t>cash. In short, the cash conversion cycle will be short. The below section will demonstrate the calculation of the debtor's collection period:</w:t>
      </w:r>
    </w:p>
    <w:tbl>
      <w:tblPr>
        <w:tblStyle w:val="GridTable4"/>
        <w:tblW w:w="0" w:type="auto"/>
        <w:tblLayout w:type="fixed"/>
        <w:tblLook w:val="04A0"/>
      </w:tblPr>
      <w:tblGrid>
        <w:gridCol w:w="1937"/>
        <w:gridCol w:w="2468"/>
        <w:gridCol w:w="1799"/>
        <w:gridCol w:w="2812"/>
      </w:tblGrid>
      <w:tr w:rsidR="00CD7A72" w:rsidTr="00CD7A72">
        <w:trPr>
          <w:cnfStyle w:val="100000000000"/>
        </w:trPr>
        <w:tc>
          <w:tcPr>
            <w:cnfStyle w:val="001000000000"/>
            <w:tcW w:w="1937" w:type="dxa"/>
          </w:tcPr>
          <w:p w:rsidR="00934AE8" w:rsidRDefault="003B219C" w:rsidP="006B5361">
            <w:pPr>
              <w:spacing w:after="240"/>
            </w:pPr>
            <w:r>
              <w:t>Ratio Analysis</w:t>
            </w:r>
          </w:p>
        </w:tc>
        <w:tc>
          <w:tcPr>
            <w:tcW w:w="2468" w:type="dxa"/>
          </w:tcPr>
          <w:p w:rsidR="00934AE8" w:rsidRDefault="003B219C" w:rsidP="006B5361">
            <w:pPr>
              <w:spacing w:after="240"/>
              <w:cnfStyle w:val="100000000000"/>
            </w:pPr>
            <w:r>
              <w:t>Ratio Calculation</w:t>
            </w:r>
          </w:p>
        </w:tc>
        <w:tc>
          <w:tcPr>
            <w:tcW w:w="1799" w:type="dxa"/>
          </w:tcPr>
          <w:p w:rsidR="00934AE8" w:rsidRDefault="003B219C" w:rsidP="006B5361">
            <w:pPr>
              <w:spacing w:after="240"/>
              <w:cnfStyle w:val="100000000000"/>
            </w:pPr>
            <w:r>
              <w:t>2020</w:t>
            </w:r>
          </w:p>
        </w:tc>
        <w:tc>
          <w:tcPr>
            <w:tcW w:w="2812" w:type="dxa"/>
          </w:tcPr>
          <w:p w:rsidR="00934AE8" w:rsidRDefault="003B219C" w:rsidP="006B5361">
            <w:pPr>
              <w:spacing w:after="240"/>
              <w:cnfStyle w:val="100000000000"/>
            </w:pPr>
            <w:r>
              <w:t>2019</w:t>
            </w:r>
          </w:p>
        </w:tc>
      </w:tr>
      <w:tr w:rsidR="00CD7A72" w:rsidTr="00CD7A72">
        <w:trPr>
          <w:cnfStyle w:val="000000100000"/>
        </w:trPr>
        <w:tc>
          <w:tcPr>
            <w:cnfStyle w:val="001000000000"/>
            <w:tcW w:w="1937" w:type="dxa"/>
          </w:tcPr>
          <w:p w:rsidR="00934AE8" w:rsidRDefault="003B219C" w:rsidP="006B5361">
            <w:pPr>
              <w:spacing w:after="240"/>
            </w:pPr>
            <w:r>
              <w:t>Debtor’s collection period</w:t>
            </w:r>
          </w:p>
        </w:tc>
        <w:tc>
          <w:tcPr>
            <w:tcW w:w="2468" w:type="dxa"/>
          </w:tcPr>
          <w:p w:rsidR="00934AE8" w:rsidRDefault="003B219C" w:rsidP="006B5361">
            <w:pPr>
              <w:spacing w:after="240"/>
              <w:cnfStyle w:val="000000100000"/>
            </w:pPr>
            <w:r>
              <w:t>(Trade receivables/ sales on credit)*365</w:t>
            </w:r>
          </w:p>
        </w:tc>
        <w:tc>
          <w:tcPr>
            <w:tcW w:w="1799" w:type="dxa"/>
          </w:tcPr>
          <w:p w:rsidR="00934AE8" w:rsidRDefault="003B219C" w:rsidP="006B5361">
            <w:pPr>
              <w:spacing w:after="240"/>
              <w:cnfStyle w:val="000000100000"/>
            </w:pPr>
            <w:r>
              <w:t>(1249/ 6738)*365=67.56 days</w:t>
            </w:r>
          </w:p>
        </w:tc>
        <w:tc>
          <w:tcPr>
            <w:tcW w:w="2812" w:type="dxa"/>
          </w:tcPr>
          <w:p w:rsidR="00934AE8" w:rsidRDefault="003B219C" w:rsidP="006B5361">
            <w:pPr>
              <w:spacing w:after="240"/>
              <w:cnfStyle w:val="000000100000"/>
            </w:pPr>
            <w:r>
              <w:t>(1287/6,441)*365=72.93 days</w:t>
            </w:r>
          </w:p>
        </w:tc>
      </w:tr>
    </w:tbl>
    <w:p w:rsidR="00A01A6B" w:rsidRDefault="00A01A6B" w:rsidP="006B5361">
      <w:pPr>
        <w:spacing w:after="240"/>
      </w:pPr>
    </w:p>
    <w:p w:rsidR="00A01A6B" w:rsidRPr="009D6670" w:rsidRDefault="003B219C" w:rsidP="006B5361">
      <w:pPr>
        <w:spacing w:after="240"/>
        <w:rPr>
          <w:shd w:val="clear" w:color="auto" w:fill="FFFFFF"/>
        </w:rPr>
      </w:pPr>
      <w:r w:rsidRPr="005224A6">
        <w:rPr>
          <w:b/>
        </w:rPr>
        <w:t>Current ratio:</w:t>
      </w:r>
      <w:r w:rsidR="005224A6">
        <w:t xml:space="preserve"> Current asset ratio is the liquidity measurement ratio that showcases how much liquidity that the organisation holds to cover its short-term liabilities</w:t>
      </w:r>
      <w:r w:rsidR="009D6670">
        <w:rPr>
          <w:shd w:val="clear" w:color="auto" w:fill="FFFFFF"/>
        </w:rPr>
        <w:t>(SUTHAR, 2018)</w:t>
      </w:r>
      <w:r w:rsidR="005224A6">
        <w:t>. The current asset ratio is measured with current assets divided by the current liabilities of the business. The following section will demonstrate the current ratio calculation:</w:t>
      </w:r>
    </w:p>
    <w:tbl>
      <w:tblPr>
        <w:tblStyle w:val="GridTable4"/>
        <w:tblW w:w="0" w:type="auto"/>
        <w:tblLayout w:type="fixed"/>
        <w:tblLook w:val="04A0"/>
      </w:tblPr>
      <w:tblGrid>
        <w:gridCol w:w="1988"/>
        <w:gridCol w:w="2867"/>
        <w:gridCol w:w="2070"/>
        <w:gridCol w:w="2091"/>
      </w:tblGrid>
      <w:tr w:rsidR="00CD7A72" w:rsidTr="00CD7A72">
        <w:trPr>
          <w:cnfStyle w:val="100000000000"/>
        </w:trPr>
        <w:tc>
          <w:tcPr>
            <w:cnfStyle w:val="001000000000"/>
            <w:tcW w:w="1988" w:type="dxa"/>
          </w:tcPr>
          <w:p w:rsidR="00934AE8" w:rsidRDefault="003B219C" w:rsidP="006B5361">
            <w:pPr>
              <w:spacing w:after="240"/>
            </w:pPr>
            <w:r>
              <w:t>Ratio Analysis</w:t>
            </w:r>
          </w:p>
        </w:tc>
        <w:tc>
          <w:tcPr>
            <w:tcW w:w="2867" w:type="dxa"/>
          </w:tcPr>
          <w:p w:rsidR="00934AE8" w:rsidRDefault="003B219C" w:rsidP="006B5361">
            <w:pPr>
              <w:spacing w:after="240"/>
              <w:cnfStyle w:val="100000000000"/>
            </w:pPr>
            <w:r>
              <w:t>Ratio Calculation</w:t>
            </w:r>
          </w:p>
        </w:tc>
        <w:tc>
          <w:tcPr>
            <w:tcW w:w="2070" w:type="dxa"/>
          </w:tcPr>
          <w:p w:rsidR="00934AE8" w:rsidRDefault="003B219C" w:rsidP="006B5361">
            <w:pPr>
              <w:spacing w:after="240"/>
              <w:cnfStyle w:val="100000000000"/>
            </w:pPr>
            <w:r>
              <w:t>2020</w:t>
            </w:r>
          </w:p>
        </w:tc>
        <w:tc>
          <w:tcPr>
            <w:tcW w:w="2091" w:type="dxa"/>
          </w:tcPr>
          <w:p w:rsidR="00934AE8" w:rsidRDefault="003B219C" w:rsidP="006B5361">
            <w:pPr>
              <w:spacing w:after="240"/>
              <w:cnfStyle w:val="100000000000"/>
            </w:pPr>
            <w:r>
              <w:t>2019</w:t>
            </w:r>
          </w:p>
        </w:tc>
      </w:tr>
      <w:tr w:rsidR="00CD7A72" w:rsidTr="00CD7A72">
        <w:trPr>
          <w:cnfStyle w:val="000000100000"/>
        </w:trPr>
        <w:tc>
          <w:tcPr>
            <w:cnfStyle w:val="001000000000"/>
            <w:tcW w:w="1988" w:type="dxa"/>
          </w:tcPr>
          <w:p w:rsidR="00934AE8" w:rsidRDefault="003B219C" w:rsidP="006B5361">
            <w:pPr>
              <w:spacing w:after="240"/>
            </w:pPr>
            <w:r>
              <w:t xml:space="preserve">Current asset ratio </w:t>
            </w:r>
          </w:p>
        </w:tc>
        <w:tc>
          <w:tcPr>
            <w:tcW w:w="2867" w:type="dxa"/>
          </w:tcPr>
          <w:p w:rsidR="00934AE8" w:rsidRDefault="003B219C" w:rsidP="006B5361">
            <w:pPr>
              <w:spacing w:after="240"/>
              <w:cnfStyle w:val="000000100000"/>
            </w:pPr>
            <w:r>
              <w:t>(Current assets/ Current liabilities)*100</w:t>
            </w:r>
          </w:p>
        </w:tc>
        <w:tc>
          <w:tcPr>
            <w:tcW w:w="2070" w:type="dxa"/>
          </w:tcPr>
          <w:p w:rsidR="00934AE8" w:rsidRDefault="003B219C" w:rsidP="006B5361">
            <w:pPr>
              <w:spacing w:after="240"/>
              <w:cnfStyle w:val="000000100000"/>
            </w:pPr>
            <w:r>
              <w:t>(2,303/2,511)=0.91:1</w:t>
            </w:r>
          </w:p>
        </w:tc>
        <w:tc>
          <w:tcPr>
            <w:tcW w:w="2091" w:type="dxa"/>
          </w:tcPr>
          <w:p w:rsidR="00934AE8" w:rsidRDefault="003B219C" w:rsidP="006B5361">
            <w:pPr>
              <w:spacing w:after="240"/>
              <w:cnfStyle w:val="000000100000"/>
            </w:pPr>
            <w:r>
              <w:t>(2,355/3,046)=0.77:1</w:t>
            </w:r>
          </w:p>
        </w:tc>
      </w:tr>
    </w:tbl>
    <w:p w:rsidR="00A01A6B" w:rsidRDefault="00A01A6B" w:rsidP="006B5361">
      <w:pPr>
        <w:spacing w:after="240"/>
      </w:pPr>
    </w:p>
    <w:p w:rsidR="00A01A6B" w:rsidRPr="009D6670" w:rsidRDefault="003B219C" w:rsidP="006B5361">
      <w:pPr>
        <w:spacing w:after="240"/>
        <w:rPr>
          <w:shd w:val="clear" w:color="auto" w:fill="FFFFFF"/>
        </w:rPr>
      </w:pPr>
      <w:r w:rsidRPr="000A0459">
        <w:rPr>
          <w:b/>
        </w:rPr>
        <w:t>Gearing ratio:</w:t>
      </w:r>
      <w:r>
        <w:t xml:space="preserve"> The gearing ratio compares the stockholder's equity with the debt of the organisation and provided information regarding the financial leverage and stability. If the company bears a high gearing ratio, the organisation encounters a high risk of liquidation or bankruptcy</w:t>
      </w:r>
      <w:r w:rsidR="009D6670">
        <w:rPr>
          <w:shd w:val="clear" w:color="auto" w:fill="FFFFFF"/>
        </w:rPr>
        <w:t>(Tran et al., 2016)</w:t>
      </w:r>
      <w:r>
        <w:t>. The formula of gearing ratio includes total debt divided by the shareholders' equity. The following section will demonstrate the calculation of gearing ratio-</w:t>
      </w:r>
    </w:p>
    <w:tbl>
      <w:tblPr>
        <w:tblStyle w:val="GridTable4"/>
        <w:tblW w:w="0" w:type="auto"/>
        <w:tblLayout w:type="fixed"/>
        <w:tblLook w:val="04A0"/>
      </w:tblPr>
      <w:tblGrid>
        <w:gridCol w:w="1829"/>
        <w:gridCol w:w="2477"/>
        <w:gridCol w:w="2169"/>
        <w:gridCol w:w="2541"/>
      </w:tblGrid>
      <w:tr w:rsidR="00CD7A72" w:rsidTr="00CD7A72">
        <w:trPr>
          <w:cnfStyle w:val="100000000000"/>
        </w:trPr>
        <w:tc>
          <w:tcPr>
            <w:cnfStyle w:val="001000000000"/>
            <w:tcW w:w="1829" w:type="dxa"/>
          </w:tcPr>
          <w:p w:rsidR="00934AE8" w:rsidRDefault="003B219C" w:rsidP="006B5361">
            <w:pPr>
              <w:spacing w:after="240"/>
            </w:pPr>
            <w:r>
              <w:t>Ratio Analysis</w:t>
            </w:r>
          </w:p>
        </w:tc>
        <w:tc>
          <w:tcPr>
            <w:tcW w:w="2477" w:type="dxa"/>
          </w:tcPr>
          <w:p w:rsidR="00934AE8" w:rsidRDefault="003B219C" w:rsidP="006B5361">
            <w:pPr>
              <w:spacing w:after="240"/>
              <w:cnfStyle w:val="100000000000"/>
            </w:pPr>
            <w:r>
              <w:t>Ratio Calculation</w:t>
            </w:r>
          </w:p>
        </w:tc>
        <w:tc>
          <w:tcPr>
            <w:tcW w:w="2169" w:type="dxa"/>
          </w:tcPr>
          <w:p w:rsidR="00934AE8" w:rsidRDefault="003B219C" w:rsidP="006B5361">
            <w:pPr>
              <w:spacing w:after="240"/>
              <w:cnfStyle w:val="100000000000"/>
            </w:pPr>
            <w:r>
              <w:t>2020</w:t>
            </w:r>
          </w:p>
        </w:tc>
        <w:tc>
          <w:tcPr>
            <w:tcW w:w="2541" w:type="dxa"/>
          </w:tcPr>
          <w:p w:rsidR="00934AE8" w:rsidRDefault="003B219C" w:rsidP="006B5361">
            <w:pPr>
              <w:spacing w:after="240"/>
              <w:cnfStyle w:val="100000000000"/>
            </w:pPr>
            <w:r>
              <w:t>2019</w:t>
            </w:r>
          </w:p>
        </w:tc>
      </w:tr>
      <w:tr w:rsidR="00CD7A72" w:rsidTr="00CD7A72">
        <w:trPr>
          <w:cnfStyle w:val="000000100000"/>
        </w:trPr>
        <w:tc>
          <w:tcPr>
            <w:cnfStyle w:val="001000000000"/>
            <w:tcW w:w="1829" w:type="dxa"/>
          </w:tcPr>
          <w:p w:rsidR="00934AE8" w:rsidRDefault="003B219C" w:rsidP="006B5361">
            <w:pPr>
              <w:spacing w:after="240"/>
            </w:pPr>
            <w:r>
              <w:t>Gearing ratio</w:t>
            </w:r>
          </w:p>
        </w:tc>
        <w:tc>
          <w:tcPr>
            <w:tcW w:w="2477" w:type="dxa"/>
          </w:tcPr>
          <w:p w:rsidR="00934AE8" w:rsidRDefault="003B219C" w:rsidP="006B5361">
            <w:pPr>
              <w:spacing w:after="240"/>
              <w:cnfStyle w:val="000000100000"/>
            </w:pPr>
            <w:r>
              <w:t>Total debt/ Total shareholders’ equity</w:t>
            </w:r>
          </w:p>
        </w:tc>
        <w:tc>
          <w:tcPr>
            <w:tcW w:w="2169" w:type="dxa"/>
          </w:tcPr>
          <w:p w:rsidR="00934AE8" w:rsidRDefault="003B219C" w:rsidP="006B5361">
            <w:pPr>
              <w:spacing w:after="240"/>
              <w:cnfStyle w:val="000000100000"/>
            </w:pPr>
            <w:r>
              <w:t>(2,511+4,137)/ 3,088=2.15</w:t>
            </w:r>
          </w:p>
        </w:tc>
        <w:tc>
          <w:tcPr>
            <w:tcW w:w="2541" w:type="dxa"/>
          </w:tcPr>
          <w:p w:rsidR="00934AE8" w:rsidRDefault="003B219C" w:rsidP="006B5361">
            <w:pPr>
              <w:spacing w:after="240"/>
              <w:cnfStyle w:val="000000100000"/>
            </w:pPr>
            <w:r>
              <w:t>(3,046+4,129)/2912=</w:t>
            </w:r>
            <w:r w:rsidR="00C21D55">
              <w:t>2.46</w:t>
            </w:r>
          </w:p>
        </w:tc>
      </w:tr>
    </w:tbl>
    <w:p w:rsidR="00A01A6B" w:rsidRDefault="00A01A6B" w:rsidP="006B5361">
      <w:pPr>
        <w:spacing w:after="240"/>
      </w:pPr>
    </w:p>
    <w:p w:rsidR="00A01A6B" w:rsidRPr="009D6670" w:rsidRDefault="003B219C" w:rsidP="006B5361">
      <w:pPr>
        <w:spacing w:after="240"/>
        <w:rPr>
          <w:shd w:val="clear" w:color="auto" w:fill="FFFFFF"/>
        </w:rPr>
      </w:pPr>
      <w:r w:rsidRPr="009D6670">
        <w:rPr>
          <w:b/>
        </w:rPr>
        <w:lastRenderedPageBreak/>
        <w:t>Invertor/ Interest Coverage ratio:</w:t>
      </w:r>
      <w:r>
        <w:t xml:space="preserve"> The interest coverage ratio measure the ability of the organisation is covering the interest expense with earnings available before depreciation, interest, and taxes</w:t>
      </w:r>
      <w:r w:rsidR="009D6670">
        <w:rPr>
          <w:shd w:val="clear" w:color="auto" w:fill="FFFFFF"/>
        </w:rPr>
        <w:t>(Vintilă and Nenu, 2016)</w:t>
      </w:r>
      <w:r>
        <w:t>. The following section will demonstrate the calculation of interest coverage ratio-</w:t>
      </w:r>
    </w:p>
    <w:tbl>
      <w:tblPr>
        <w:tblStyle w:val="GridTable4"/>
        <w:tblW w:w="0" w:type="auto"/>
        <w:tblLook w:val="04A0"/>
      </w:tblPr>
      <w:tblGrid>
        <w:gridCol w:w="2254"/>
        <w:gridCol w:w="2254"/>
        <w:gridCol w:w="2254"/>
        <w:gridCol w:w="2254"/>
      </w:tblGrid>
      <w:tr w:rsidR="00CD7A72" w:rsidTr="00CD7A72">
        <w:trPr>
          <w:cnfStyle w:val="100000000000"/>
        </w:trPr>
        <w:tc>
          <w:tcPr>
            <w:cnfStyle w:val="001000000000"/>
            <w:tcW w:w="2254" w:type="dxa"/>
          </w:tcPr>
          <w:p w:rsidR="00934AE8" w:rsidRDefault="003B219C" w:rsidP="006B5361">
            <w:pPr>
              <w:spacing w:after="240"/>
            </w:pPr>
            <w:r>
              <w:t>Ratio Analysis</w:t>
            </w:r>
          </w:p>
        </w:tc>
        <w:tc>
          <w:tcPr>
            <w:tcW w:w="2254" w:type="dxa"/>
          </w:tcPr>
          <w:p w:rsidR="00934AE8" w:rsidRDefault="003B219C" w:rsidP="006B5361">
            <w:pPr>
              <w:spacing w:after="240"/>
              <w:cnfStyle w:val="100000000000"/>
            </w:pPr>
            <w:r>
              <w:t>Ratio Calculation</w:t>
            </w:r>
          </w:p>
        </w:tc>
        <w:tc>
          <w:tcPr>
            <w:tcW w:w="2254" w:type="dxa"/>
          </w:tcPr>
          <w:p w:rsidR="00934AE8" w:rsidRDefault="003B219C" w:rsidP="006B5361">
            <w:pPr>
              <w:spacing w:after="240"/>
              <w:cnfStyle w:val="100000000000"/>
            </w:pPr>
            <w:r>
              <w:t>2020</w:t>
            </w:r>
          </w:p>
        </w:tc>
        <w:tc>
          <w:tcPr>
            <w:tcW w:w="2254" w:type="dxa"/>
          </w:tcPr>
          <w:p w:rsidR="00934AE8" w:rsidRDefault="003B219C" w:rsidP="006B5361">
            <w:pPr>
              <w:spacing w:after="240"/>
              <w:cnfStyle w:val="100000000000"/>
            </w:pPr>
            <w:r>
              <w:t>2019</w:t>
            </w:r>
          </w:p>
        </w:tc>
      </w:tr>
      <w:tr w:rsidR="00CD7A72" w:rsidTr="00CD7A72">
        <w:trPr>
          <w:cnfStyle w:val="000000100000"/>
        </w:trPr>
        <w:tc>
          <w:tcPr>
            <w:cnfStyle w:val="001000000000"/>
            <w:tcW w:w="2254" w:type="dxa"/>
          </w:tcPr>
          <w:p w:rsidR="00934AE8" w:rsidRDefault="003B219C" w:rsidP="006B5361">
            <w:pPr>
              <w:spacing w:after="240"/>
            </w:pPr>
            <w:r>
              <w:t>Interest coverage ratio</w:t>
            </w:r>
          </w:p>
        </w:tc>
        <w:tc>
          <w:tcPr>
            <w:tcW w:w="2254" w:type="dxa"/>
          </w:tcPr>
          <w:p w:rsidR="00934AE8" w:rsidRDefault="003B219C" w:rsidP="006B5361">
            <w:pPr>
              <w:spacing w:after="240"/>
              <w:cnfStyle w:val="000000100000"/>
            </w:pPr>
            <w:r>
              <w:t>EBITDA/ Interest expense</w:t>
            </w:r>
          </w:p>
        </w:tc>
        <w:tc>
          <w:tcPr>
            <w:tcW w:w="2254" w:type="dxa"/>
          </w:tcPr>
          <w:p w:rsidR="00934AE8" w:rsidRDefault="003B219C" w:rsidP="006B5361">
            <w:pPr>
              <w:spacing w:after="240"/>
              <w:cnfStyle w:val="000000100000"/>
            </w:pPr>
            <w:r>
              <w:t>805/225=3.56 times</w:t>
            </w:r>
          </w:p>
        </w:tc>
        <w:tc>
          <w:tcPr>
            <w:tcW w:w="2254" w:type="dxa"/>
          </w:tcPr>
          <w:p w:rsidR="00934AE8" w:rsidRDefault="003B219C" w:rsidP="006B5361">
            <w:pPr>
              <w:spacing w:after="240"/>
              <w:cnfStyle w:val="000000100000"/>
            </w:pPr>
            <w:r>
              <w:t>699/181=4.34 times</w:t>
            </w:r>
          </w:p>
        </w:tc>
      </w:tr>
    </w:tbl>
    <w:p w:rsidR="00A01A6B" w:rsidRDefault="00A01A6B" w:rsidP="006B5361">
      <w:pPr>
        <w:spacing w:after="240"/>
      </w:pPr>
    </w:p>
    <w:p w:rsidR="00794410" w:rsidRDefault="003B219C" w:rsidP="006B5361">
      <w:pPr>
        <w:spacing w:after="240"/>
      </w:pPr>
      <w:r>
        <w:t>The formula of EBITDA= Operating profit+ Depreciation &amp; Amortisation</w:t>
      </w:r>
    </w:p>
    <w:p w:rsidR="00A972A7" w:rsidRDefault="003B219C" w:rsidP="006B5361">
      <w:pPr>
        <w:pStyle w:val="Heading2"/>
        <w:spacing w:after="240"/>
      </w:pPr>
      <w:bookmarkStart w:id="7" w:name="_Toc77895377"/>
      <w:r>
        <w:t>b)</w:t>
      </w:r>
      <w:r w:rsidR="00E86EEE">
        <w:t xml:space="preserve"> Using the financial information and ratio analysis, the financial performance and position are thoroughly analysed</w:t>
      </w:r>
      <w:bookmarkEnd w:id="7"/>
    </w:p>
    <w:p w:rsidR="00553E63" w:rsidRPr="009D6670" w:rsidRDefault="003B219C" w:rsidP="006B5361">
      <w:pPr>
        <w:spacing w:after="240"/>
        <w:rPr>
          <w:shd w:val="clear" w:color="auto" w:fill="FFFFFF"/>
        </w:rPr>
      </w:pPr>
      <w:r>
        <w:t>Ratio analysis is the widely used method to analyse the financial standings of the company</w:t>
      </w:r>
      <w:r w:rsidR="009D6670">
        <w:rPr>
          <w:shd w:val="clear" w:color="auto" w:fill="FFFFFF"/>
        </w:rPr>
        <w:t>(Yahaya et al., 2015)</w:t>
      </w:r>
      <w:r>
        <w:t>. The ratio analysis normally focuses on four health aspects of the business and they are liquidity, liability, profitability, and risk of the company</w:t>
      </w:r>
      <w:r w:rsidR="009D6670">
        <w:rPr>
          <w:shd w:val="clear" w:color="auto" w:fill="FFFFFF"/>
        </w:rPr>
        <w:t>(Zamfir et al., 2016)</w:t>
      </w:r>
      <w:r>
        <w:t>. The subsequent section will present a brief interpretation of the findings of the upper section of the report</w:t>
      </w:r>
      <w:r>
        <w:rPr>
          <w:lang w:val="en-US"/>
        </w:rPr>
        <w:t>:</w:t>
      </w:r>
    </w:p>
    <w:p w:rsidR="00553E63" w:rsidRPr="00723B0B" w:rsidRDefault="003B219C" w:rsidP="006B5361">
      <w:pPr>
        <w:spacing w:after="240"/>
        <w:rPr>
          <w:b/>
          <w:lang w:val="en-US"/>
        </w:rPr>
      </w:pPr>
      <w:r w:rsidRPr="00723B0B">
        <w:rPr>
          <w:b/>
        </w:rPr>
        <w:t xml:space="preserve">ROCE: </w:t>
      </w:r>
      <w:r>
        <w:t xml:space="preserve">The Company has generated a higher return on capital employed in 2020 in comparison to 2019. In 2019, the return on capital employed is 10.23% which has increased to 11.71% in 2020. This means that the company is generating a higher return. </w:t>
      </w:r>
    </w:p>
    <w:p w:rsidR="00723B0B" w:rsidRPr="009D6670" w:rsidRDefault="003B219C" w:rsidP="006B5361">
      <w:pPr>
        <w:spacing w:after="240"/>
        <w:rPr>
          <w:shd w:val="clear" w:color="auto" w:fill="FFFFFF"/>
        </w:rPr>
      </w:pPr>
      <w:r w:rsidRPr="00723B0B">
        <w:rPr>
          <w:b/>
        </w:rPr>
        <w:t>ROE:</w:t>
      </w:r>
      <w:r>
        <w:t xml:space="preserve"> Return on equity is another profitability measure and the organisation has performed well in this metrics too</w:t>
      </w:r>
      <w:r w:rsidR="009D6670">
        <w:rPr>
          <w:shd w:val="clear" w:color="auto" w:fill="FFFFFF"/>
        </w:rPr>
        <w:t>(Amalia et al., 2020)</w:t>
      </w:r>
      <w:r>
        <w:t xml:space="preserve">. The return available for stockholders has reached 13.96% in 2020 in contrast to 12.57% in 2019. </w:t>
      </w:r>
    </w:p>
    <w:p w:rsidR="00553E63" w:rsidRDefault="003B219C" w:rsidP="006B5361">
      <w:pPr>
        <w:spacing w:after="240"/>
      </w:pPr>
      <w:r w:rsidRPr="00723B0B">
        <w:rPr>
          <w:b/>
        </w:rPr>
        <w:t>Earnings per share:</w:t>
      </w:r>
      <w:r>
        <w:t>Chocco PLC has increased its earnings distributed per share from 0.61 pounds to 0.72 pounds which shows the upsurging profitability of the organisation.</w:t>
      </w:r>
    </w:p>
    <w:p w:rsidR="00723B0B" w:rsidRPr="009D6670" w:rsidRDefault="003B219C" w:rsidP="006B5361">
      <w:pPr>
        <w:spacing w:after="240"/>
      </w:pPr>
      <w:r>
        <w:rPr>
          <w:b/>
        </w:rPr>
        <w:t xml:space="preserve">Net profit margin: </w:t>
      </w:r>
      <w:r>
        <w:t>Net profit margin is the true indicator regarding the ability of the organisation to generate a return to the customers</w:t>
      </w:r>
      <w:r w:rsidR="009D6670">
        <w:rPr>
          <w:shd w:val="clear" w:color="auto" w:fill="FFFFFF"/>
        </w:rPr>
        <w:t>(Easton et al., 2018)</w:t>
      </w:r>
      <w:r>
        <w:t>.</w:t>
      </w:r>
      <w:r w:rsidR="00377996">
        <w:t xml:space="preserve"> In terms of </w:t>
      </w:r>
      <w:r w:rsidR="00377996">
        <w:lastRenderedPageBreak/>
        <w:t>net profit margin, the organisation has reached higher profitability from 5.68% to 6.40% which increased return to the investors as well as good for the reputation of the company.</w:t>
      </w:r>
    </w:p>
    <w:p w:rsidR="00723B0B" w:rsidRDefault="003B219C" w:rsidP="006B5361">
      <w:pPr>
        <w:spacing w:after="240"/>
      </w:pPr>
      <w:r w:rsidRPr="00723B0B">
        <w:rPr>
          <w:b/>
        </w:rPr>
        <w:t>Asset turnover ratio:</w:t>
      </w:r>
      <w:r>
        <w:t xml:space="preserve"> The ratio estimates the efficiency of the business in employing assets and turns them into revenue. According to the calculation, the asset turnover ratio has increased from 63.85% to 69.21% which is a favourable sign for the organisation.</w:t>
      </w:r>
    </w:p>
    <w:p w:rsidR="00764625" w:rsidRPr="009D6670" w:rsidRDefault="003B219C" w:rsidP="006B5361">
      <w:pPr>
        <w:spacing w:after="240"/>
        <w:rPr>
          <w:shd w:val="clear" w:color="auto" w:fill="FFFFFF"/>
        </w:rPr>
      </w:pPr>
      <w:r w:rsidRPr="00764625">
        <w:rPr>
          <w:b/>
        </w:rPr>
        <w:t>Stock holding days:</w:t>
      </w:r>
      <w:r>
        <w:t>Stock holding days are evidence of the efficiency of inventory management of the company</w:t>
      </w:r>
      <w:r w:rsidR="009D6670">
        <w:rPr>
          <w:shd w:val="clear" w:color="auto" w:fill="FFFFFF"/>
        </w:rPr>
        <w:t>(Husain and Sunardi, 2020)</w:t>
      </w:r>
      <w:r>
        <w:t>. Here, the stock holding days for Chocco plc. have increased from 78 days to 80 days which demonstrates the weakness of inventory management of the company.</w:t>
      </w:r>
    </w:p>
    <w:p w:rsidR="00764625" w:rsidRPr="009D6670" w:rsidRDefault="003B219C" w:rsidP="006B5361">
      <w:pPr>
        <w:spacing w:after="240"/>
        <w:rPr>
          <w:shd w:val="clear" w:color="auto" w:fill="FFFFFF"/>
        </w:rPr>
      </w:pPr>
      <w:r w:rsidRPr="00764625">
        <w:rPr>
          <w:b/>
        </w:rPr>
        <w:t>Debtor’s collection period:</w:t>
      </w:r>
      <w:r>
        <w:t xml:space="preserve"> Debtor's collection period refers to how efficient that the company is in collecting payments from trade receivables</w:t>
      </w:r>
      <w:r w:rsidR="009D6670">
        <w:rPr>
          <w:shd w:val="clear" w:color="auto" w:fill="FFFFFF"/>
        </w:rPr>
        <w:t>(Maaloul and Zeghal, 2015)</w:t>
      </w:r>
      <w:r>
        <w:t>. In this aspect, the company has certainly improved to 56 days from 73 days of previous collection experiences.</w:t>
      </w:r>
    </w:p>
    <w:p w:rsidR="00764625" w:rsidRDefault="003B219C" w:rsidP="006B5361">
      <w:pPr>
        <w:spacing w:after="240"/>
      </w:pPr>
      <w:r w:rsidRPr="00452EA6">
        <w:rPr>
          <w:b/>
        </w:rPr>
        <w:t>Current ratio:</w:t>
      </w:r>
      <w:r>
        <w:t xml:space="preserve"> Current ratio show liquidity which has remarkably improved for </w:t>
      </w:r>
      <w:r w:rsidR="00452EA6">
        <w:t xml:space="preserve">Chocco plc. from 0.77 to 0.91 which closely meets the standard practices of liquidity management. </w:t>
      </w:r>
    </w:p>
    <w:p w:rsidR="00764625" w:rsidRPr="009D6670" w:rsidRDefault="003B219C" w:rsidP="006B5361">
      <w:pPr>
        <w:spacing w:after="240"/>
        <w:rPr>
          <w:shd w:val="clear" w:color="auto" w:fill="FFFFFF"/>
        </w:rPr>
      </w:pPr>
      <w:r w:rsidRPr="001C3AFF">
        <w:rPr>
          <w:b/>
        </w:rPr>
        <w:t>Gearing ratio:</w:t>
      </w:r>
      <w:r w:rsidR="001C3AFF">
        <w:t xml:space="preserve"> The riskiness of the company has reduced from 2.45 times to 2.15 times as the organisation has increased sourcing funds from equity capital sources reducing the percentage of debt in the capital structure</w:t>
      </w:r>
      <w:r w:rsidR="009D6670">
        <w:rPr>
          <w:shd w:val="clear" w:color="auto" w:fill="FFFFFF"/>
        </w:rPr>
        <w:t>(Malik et al., 2016)</w:t>
      </w:r>
      <w:r w:rsidR="001C3AFF">
        <w:t>.</w:t>
      </w:r>
    </w:p>
    <w:p w:rsidR="00553E63" w:rsidRPr="009D6670" w:rsidRDefault="003B219C" w:rsidP="006B5361">
      <w:pPr>
        <w:spacing w:after="240"/>
        <w:rPr>
          <w:shd w:val="clear" w:color="auto" w:fill="FFFFFF"/>
        </w:rPr>
      </w:pPr>
      <w:r w:rsidRPr="00D16AC0">
        <w:rPr>
          <w:b/>
        </w:rPr>
        <w:t>Interest coverage ratio:</w:t>
      </w:r>
      <w:r w:rsidR="00D16AC0">
        <w:t xml:space="preserve"> Through income has increased for the company, the organisation has declined in covering interest payments with earnings available to the company</w:t>
      </w:r>
      <w:r w:rsidR="009D6670">
        <w:rPr>
          <w:shd w:val="clear" w:color="auto" w:fill="FFFFFF"/>
        </w:rPr>
        <w:t>(Nalurita, 2017)</w:t>
      </w:r>
      <w:r w:rsidR="00D16AC0">
        <w:t>. In 2019, the organisation has 4.34 times more earnings to cover interest expenses which have dropped to 3.56 times only.</w:t>
      </w:r>
    </w:p>
    <w:p w:rsidR="006B5361" w:rsidRDefault="006B5361" w:rsidP="006B5361">
      <w:pPr>
        <w:spacing w:after="240"/>
        <w:jc w:val="left"/>
        <w:rPr>
          <w:rFonts w:eastAsiaTheme="majorEastAsia" w:cstheme="majorBidi"/>
          <w:b/>
          <w:color w:val="000000" w:themeColor="text1"/>
          <w:sz w:val="32"/>
          <w:szCs w:val="32"/>
        </w:rPr>
      </w:pPr>
      <w:bookmarkStart w:id="8" w:name="_Toc77895378"/>
      <w:r>
        <w:br w:type="page"/>
      </w:r>
    </w:p>
    <w:p w:rsidR="00A972A7" w:rsidRDefault="003B219C" w:rsidP="006B5361">
      <w:pPr>
        <w:pStyle w:val="Heading1"/>
        <w:spacing w:after="240"/>
      </w:pPr>
      <w:r w:rsidRPr="00A972A7">
        <w:lastRenderedPageBreak/>
        <w:t>Conclusion</w:t>
      </w:r>
      <w:bookmarkEnd w:id="8"/>
    </w:p>
    <w:p w:rsidR="00A972A7" w:rsidRPr="00A972A7" w:rsidRDefault="003B219C" w:rsidP="006B5361">
      <w:pPr>
        <w:spacing w:after="240"/>
      </w:pPr>
      <w:r>
        <w:t>The report has prepared financial statements for the Kedison group demonstrating the calculation of revenues, expenses, assets, liabilities, and shareholders' equity</w:t>
      </w:r>
      <w:r w:rsidR="009D6670">
        <w:rPr>
          <w:shd w:val="clear" w:color="auto" w:fill="FFFFFF"/>
        </w:rPr>
        <w:t>(Robinson, 2020)</w:t>
      </w:r>
      <w:r>
        <w:t>. According to the accounting principles and double-entry system, the statement of financial statement has an equal balance. Further, the report has performed ratio analysis using financial statements of Chocco</w:t>
      </w:r>
      <w:r w:rsidR="00310916">
        <w:t>plc.</w:t>
      </w:r>
      <w:r>
        <w:t>and interpreting the financial condition and stability of the company</w:t>
      </w:r>
      <w:r w:rsidR="00310916">
        <w:t xml:space="preserve"> analysis liquidity, profitability, risk, and efficiency of the business.</w:t>
      </w:r>
    </w:p>
    <w:p w:rsidR="00A972A7" w:rsidRDefault="003B219C">
      <w:pPr>
        <w:spacing w:line="259" w:lineRule="auto"/>
        <w:jc w:val="left"/>
        <w:rPr>
          <w:rFonts w:eastAsiaTheme="majorEastAsia" w:cstheme="majorBidi"/>
          <w:b/>
          <w:color w:val="000000" w:themeColor="text1"/>
          <w:sz w:val="32"/>
          <w:szCs w:val="32"/>
        </w:rPr>
      </w:pPr>
      <w:r>
        <w:br w:type="page"/>
      </w:r>
    </w:p>
    <w:p w:rsidR="00A972A7" w:rsidRDefault="003B219C" w:rsidP="006B5361">
      <w:pPr>
        <w:pStyle w:val="Heading1"/>
        <w:spacing w:after="240"/>
      </w:pPr>
      <w:bookmarkStart w:id="9" w:name="_Toc77895379"/>
      <w:r w:rsidRPr="00A972A7">
        <w:lastRenderedPageBreak/>
        <w:t>References</w:t>
      </w:r>
      <w:bookmarkEnd w:id="9"/>
    </w:p>
    <w:p w:rsidR="006017A6" w:rsidRDefault="003B219C" w:rsidP="006B5361">
      <w:pPr>
        <w:spacing w:after="240"/>
        <w:rPr>
          <w:shd w:val="clear" w:color="auto" w:fill="FFFFFF"/>
        </w:rPr>
      </w:pPr>
      <w:r>
        <w:rPr>
          <w:shd w:val="clear" w:color="auto" w:fill="FFFFFF"/>
        </w:rPr>
        <w:t>Amalia, S., Fadjriah, N.E. and Nugraha, N.M., 2020.The Influence of the Financial Ratio to the Prevention of Bankruptcy in Cigarette Manufacturing Companies Sub Sector. </w:t>
      </w:r>
      <w:r>
        <w:rPr>
          <w:i/>
          <w:iCs/>
          <w:shd w:val="clear" w:color="auto" w:fill="FFFFFF"/>
        </w:rPr>
        <w:t>Solid State Technology</w:t>
      </w:r>
      <w:r>
        <w:rPr>
          <w:shd w:val="clear" w:color="auto" w:fill="FFFFFF"/>
        </w:rPr>
        <w:t>, </w:t>
      </w:r>
      <w:r>
        <w:rPr>
          <w:i/>
          <w:iCs/>
          <w:shd w:val="clear" w:color="auto" w:fill="FFFFFF"/>
        </w:rPr>
        <w:t>63</w:t>
      </w:r>
      <w:r>
        <w:rPr>
          <w:shd w:val="clear" w:color="auto" w:fill="FFFFFF"/>
        </w:rPr>
        <w:t>(3), pp.4173-4182.</w:t>
      </w:r>
    </w:p>
    <w:p w:rsidR="006017A6" w:rsidRDefault="003B219C" w:rsidP="006B5361">
      <w:pPr>
        <w:spacing w:after="240"/>
        <w:rPr>
          <w:shd w:val="clear" w:color="auto" w:fill="FFFFFF"/>
        </w:rPr>
      </w:pPr>
      <w:r>
        <w:rPr>
          <w:shd w:val="clear" w:color="auto" w:fill="FFFFFF"/>
        </w:rPr>
        <w:t>Amelia, E., 2015. Financial Ratio and Its Influence to Profitability in Islamic Banks. </w:t>
      </w:r>
      <w:r>
        <w:rPr>
          <w:i/>
          <w:iCs/>
          <w:shd w:val="clear" w:color="auto" w:fill="FFFFFF"/>
        </w:rPr>
        <w:t>Al-Iqtishad: JurnalIlmuEkonomiSyariah</w:t>
      </w:r>
      <w:r>
        <w:rPr>
          <w:shd w:val="clear" w:color="auto" w:fill="FFFFFF"/>
        </w:rPr>
        <w:t>, </w:t>
      </w:r>
      <w:r>
        <w:rPr>
          <w:i/>
          <w:iCs/>
          <w:shd w:val="clear" w:color="auto" w:fill="FFFFFF"/>
        </w:rPr>
        <w:t>7</w:t>
      </w:r>
      <w:r>
        <w:rPr>
          <w:shd w:val="clear" w:color="auto" w:fill="FFFFFF"/>
        </w:rPr>
        <w:t>(2), pp.229-240.</w:t>
      </w:r>
    </w:p>
    <w:p w:rsidR="006017A6" w:rsidRDefault="003B219C" w:rsidP="006B5361">
      <w:pPr>
        <w:spacing w:after="240"/>
      </w:pPr>
      <w:r>
        <w:rPr>
          <w:shd w:val="clear" w:color="auto" w:fill="FFFFFF"/>
        </w:rPr>
        <w:t>Easton, P.D., McAnally, M.L., Sommers, G.A. and Zhang, X.J., 2018. </w:t>
      </w:r>
      <w:r>
        <w:rPr>
          <w:i/>
          <w:iCs/>
          <w:shd w:val="clear" w:color="auto" w:fill="FFFFFF"/>
        </w:rPr>
        <w:t>Financial statement analysis &amp; valuation</w:t>
      </w:r>
      <w:r>
        <w:rPr>
          <w:shd w:val="clear" w:color="auto" w:fill="FFFFFF"/>
        </w:rPr>
        <w:t>. Boston, MA: Cambridge Business Publishers.</w:t>
      </w:r>
    </w:p>
    <w:p w:rsidR="006017A6" w:rsidRDefault="003B219C" w:rsidP="006B5361">
      <w:pPr>
        <w:spacing w:after="240"/>
        <w:rPr>
          <w:shd w:val="clear" w:color="auto" w:fill="FFFFFF"/>
        </w:rPr>
      </w:pPr>
      <w:r>
        <w:rPr>
          <w:shd w:val="clear" w:color="auto" w:fill="FFFFFF"/>
        </w:rPr>
        <w:t>Husain, T. and Sunardi, N., 2020.Firm's Value Prediction Based on Profitability Ratios and Dividend Policy. </w:t>
      </w:r>
      <w:r>
        <w:rPr>
          <w:i/>
          <w:iCs/>
          <w:shd w:val="clear" w:color="auto" w:fill="FFFFFF"/>
        </w:rPr>
        <w:t>Finance &amp; Economics Review</w:t>
      </w:r>
      <w:r>
        <w:rPr>
          <w:shd w:val="clear" w:color="auto" w:fill="FFFFFF"/>
        </w:rPr>
        <w:t>, </w:t>
      </w:r>
      <w:r>
        <w:rPr>
          <w:i/>
          <w:iCs/>
          <w:shd w:val="clear" w:color="auto" w:fill="FFFFFF"/>
        </w:rPr>
        <w:t>2</w:t>
      </w:r>
      <w:r>
        <w:rPr>
          <w:shd w:val="clear" w:color="auto" w:fill="FFFFFF"/>
        </w:rPr>
        <w:t>(2), pp.13-26.</w:t>
      </w:r>
    </w:p>
    <w:p w:rsidR="006017A6" w:rsidRDefault="003B219C" w:rsidP="006B5361">
      <w:pPr>
        <w:spacing w:after="240"/>
        <w:rPr>
          <w:shd w:val="clear" w:color="auto" w:fill="FFFFFF"/>
        </w:rPr>
      </w:pPr>
      <w:r>
        <w:rPr>
          <w:shd w:val="clear" w:color="auto" w:fill="FFFFFF"/>
        </w:rPr>
        <w:t>Maaloul, A. and Zeghal, D., 2015. Financial statement informativeness and intellectual capital disclosure: An empirical analysis. </w:t>
      </w:r>
      <w:r>
        <w:rPr>
          <w:i/>
          <w:iCs/>
          <w:shd w:val="clear" w:color="auto" w:fill="FFFFFF"/>
        </w:rPr>
        <w:t>Journal of Financial Reporting and Accounting</w:t>
      </w:r>
      <w:r>
        <w:rPr>
          <w:shd w:val="clear" w:color="auto" w:fill="FFFFFF"/>
        </w:rPr>
        <w:t>.</w:t>
      </w:r>
    </w:p>
    <w:p w:rsidR="006017A6" w:rsidRDefault="003B219C" w:rsidP="006B5361">
      <w:pPr>
        <w:spacing w:after="240"/>
        <w:rPr>
          <w:shd w:val="clear" w:color="auto" w:fill="FFFFFF"/>
        </w:rPr>
      </w:pPr>
      <w:r>
        <w:rPr>
          <w:shd w:val="clear" w:color="auto" w:fill="FFFFFF"/>
        </w:rPr>
        <w:t>Malik, M.S., Awais, M. and Khursheed, A., 2016. Impact of liquidity on profitability: A comprehensive case of Pakistan’s private banking sector. </w:t>
      </w:r>
      <w:r>
        <w:rPr>
          <w:i/>
          <w:iCs/>
          <w:shd w:val="clear" w:color="auto" w:fill="FFFFFF"/>
        </w:rPr>
        <w:t>International Journal of Economics and Finance</w:t>
      </w:r>
      <w:r>
        <w:rPr>
          <w:shd w:val="clear" w:color="auto" w:fill="FFFFFF"/>
        </w:rPr>
        <w:t>, </w:t>
      </w:r>
      <w:r>
        <w:rPr>
          <w:i/>
          <w:iCs/>
          <w:shd w:val="clear" w:color="auto" w:fill="FFFFFF"/>
        </w:rPr>
        <w:t>8</w:t>
      </w:r>
      <w:r>
        <w:rPr>
          <w:shd w:val="clear" w:color="auto" w:fill="FFFFFF"/>
        </w:rPr>
        <w:t>(3), pp.69-74.</w:t>
      </w:r>
    </w:p>
    <w:p w:rsidR="006017A6" w:rsidRDefault="003B219C" w:rsidP="006B5361">
      <w:pPr>
        <w:spacing w:after="240"/>
        <w:rPr>
          <w:shd w:val="clear" w:color="auto" w:fill="FFFFFF"/>
        </w:rPr>
      </w:pPr>
      <w:r>
        <w:rPr>
          <w:shd w:val="clear" w:color="auto" w:fill="FFFFFF"/>
        </w:rPr>
        <w:t>Nalurita, F., 2017.The effect of profitability ratio, solvability ratio, market ratio on stock return. </w:t>
      </w:r>
      <w:r>
        <w:rPr>
          <w:i/>
          <w:iCs/>
          <w:shd w:val="clear" w:color="auto" w:fill="FFFFFF"/>
        </w:rPr>
        <w:t>Business and Entrepreneurial Review</w:t>
      </w:r>
      <w:r>
        <w:rPr>
          <w:shd w:val="clear" w:color="auto" w:fill="FFFFFF"/>
        </w:rPr>
        <w:t>, </w:t>
      </w:r>
      <w:r>
        <w:rPr>
          <w:i/>
          <w:iCs/>
          <w:shd w:val="clear" w:color="auto" w:fill="FFFFFF"/>
        </w:rPr>
        <w:t>15</w:t>
      </w:r>
      <w:r>
        <w:rPr>
          <w:shd w:val="clear" w:color="auto" w:fill="FFFFFF"/>
        </w:rPr>
        <w:t>(1), pp.73-94.</w:t>
      </w:r>
    </w:p>
    <w:p w:rsidR="006017A6" w:rsidRDefault="003B219C" w:rsidP="006B5361">
      <w:pPr>
        <w:spacing w:after="240"/>
      </w:pPr>
      <w:r>
        <w:rPr>
          <w:shd w:val="clear" w:color="auto" w:fill="FFFFFF"/>
        </w:rPr>
        <w:t>Robinson, T.R., 2020. </w:t>
      </w:r>
      <w:r>
        <w:rPr>
          <w:i/>
          <w:iCs/>
          <w:shd w:val="clear" w:color="auto" w:fill="FFFFFF"/>
        </w:rPr>
        <w:t>International financial statement analysis</w:t>
      </w:r>
      <w:r>
        <w:rPr>
          <w:shd w:val="clear" w:color="auto" w:fill="FFFFFF"/>
        </w:rPr>
        <w:t>.John Wiley &amp; Sons.</w:t>
      </w:r>
    </w:p>
    <w:p w:rsidR="006017A6" w:rsidRDefault="003B219C" w:rsidP="006B5361">
      <w:pPr>
        <w:spacing w:after="240"/>
        <w:rPr>
          <w:shd w:val="clear" w:color="auto" w:fill="FFFFFF"/>
        </w:rPr>
      </w:pPr>
      <w:r>
        <w:rPr>
          <w:shd w:val="clear" w:color="auto" w:fill="FFFFFF"/>
        </w:rPr>
        <w:t>SUTHAR, K., 2018. Financial Ratio Analysis: A Theoretical Study. </w:t>
      </w:r>
      <w:r>
        <w:rPr>
          <w:i/>
          <w:iCs/>
          <w:shd w:val="clear" w:color="auto" w:fill="FFFFFF"/>
        </w:rPr>
        <w:t>International Journal of Research in all Subjects in Multi Languages, Gujarat, India</w:t>
      </w:r>
      <w:r>
        <w:rPr>
          <w:shd w:val="clear" w:color="auto" w:fill="FFFFFF"/>
        </w:rPr>
        <w:t>.</w:t>
      </w:r>
    </w:p>
    <w:p w:rsidR="006017A6" w:rsidRDefault="003B219C" w:rsidP="006B5361">
      <w:pPr>
        <w:spacing w:after="240"/>
        <w:rPr>
          <w:shd w:val="clear" w:color="auto" w:fill="FFFFFF"/>
        </w:rPr>
      </w:pPr>
      <w:r>
        <w:rPr>
          <w:shd w:val="clear" w:color="auto" w:fill="FFFFFF"/>
        </w:rPr>
        <w:t>Tran, V.T., Lin, C.T. and Nguyen, H., 2016. Liquidity creation, regulatory capital, and bank profitability. </w:t>
      </w:r>
      <w:r>
        <w:rPr>
          <w:i/>
          <w:iCs/>
          <w:shd w:val="clear" w:color="auto" w:fill="FFFFFF"/>
        </w:rPr>
        <w:t>International Review of Financial Analysis</w:t>
      </w:r>
      <w:r>
        <w:rPr>
          <w:shd w:val="clear" w:color="auto" w:fill="FFFFFF"/>
        </w:rPr>
        <w:t>, </w:t>
      </w:r>
      <w:r>
        <w:rPr>
          <w:i/>
          <w:iCs/>
          <w:shd w:val="clear" w:color="auto" w:fill="FFFFFF"/>
        </w:rPr>
        <w:t>48</w:t>
      </w:r>
      <w:r>
        <w:rPr>
          <w:shd w:val="clear" w:color="auto" w:fill="FFFFFF"/>
        </w:rPr>
        <w:t>, pp.98-109.</w:t>
      </w:r>
    </w:p>
    <w:p w:rsidR="006017A6" w:rsidRDefault="003B219C" w:rsidP="006B5361">
      <w:pPr>
        <w:spacing w:after="240"/>
        <w:rPr>
          <w:shd w:val="clear" w:color="auto" w:fill="FFFFFF"/>
        </w:rPr>
      </w:pPr>
      <w:r>
        <w:rPr>
          <w:shd w:val="clear" w:color="auto" w:fill="FFFFFF"/>
        </w:rPr>
        <w:t>Vintilă, G. and Nenu, E.A., 2016. Liquidity and profitability analysis on the Romanian listed companies. </w:t>
      </w:r>
      <w:r>
        <w:rPr>
          <w:i/>
          <w:iCs/>
          <w:shd w:val="clear" w:color="auto" w:fill="FFFFFF"/>
        </w:rPr>
        <w:t>Journal of Eastern Europe research in business &amp; economics</w:t>
      </w:r>
      <w:r>
        <w:rPr>
          <w:shd w:val="clear" w:color="auto" w:fill="FFFFFF"/>
        </w:rPr>
        <w:t>, </w:t>
      </w:r>
      <w:r>
        <w:rPr>
          <w:i/>
          <w:iCs/>
          <w:shd w:val="clear" w:color="auto" w:fill="FFFFFF"/>
        </w:rPr>
        <w:t>2016</w:t>
      </w:r>
      <w:r>
        <w:rPr>
          <w:shd w:val="clear" w:color="auto" w:fill="FFFFFF"/>
        </w:rPr>
        <w:t>, pp.1-8.</w:t>
      </w:r>
    </w:p>
    <w:p w:rsidR="006017A6" w:rsidRDefault="003B219C" w:rsidP="006B5361">
      <w:pPr>
        <w:spacing w:after="240"/>
        <w:rPr>
          <w:shd w:val="clear" w:color="auto" w:fill="FFFFFF"/>
        </w:rPr>
      </w:pPr>
      <w:r>
        <w:rPr>
          <w:shd w:val="clear" w:color="auto" w:fill="FFFFFF"/>
        </w:rPr>
        <w:lastRenderedPageBreak/>
        <w:t>Yahaya, O.A., Yusuf, M.J. and Dania, I.S., 2015. International financial reporting standards’ adoption and financial statement effects: Evidence from listed deposit money banks in Nigeria. </w:t>
      </w:r>
      <w:r>
        <w:rPr>
          <w:i/>
          <w:iCs/>
          <w:shd w:val="clear" w:color="auto" w:fill="FFFFFF"/>
        </w:rPr>
        <w:t>Research Journal of Finance and Accounting</w:t>
      </w:r>
      <w:r>
        <w:rPr>
          <w:shd w:val="clear" w:color="auto" w:fill="FFFFFF"/>
        </w:rPr>
        <w:t>, </w:t>
      </w:r>
      <w:r>
        <w:rPr>
          <w:i/>
          <w:iCs/>
          <w:shd w:val="clear" w:color="auto" w:fill="FFFFFF"/>
        </w:rPr>
        <w:t>6</w:t>
      </w:r>
      <w:r>
        <w:rPr>
          <w:shd w:val="clear" w:color="auto" w:fill="FFFFFF"/>
        </w:rPr>
        <w:t>(12), pp.107-122.</w:t>
      </w:r>
    </w:p>
    <w:p w:rsidR="00A01A6B" w:rsidRPr="006017A6" w:rsidRDefault="003B219C" w:rsidP="006B5361">
      <w:pPr>
        <w:spacing w:after="240"/>
        <w:rPr>
          <w:shd w:val="clear" w:color="auto" w:fill="FFFFFF"/>
        </w:rPr>
      </w:pPr>
      <w:r>
        <w:rPr>
          <w:shd w:val="clear" w:color="auto" w:fill="FFFFFF"/>
        </w:rPr>
        <w:t>Zamfir, M., Manea, M.D. and Ionescu, L., 2016. Return on investment–indicator for measuring the profitability of invested capital. </w:t>
      </w:r>
      <w:r>
        <w:rPr>
          <w:i/>
          <w:iCs/>
          <w:shd w:val="clear" w:color="auto" w:fill="FFFFFF"/>
        </w:rPr>
        <w:t>Valahian Journal of Economic Studies</w:t>
      </w:r>
      <w:r>
        <w:rPr>
          <w:shd w:val="clear" w:color="auto" w:fill="FFFFFF"/>
        </w:rPr>
        <w:t>, </w:t>
      </w:r>
      <w:r>
        <w:rPr>
          <w:i/>
          <w:iCs/>
          <w:shd w:val="clear" w:color="auto" w:fill="FFFFFF"/>
        </w:rPr>
        <w:t>7</w:t>
      </w:r>
      <w:r>
        <w:rPr>
          <w:shd w:val="clear" w:color="auto" w:fill="FFFFFF"/>
        </w:rPr>
        <w:t>(2), pp.79-86.</w:t>
      </w:r>
    </w:p>
    <w:sectPr w:rsidR="00A01A6B" w:rsidRPr="006017A6" w:rsidSect="0058140B">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7F0" w:rsidRDefault="006147F0" w:rsidP="001E67DC">
      <w:pPr>
        <w:spacing w:after="0" w:line="240" w:lineRule="auto"/>
      </w:pPr>
      <w:r>
        <w:separator/>
      </w:r>
    </w:p>
  </w:endnote>
  <w:endnote w:type="continuationSeparator" w:id="1">
    <w:p w:rsidR="006147F0" w:rsidRDefault="006147F0" w:rsidP="001E67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011552"/>
      <w:docPartObj>
        <w:docPartGallery w:val="Page Numbers (Bottom of Page)"/>
        <w:docPartUnique/>
      </w:docPartObj>
    </w:sdtPr>
    <w:sdtEndPr>
      <w:rPr>
        <w:noProof/>
      </w:rPr>
    </w:sdtEndPr>
    <w:sdtContent>
      <w:p w:rsidR="006B5361" w:rsidRDefault="0058140B">
        <w:pPr>
          <w:pStyle w:val="Footer"/>
          <w:jc w:val="center"/>
        </w:pPr>
        <w:r>
          <w:fldChar w:fldCharType="begin"/>
        </w:r>
        <w:r w:rsidR="006B5361">
          <w:instrText xml:space="preserve"> PAGE   \* MERGEFORMAT </w:instrText>
        </w:r>
        <w:r>
          <w:fldChar w:fldCharType="separate"/>
        </w:r>
        <w:r w:rsidR="000F3887">
          <w:rPr>
            <w:noProof/>
          </w:rPr>
          <w:t>1</w:t>
        </w:r>
        <w:r>
          <w:rPr>
            <w:noProof/>
          </w:rPr>
          <w:fldChar w:fldCharType="end"/>
        </w:r>
      </w:p>
    </w:sdtContent>
  </w:sdt>
  <w:p w:rsidR="001E67DC" w:rsidRDefault="001E67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7F0" w:rsidRDefault="006147F0" w:rsidP="001E67DC">
      <w:pPr>
        <w:spacing w:after="0" w:line="240" w:lineRule="auto"/>
      </w:pPr>
      <w:r>
        <w:separator/>
      </w:r>
    </w:p>
  </w:footnote>
  <w:footnote w:type="continuationSeparator" w:id="1">
    <w:p w:rsidR="006147F0" w:rsidRDefault="006147F0" w:rsidP="001E67D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zQ1NLQwMbawNDC2NDZX0lEKTi0uzszPAykwrAUAX6NiZywAAAA="/>
  </w:docVars>
  <w:rsids>
    <w:rsidRoot w:val="00784B18"/>
    <w:rsid w:val="00095D01"/>
    <w:rsid w:val="000A0459"/>
    <w:rsid w:val="000F3887"/>
    <w:rsid w:val="00183B46"/>
    <w:rsid w:val="001A0473"/>
    <w:rsid w:val="001C3AFF"/>
    <w:rsid w:val="001C3E43"/>
    <w:rsid w:val="001E67DC"/>
    <w:rsid w:val="002C0276"/>
    <w:rsid w:val="002F1FAA"/>
    <w:rsid w:val="00310916"/>
    <w:rsid w:val="00377996"/>
    <w:rsid w:val="00381FA0"/>
    <w:rsid w:val="003B219C"/>
    <w:rsid w:val="0042766D"/>
    <w:rsid w:val="004444AF"/>
    <w:rsid w:val="00452EA6"/>
    <w:rsid w:val="00483BAE"/>
    <w:rsid w:val="00521A3E"/>
    <w:rsid w:val="005224A6"/>
    <w:rsid w:val="0054745D"/>
    <w:rsid w:val="00553E63"/>
    <w:rsid w:val="0058140B"/>
    <w:rsid w:val="005B019F"/>
    <w:rsid w:val="005C366F"/>
    <w:rsid w:val="005C52F9"/>
    <w:rsid w:val="005F110B"/>
    <w:rsid w:val="006017A6"/>
    <w:rsid w:val="006147F0"/>
    <w:rsid w:val="00643199"/>
    <w:rsid w:val="0066129B"/>
    <w:rsid w:val="006B5361"/>
    <w:rsid w:val="006E3BA3"/>
    <w:rsid w:val="00723B0B"/>
    <w:rsid w:val="00764625"/>
    <w:rsid w:val="00784B18"/>
    <w:rsid w:val="00794410"/>
    <w:rsid w:val="00796ACF"/>
    <w:rsid w:val="007B3A64"/>
    <w:rsid w:val="007D661E"/>
    <w:rsid w:val="00826654"/>
    <w:rsid w:val="00844E4D"/>
    <w:rsid w:val="00857073"/>
    <w:rsid w:val="008A2A95"/>
    <w:rsid w:val="008D41AB"/>
    <w:rsid w:val="00934AE8"/>
    <w:rsid w:val="009B374F"/>
    <w:rsid w:val="009D6670"/>
    <w:rsid w:val="00A01A6B"/>
    <w:rsid w:val="00A2692B"/>
    <w:rsid w:val="00A972A7"/>
    <w:rsid w:val="00C21D55"/>
    <w:rsid w:val="00CD7A72"/>
    <w:rsid w:val="00D16AC0"/>
    <w:rsid w:val="00DD6D5B"/>
    <w:rsid w:val="00DF2EF9"/>
    <w:rsid w:val="00DF329D"/>
    <w:rsid w:val="00E23DE2"/>
    <w:rsid w:val="00E45496"/>
    <w:rsid w:val="00E86405"/>
    <w:rsid w:val="00E86EEE"/>
    <w:rsid w:val="00EE7483"/>
    <w:rsid w:val="00F359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B18"/>
    <w:pPr>
      <w:spacing w:line="360" w:lineRule="auto"/>
      <w:jc w:val="both"/>
    </w:pPr>
    <w:rPr>
      <w:rFonts w:ascii="Arial" w:hAnsi="Arial"/>
      <w:sz w:val="24"/>
    </w:rPr>
  </w:style>
  <w:style w:type="paragraph" w:styleId="Heading1">
    <w:name w:val="heading 1"/>
    <w:basedOn w:val="Normal"/>
    <w:next w:val="Normal"/>
    <w:link w:val="Heading1Char"/>
    <w:uiPriority w:val="9"/>
    <w:qFormat/>
    <w:rsid w:val="00784B1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84B1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B18"/>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784B18"/>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A972A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972A7"/>
    <w:pPr>
      <w:spacing w:after="100"/>
    </w:pPr>
  </w:style>
  <w:style w:type="character" w:styleId="Hyperlink">
    <w:name w:val="Hyperlink"/>
    <w:basedOn w:val="DefaultParagraphFont"/>
    <w:uiPriority w:val="99"/>
    <w:unhideWhenUsed/>
    <w:rsid w:val="00A972A7"/>
    <w:rPr>
      <w:color w:val="0563C1" w:themeColor="hyperlink"/>
      <w:u w:val="single"/>
    </w:rPr>
  </w:style>
  <w:style w:type="table" w:styleId="TableGrid">
    <w:name w:val="Table Grid"/>
    <w:basedOn w:val="TableNormal"/>
    <w:uiPriority w:val="39"/>
    <w:rsid w:val="006431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3">
    <w:name w:val="Grid Table 4 Accent 3"/>
    <w:basedOn w:val="TableNormal"/>
    <w:uiPriority w:val="49"/>
    <w:rsid w:val="00844E4D"/>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
    <w:name w:val="Grid Table 4"/>
    <w:basedOn w:val="TableNormal"/>
    <w:uiPriority w:val="49"/>
    <w:rsid w:val="006E3BA3"/>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5C366F"/>
    <w:pPr>
      <w:spacing w:after="100"/>
      <w:ind w:left="240"/>
    </w:pPr>
  </w:style>
  <w:style w:type="paragraph" w:styleId="Header">
    <w:name w:val="header"/>
    <w:basedOn w:val="Normal"/>
    <w:link w:val="HeaderChar"/>
    <w:uiPriority w:val="99"/>
    <w:unhideWhenUsed/>
    <w:rsid w:val="001E6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7DC"/>
    <w:rPr>
      <w:rFonts w:ascii="Arial" w:hAnsi="Arial"/>
      <w:sz w:val="24"/>
    </w:rPr>
  </w:style>
  <w:style w:type="paragraph" w:styleId="Footer">
    <w:name w:val="footer"/>
    <w:basedOn w:val="Normal"/>
    <w:link w:val="FooterChar"/>
    <w:uiPriority w:val="99"/>
    <w:unhideWhenUsed/>
    <w:rsid w:val="001E6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7DC"/>
    <w:rPr>
      <w:rFonts w:ascii="Arial" w:hAnsi="Arial"/>
      <w:sz w:val="24"/>
    </w:rPr>
  </w:style>
  <w:style w:type="paragraph" w:styleId="BalloonText">
    <w:name w:val="Balloon Text"/>
    <w:basedOn w:val="Normal"/>
    <w:link w:val="BalloonTextChar"/>
    <w:uiPriority w:val="99"/>
    <w:semiHidden/>
    <w:unhideWhenUsed/>
    <w:rsid w:val="006B5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3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B18"/>
    <w:pPr>
      <w:spacing w:line="360" w:lineRule="auto"/>
      <w:jc w:val="both"/>
    </w:pPr>
    <w:rPr>
      <w:rFonts w:ascii="Arial" w:hAnsi="Arial"/>
      <w:sz w:val="24"/>
    </w:rPr>
  </w:style>
  <w:style w:type="paragraph" w:styleId="Heading1">
    <w:name w:val="heading 1"/>
    <w:basedOn w:val="Normal"/>
    <w:next w:val="Normal"/>
    <w:link w:val="Heading1Char"/>
    <w:uiPriority w:val="9"/>
    <w:qFormat/>
    <w:rsid w:val="00784B1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84B1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B18"/>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784B18"/>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A972A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972A7"/>
    <w:pPr>
      <w:spacing w:after="100"/>
    </w:pPr>
  </w:style>
  <w:style w:type="character" w:styleId="Hyperlink">
    <w:name w:val="Hyperlink"/>
    <w:basedOn w:val="DefaultParagraphFont"/>
    <w:uiPriority w:val="99"/>
    <w:unhideWhenUsed/>
    <w:rsid w:val="00A972A7"/>
    <w:rPr>
      <w:color w:val="0563C1" w:themeColor="hyperlink"/>
      <w:u w:val="single"/>
    </w:rPr>
  </w:style>
  <w:style w:type="table" w:styleId="TableGrid">
    <w:name w:val="Table Grid"/>
    <w:basedOn w:val="TableNormal"/>
    <w:uiPriority w:val="39"/>
    <w:rsid w:val="006431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3">
    <w:name w:val="Grid Table 4 Accent 3"/>
    <w:basedOn w:val="TableNormal"/>
    <w:uiPriority w:val="49"/>
    <w:rsid w:val="00844E4D"/>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
    <w:name w:val="Grid Table 4"/>
    <w:basedOn w:val="TableNormal"/>
    <w:uiPriority w:val="49"/>
    <w:rsid w:val="006E3BA3"/>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5C366F"/>
    <w:pPr>
      <w:spacing w:after="100"/>
      <w:ind w:left="240"/>
    </w:pPr>
  </w:style>
  <w:style w:type="paragraph" w:styleId="Header">
    <w:name w:val="header"/>
    <w:basedOn w:val="Normal"/>
    <w:link w:val="HeaderChar"/>
    <w:uiPriority w:val="99"/>
    <w:unhideWhenUsed/>
    <w:rsid w:val="001E6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7DC"/>
    <w:rPr>
      <w:rFonts w:ascii="Arial" w:hAnsi="Arial"/>
      <w:sz w:val="24"/>
    </w:rPr>
  </w:style>
  <w:style w:type="paragraph" w:styleId="Footer">
    <w:name w:val="footer"/>
    <w:basedOn w:val="Normal"/>
    <w:link w:val="FooterChar"/>
    <w:uiPriority w:val="99"/>
    <w:unhideWhenUsed/>
    <w:rsid w:val="001E6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7DC"/>
    <w:rPr>
      <w:rFonts w:ascii="Arial" w:hAnsi="Arial"/>
      <w:sz w:val="24"/>
    </w:rPr>
  </w:style>
  <w:style w:type="paragraph" w:styleId="BalloonText">
    <w:name w:val="Balloon Text"/>
    <w:basedOn w:val="Normal"/>
    <w:link w:val="BalloonTextChar"/>
    <w:uiPriority w:val="99"/>
    <w:semiHidden/>
    <w:unhideWhenUsed/>
    <w:rsid w:val="006B5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3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E11D6-02CC-4B89-AC18-81FEF374B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TOSHIBA</cp:lastModifiedBy>
  <cp:revision>6</cp:revision>
  <dcterms:created xsi:type="dcterms:W3CDTF">2021-07-22T17:16:00Z</dcterms:created>
  <dcterms:modified xsi:type="dcterms:W3CDTF">2021-07-26T16:51:00Z</dcterms:modified>
</cp:coreProperties>
</file>