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B9C8E" w14:textId="77777777" w:rsidR="0040051B" w:rsidRDefault="004356B9">
      <w:pPr>
        <w:spacing w:after="1246" w:line="216" w:lineRule="auto"/>
        <w:ind w:left="1496" w:right="190" w:hanging="310"/>
      </w:pPr>
      <w:r>
        <w:rPr>
          <w:rFonts w:ascii="Times New Roman" w:eastAsia="Times New Roman" w:hAnsi="Times New Roman" w:cs="Times New Roman"/>
          <w:color w:val="404040"/>
          <w:sz w:val="50"/>
        </w:rPr>
        <w:t>Certificate of Higher Education Skills for the Workplace (Health &amp; Social Care)</w:t>
      </w:r>
    </w:p>
    <w:p w14:paraId="3611CEB3" w14:textId="77777777" w:rsidR="0040051B" w:rsidRDefault="004356B9">
      <w:pPr>
        <w:spacing w:after="807" w:line="265" w:lineRule="auto"/>
        <w:ind w:left="955" w:right="557" w:hanging="10"/>
      </w:pPr>
      <w:r>
        <w:rPr>
          <w:rFonts w:ascii="Times New Roman" w:eastAsia="Times New Roman" w:hAnsi="Times New Roman" w:cs="Times New Roman"/>
          <w:color w:val="404040"/>
          <w:sz w:val="41"/>
        </w:rPr>
        <w:t>Student: Dominique Heath Student Number: 2505637</w:t>
      </w:r>
    </w:p>
    <w:p w14:paraId="64337E12" w14:textId="77777777" w:rsidR="0040051B" w:rsidRDefault="004356B9">
      <w:pPr>
        <w:spacing w:after="807" w:line="265" w:lineRule="auto"/>
        <w:ind w:left="955" w:right="557" w:hanging="10"/>
      </w:pPr>
      <w:r>
        <w:rPr>
          <w:noProof/>
        </w:rPr>
        <mc:AlternateContent>
          <mc:Choice Requires="wpg">
            <w:drawing>
              <wp:anchor distT="0" distB="0" distL="114300" distR="114300" simplePos="0" relativeHeight="251658240" behindDoc="0" locked="0" layoutInCell="1" allowOverlap="1" wp14:anchorId="015F01B0" wp14:editId="34D06061">
                <wp:simplePos x="0" y="0"/>
                <wp:positionH relativeFrom="page">
                  <wp:posOffset>329184</wp:posOffset>
                </wp:positionH>
                <wp:positionV relativeFrom="page">
                  <wp:posOffset>9290304</wp:posOffset>
                </wp:positionV>
                <wp:extent cx="7114033" cy="768096"/>
                <wp:effectExtent l="0" t="0" r="0" b="0"/>
                <wp:wrapTopAndBottom/>
                <wp:docPr id="5325" name="Group 5325"/>
                <wp:cNvGraphicFramePr/>
                <a:graphic xmlns:a="http://schemas.openxmlformats.org/drawingml/2006/main">
                  <a:graphicData uri="http://schemas.microsoft.com/office/word/2010/wordprocessingGroup">
                    <wpg:wgp>
                      <wpg:cNvGrpSpPr/>
                      <wpg:grpSpPr>
                        <a:xfrm>
                          <a:off x="0" y="0"/>
                          <a:ext cx="7114033" cy="768096"/>
                          <a:chOff x="0" y="0"/>
                          <a:chExt cx="7114033" cy="768096"/>
                        </a:xfrm>
                      </wpg:grpSpPr>
                      <pic:pic xmlns:pic="http://schemas.openxmlformats.org/drawingml/2006/picture">
                        <pic:nvPicPr>
                          <pic:cNvPr id="6916" name="Picture 6916"/>
                          <pic:cNvPicPr/>
                        </pic:nvPicPr>
                        <pic:blipFill>
                          <a:blip r:embed="rId7"/>
                          <a:stretch>
                            <a:fillRect/>
                          </a:stretch>
                        </pic:blipFill>
                        <pic:spPr>
                          <a:xfrm>
                            <a:off x="-3047" y="-5079"/>
                            <a:ext cx="7117081" cy="771144"/>
                          </a:xfrm>
                          <a:prstGeom prst="rect">
                            <a:avLst/>
                          </a:prstGeom>
                        </pic:spPr>
                      </pic:pic>
                    </wpg:wgp>
                  </a:graphicData>
                </a:graphic>
              </wp:anchor>
            </w:drawing>
          </mc:Choice>
          <mc:Fallback xmlns:a="http://schemas.openxmlformats.org/drawingml/2006/main">
            <w:pict>
              <v:group id="Group 5325" style="width:560.16pt;height:60.48pt;position:absolute;mso-position-horizontal-relative:page;mso-position-horizontal:absolute;margin-left:25.92pt;mso-position-vertical-relative:page;margin-top:731.52pt;" coordsize="71140,7680">
                <v:shape id="Picture 6916" style="position:absolute;width:71170;height:7711;left:-30;top:-50;" filled="f">
                  <v:imagedata r:id="rId8"/>
                </v:shape>
                <w10:wrap type="topAndBottom"/>
              </v:group>
            </w:pict>
          </mc:Fallback>
        </mc:AlternateContent>
      </w:r>
      <w:r>
        <w:rPr>
          <w:rFonts w:ascii="Times New Roman" w:eastAsia="Times New Roman" w:hAnsi="Times New Roman" w:cs="Times New Roman"/>
          <w:color w:val="404040"/>
          <w:sz w:val="41"/>
        </w:rPr>
        <w:t xml:space="preserve">Module: LCHS4003 - Introduction to Health and Social Care </w:t>
      </w:r>
    </w:p>
    <w:p w14:paraId="26785899" w14:textId="238A0F34" w:rsidR="0040051B" w:rsidRDefault="004356B9">
      <w:pPr>
        <w:spacing w:after="807" w:line="265" w:lineRule="auto"/>
        <w:ind w:left="955" w:right="557" w:hanging="10"/>
      </w:pPr>
      <w:r>
        <w:rPr>
          <w:rFonts w:ascii="Times New Roman" w:eastAsia="Times New Roman" w:hAnsi="Times New Roman" w:cs="Times New Roman"/>
          <w:color w:val="404040"/>
          <w:sz w:val="41"/>
        </w:rPr>
        <w:t>Lecturer: Dr</w:t>
      </w:r>
      <w:r w:rsidR="002E5573">
        <w:rPr>
          <w:rFonts w:ascii="Times New Roman" w:eastAsia="Times New Roman" w:hAnsi="Times New Roman" w:cs="Times New Roman"/>
          <w:color w:val="404040"/>
          <w:sz w:val="41"/>
        </w:rPr>
        <w:t xml:space="preserve"> Daniel Ha</w:t>
      </w:r>
      <w:r w:rsidR="00901FAD">
        <w:rPr>
          <w:rFonts w:ascii="Times New Roman" w:eastAsia="Times New Roman" w:hAnsi="Times New Roman" w:cs="Times New Roman"/>
          <w:color w:val="404040"/>
          <w:sz w:val="41"/>
        </w:rPr>
        <w:t>nura</w:t>
      </w:r>
    </w:p>
    <w:p w14:paraId="71EBBA2C" w14:textId="77777777" w:rsidR="0040051B" w:rsidRDefault="004356B9">
      <w:pPr>
        <w:spacing w:after="807" w:line="265" w:lineRule="auto"/>
        <w:ind w:left="955" w:right="557" w:hanging="10"/>
      </w:pPr>
      <w:r>
        <w:rPr>
          <w:rFonts w:ascii="Times New Roman" w:eastAsia="Times New Roman" w:hAnsi="Times New Roman" w:cs="Times New Roman"/>
          <w:color w:val="404040"/>
          <w:sz w:val="41"/>
        </w:rPr>
        <w:t>Assignment Title:  Portfolio – Two Tasks</w:t>
      </w:r>
    </w:p>
    <w:p w14:paraId="7B522CF5" w14:textId="77777777" w:rsidR="0040051B" w:rsidRDefault="004356B9">
      <w:pPr>
        <w:spacing w:after="807" w:line="265" w:lineRule="auto"/>
        <w:ind w:left="955" w:right="557" w:hanging="10"/>
      </w:pPr>
      <w:r>
        <w:rPr>
          <w:rFonts w:ascii="Times New Roman" w:eastAsia="Times New Roman" w:hAnsi="Times New Roman" w:cs="Times New Roman"/>
          <w:color w:val="404040"/>
          <w:sz w:val="41"/>
        </w:rPr>
        <w:t>Task 1: Create a poster (900 words Equivalent) that explains one social care service from the table below</w:t>
      </w:r>
    </w:p>
    <w:p w14:paraId="1A93A054" w14:textId="77777777" w:rsidR="0040051B" w:rsidRDefault="004356B9">
      <w:pPr>
        <w:spacing w:after="493"/>
        <w:ind w:left="1666"/>
      </w:pPr>
      <w:r>
        <w:rPr>
          <w:noProof/>
        </w:rPr>
        <w:drawing>
          <wp:anchor distT="0" distB="0" distL="114300" distR="114300" simplePos="0" relativeHeight="251659264" behindDoc="0" locked="0" layoutInCell="1" allowOverlap="0" wp14:anchorId="390E3FDB" wp14:editId="72B498FF">
            <wp:simplePos x="0" y="0"/>
            <wp:positionH relativeFrom="column">
              <wp:posOffset>4779264</wp:posOffset>
            </wp:positionH>
            <wp:positionV relativeFrom="paragraph">
              <wp:posOffset>-228106</wp:posOffset>
            </wp:positionV>
            <wp:extent cx="2033016" cy="1385316"/>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9"/>
                    <a:stretch>
                      <a:fillRect/>
                    </a:stretch>
                  </pic:blipFill>
                  <pic:spPr>
                    <a:xfrm>
                      <a:off x="0" y="0"/>
                      <a:ext cx="2033016" cy="1385316"/>
                    </a:xfrm>
                    <a:prstGeom prst="rect">
                      <a:avLst/>
                    </a:prstGeom>
                  </pic:spPr>
                </pic:pic>
              </a:graphicData>
            </a:graphic>
          </wp:anchor>
        </w:drawing>
      </w:r>
      <w:r>
        <w:rPr>
          <w:rFonts w:ascii="Times New Roman" w:eastAsia="Times New Roman" w:hAnsi="Times New Roman" w:cs="Times New Roman"/>
          <w:sz w:val="38"/>
        </w:rPr>
        <w:t>Community Mental Health Services</w:t>
      </w:r>
    </w:p>
    <w:p w14:paraId="2C7A6A98" w14:textId="77777777" w:rsidR="0040051B" w:rsidRDefault="004356B9">
      <w:pPr>
        <w:spacing w:after="79" w:line="250" w:lineRule="auto"/>
        <w:ind w:left="192" w:right="4794"/>
      </w:pPr>
      <w:r>
        <w:rPr>
          <w:rFonts w:ascii="Times New Roman" w:eastAsia="Times New Roman" w:hAnsi="Times New Roman" w:cs="Times New Roman"/>
          <w:sz w:val="28"/>
        </w:rPr>
        <w:t>What Are Community Mental Health Services?</w:t>
      </w:r>
    </w:p>
    <w:tbl>
      <w:tblPr>
        <w:tblStyle w:val="TableGrid"/>
        <w:tblpPr w:vertAnchor="text" w:tblpY="1462"/>
        <w:tblOverlap w:val="never"/>
        <w:tblW w:w="10696" w:type="dxa"/>
        <w:tblInd w:w="0" w:type="dxa"/>
        <w:tblCellMar>
          <w:top w:w="0" w:type="dxa"/>
          <w:left w:w="0" w:type="dxa"/>
          <w:bottom w:w="0" w:type="dxa"/>
          <w:right w:w="0" w:type="dxa"/>
        </w:tblCellMar>
        <w:tblLook w:val="04A0" w:firstRow="1" w:lastRow="0" w:firstColumn="1" w:lastColumn="0" w:noHBand="0" w:noVBand="1"/>
      </w:tblPr>
      <w:tblGrid>
        <w:gridCol w:w="5993"/>
        <w:gridCol w:w="4703"/>
      </w:tblGrid>
      <w:tr w:rsidR="0040051B" w14:paraId="7C51CDBA" w14:textId="77777777">
        <w:trPr>
          <w:trHeight w:val="3391"/>
        </w:trPr>
        <w:tc>
          <w:tcPr>
            <w:tcW w:w="5993" w:type="dxa"/>
            <w:tcBorders>
              <w:top w:val="nil"/>
              <w:left w:val="nil"/>
              <w:bottom w:val="nil"/>
              <w:right w:val="nil"/>
            </w:tcBorders>
          </w:tcPr>
          <w:p w14:paraId="6F5805E8" w14:textId="77777777" w:rsidR="0040051B" w:rsidRDefault="004356B9">
            <w:pPr>
              <w:spacing w:after="356" w:line="248" w:lineRule="auto"/>
              <w:ind w:right="1730"/>
              <w:jc w:val="both"/>
            </w:pPr>
            <w:r>
              <w:rPr>
                <w:rFonts w:ascii="Times New Roman" w:eastAsia="Times New Roman" w:hAnsi="Times New Roman" w:cs="Times New Roman"/>
                <w:sz w:val="14"/>
              </w:rPr>
              <w:lastRenderedPageBreak/>
              <w:t>depression and anxiety is very widespread among the UK population, which emphasises the necessity of accessible community services (de la Torre et al., 2020). Lastly, Mind (2023) argues that the community mental health assistance of youths is in demand because of the escalation of emotional distress rates.</w:t>
            </w:r>
          </w:p>
          <w:p w14:paraId="1EE79A6E" w14:textId="77777777" w:rsidR="0040051B" w:rsidRDefault="004356B9">
            <w:pPr>
              <w:spacing w:after="73"/>
              <w:ind w:left="48"/>
            </w:pPr>
            <w:r>
              <w:rPr>
                <w:rFonts w:ascii="Times New Roman" w:eastAsia="Times New Roman" w:hAnsi="Times New Roman" w:cs="Times New Roman"/>
                <w:sz w:val="24"/>
              </w:rPr>
              <w:t>Brief History of Community Mental Health Services</w:t>
            </w:r>
          </w:p>
          <w:p w14:paraId="361C3F42" w14:textId="77777777" w:rsidR="0040051B" w:rsidRDefault="004356B9">
            <w:pPr>
              <w:spacing w:after="0" w:line="264" w:lineRule="auto"/>
              <w:ind w:left="120" w:right="1468"/>
              <w:jc w:val="both"/>
            </w:pPr>
            <w:r>
              <w:rPr>
                <w:rFonts w:ascii="Times New Roman" w:eastAsia="Times New Roman" w:hAnsi="Times New Roman" w:cs="Times New Roman"/>
                <w:sz w:val="14"/>
              </w:rPr>
              <w:t>Traditionally, mental health in the UK was provided in large psychiatric hospitals, called asylums, in the 19</w:t>
            </w:r>
            <w:r>
              <w:rPr>
                <w:rFonts w:ascii="Times New Roman" w:eastAsia="Times New Roman" w:hAnsi="Times New Roman" w:cs="Times New Roman"/>
                <w:sz w:val="14"/>
                <w:vertAlign w:val="superscript"/>
              </w:rPr>
              <w:t xml:space="preserve">th </w:t>
            </w:r>
            <w:r>
              <w:rPr>
                <w:rFonts w:ascii="Times New Roman" w:eastAsia="Times New Roman" w:hAnsi="Times New Roman" w:cs="Times New Roman"/>
                <w:sz w:val="14"/>
              </w:rPr>
              <w:t>and early 20</w:t>
            </w:r>
            <w:r>
              <w:rPr>
                <w:rFonts w:ascii="Times New Roman" w:eastAsia="Times New Roman" w:hAnsi="Times New Roman" w:cs="Times New Roman"/>
                <w:sz w:val="14"/>
                <w:vertAlign w:val="superscript"/>
              </w:rPr>
              <w:t xml:space="preserve">th </w:t>
            </w:r>
            <w:r>
              <w:rPr>
                <w:rFonts w:ascii="Times New Roman" w:eastAsia="Times New Roman" w:hAnsi="Times New Roman" w:cs="Times New Roman"/>
                <w:sz w:val="14"/>
              </w:rPr>
              <w:t>century. Starting in the mid 20</w:t>
            </w:r>
            <w:r>
              <w:rPr>
                <w:rFonts w:ascii="Times New Roman" w:eastAsia="Times New Roman" w:hAnsi="Times New Roman" w:cs="Times New Roman"/>
                <w:sz w:val="14"/>
                <w:vertAlign w:val="superscript"/>
              </w:rPr>
              <w:t xml:space="preserve">th </w:t>
            </w:r>
            <w:r>
              <w:rPr>
                <w:rFonts w:ascii="Times New Roman" w:eastAsia="Times New Roman" w:hAnsi="Times New Roman" w:cs="Times New Roman"/>
                <w:sz w:val="14"/>
              </w:rPr>
              <w:t>century, the deinstitutionalisation policies changed the placement of care from hospitals to the community to enhance both the quality of life and social inclusion.</w:t>
            </w:r>
          </w:p>
          <w:p w14:paraId="74B3A3E2" w14:textId="77777777" w:rsidR="0040051B" w:rsidRDefault="004356B9">
            <w:pPr>
              <w:spacing w:after="0" w:line="249" w:lineRule="auto"/>
              <w:ind w:left="120" w:right="1092"/>
              <w:jc w:val="both"/>
            </w:pPr>
            <w:r>
              <w:rPr>
                <w:rFonts w:ascii="Times New Roman" w:eastAsia="Times New Roman" w:hAnsi="Times New Roman" w:cs="Times New Roman"/>
                <w:sz w:val="14"/>
              </w:rPr>
              <w:t>The idea of forming a Royal College of Psychiatrists goes as far back as the 1950s, but it was only in 1964 that Council decided to set up the Petition</w:t>
            </w:r>
          </w:p>
          <w:p w14:paraId="2AA31E4C" w14:textId="77777777" w:rsidR="0040051B" w:rsidRDefault="004356B9">
            <w:pPr>
              <w:spacing w:after="0"/>
              <w:ind w:left="120" w:right="1468"/>
              <w:jc w:val="both"/>
            </w:pPr>
            <w:r>
              <w:rPr>
                <w:rFonts w:ascii="Times New Roman" w:eastAsia="Times New Roman" w:hAnsi="Times New Roman" w:cs="Times New Roman"/>
                <w:sz w:val="14"/>
              </w:rPr>
              <w:t>Committee, which was tasked with starting negotiations with the Privy Council. The Association of Psychiatrists in Training (APIT) and the Society of Clinical Psychiatrists played important roles in lobbying for Royal College status. The 1980s-1990s UK community care reforms have provided</w:t>
            </w:r>
          </w:p>
        </w:tc>
        <w:tc>
          <w:tcPr>
            <w:tcW w:w="4703" w:type="dxa"/>
            <w:tcBorders>
              <w:top w:val="nil"/>
              <w:left w:val="nil"/>
              <w:bottom w:val="nil"/>
              <w:right w:val="nil"/>
            </w:tcBorders>
          </w:tcPr>
          <w:p w14:paraId="4ECE1390" w14:textId="77777777" w:rsidR="0040051B" w:rsidRDefault="004356B9">
            <w:pPr>
              <w:spacing w:after="0" w:line="248" w:lineRule="auto"/>
              <w:jc w:val="both"/>
            </w:pPr>
            <w:r>
              <w:rPr>
                <w:rFonts w:ascii="Times New Roman" w:eastAsia="Times New Roman" w:hAnsi="Times New Roman" w:cs="Times New Roman"/>
                <w:sz w:val="14"/>
              </w:rPr>
              <w:t>In recent years, mental health disorders among both the youth and adults have grown to a considerable level. However, social forces and the use of digital technology are among the factors that cause increasing levels of anxiety and depression (Twenge, 2020).</w:t>
            </w:r>
          </w:p>
          <w:p w14:paraId="52D15FDE" w14:textId="77777777" w:rsidR="0040051B" w:rsidRDefault="004356B9">
            <w:pPr>
              <w:spacing w:after="0" w:line="248" w:lineRule="auto"/>
              <w:jc w:val="both"/>
            </w:pPr>
            <w:r>
              <w:rPr>
                <w:rFonts w:ascii="Times New Roman" w:eastAsia="Times New Roman" w:hAnsi="Times New Roman" w:cs="Times New Roman"/>
                <w:sz w:val="14"/>
              </w:rPr>
              <w:t>There is a correlation between social media exposure, psychological distress and anxiety among working populations (An et al., 2023). The rising prevalence puts strain on community services, which results in waiting lists and limited accessibility.</w:t>
            </w:r>
          </w:p>
          <w:p w14:paraId="45579859" w14:textId="77777777" w:rsidR="0040051B" w:rsidRDefault="004356B9">
            <w:pPr>
              <w:spacing w:after="0"/>
            </w:pPr>
            <w:r>
              <w:rPr>
                <w:rFonts w:ascii="Times New Roman" w:eastAsia="Times New Roman" w:hAnsi="Times New Roman" w:cs="Times New Roman"/>
                <w:sz w:val="14"/>
              </w:rPr>
              <w:t>Social and Environmental Determinants</w:t>
            </w:r>
          </w:p>
          <w:p w14:paraId="4C7C59DC" w14:textId="77777777" w:rsidR="0040051B" w:rsidRDefault="004356B9">
            <w:pPr>
              <w:spacing w:after="2" w:line="247" w:lineRule="auto"/>
              <w:jc w:val="both"/>
            </w:pPr>
            <w:r>
              <w:rPr>
                <w:rFonts w:ascii="Times New Roman" w:eastAsia="Times New Roman" w:hAnsi="Times New Roman" w:cs="Times New Roman"/>
                <w:sz w:val="14"/>
              </w:rPr>
              <w:t>Urbanisation and changing lifestyle are social and environmental factors that have significant effects on social and mental health. According to Pan et al. (2024), there is a relationship between urbanisation and social change, with increased risk of adolescent depression.</w:t>
            </w:r>
          </w:p>
          <w:p w14:paraId="59902A5B" w14:textId="77777777" w:rsidR="0040051B" w:rsidRDefault="004356B9">
            <w:pPr>
              <w:spacing w:after="2" w:line="247" w:lineRule="auto"/>
              <w:ind w:right="3"/>
              <w:jc w:val="both"/>
            </w:pPr>
            <w:r>
              <w:rPr>
                <w:rFonts w:ascii="Times New Roman" w:eastAsia="Times New Roman" w:hAnsi="Times New Roman" w:cs="Times New Roman"/>
                <w:sz w:val="14"/>
              </w:rPr>
              <w:t>Exposure to technology and screen time are some of the contributors to psychological distress among adolescents (Keles et al., 2020). While health and lifestyle issues like obesity and chronic illness influence the psychological wellbeing as well (Putra et al., 2024).</w:t>
            </w:r>
          </w:p>
          <w:p w14:paraId="0AB5D24F" w14:textId="77777777" w:rsidR="0040051B" w:rsidRDefault="004356B9">
            <w:pPr>
              <w:spacing w:after="0"/>
            </w:pPr>
            <w:r>
              <w:rPr>
                <w:rFonts w:ascii="Times New Roman" w:eastAsia="Times New Roman" w:hAnsi="Times New Roman" w:cs="Times New Roman"/>
                <w:sz w:val="14"/>
              </w:rPr>
              <w:t>Thus, these factors make cases handled in community mental health facilities more complicated.</w:t>
            </w:r>
          </w:p>
        </w:tc>
      </w:tr>
    </w:tbl>
    <w:p w14:paraId="694E5F24" w14:textId="77777777" w:rsidR="0040051B" w:rsidRDefault="004356B9">
      <w:pPr>
        <w:spacing w:after="4" w:line="254" w:lineRule="auto"/>
        <w:ind w:left="10" w:right="4720" w:hanging="10"/>
        <w:jc w:val="both"/>
      </w:pPr>
      <w:r>
        <w:rPr>
          <w:noProof/>
        </w:rPr>
        <w:drawing>
          <wp:anchor distT="0" distB="0" distL="114300" distR="114300" simplePos="0" relativeHeight="251660288" behindDoc="0" locked="0" layoutInCell="1" allowOverlap="0" wp14:anchorId="155E6E78" wp14:editId="62C0A06C">
            <wp:simplePos x="0" y="0"/>
            <wp:positionH relativeFrom="column">
              <wp:posOffset>2763013</wp:posOffset>
            </wp:positionH>
            <wp:positionV relativeFrom="paragraph">
              <wp:posOffset>21168</wp:posOffset>
            </wp:positionV>
            <wp:extent cx="1025652" cy="926592"/>
            <wp:effectExtent l="0" t="0" r="0" b="0"/>
            <wp:wrapSquare wrapText="bothSides"/>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0"/>
                    <a:stretch>
                      <a:fillRect/>
                    </a:stretch>
                  </pic:blipFill>
                  <pic:spPr>
                    <a:xfrm>
                      <a:off x="0" y="0"/>
                      <a:ext cx="1025652" cy="926592"/>
                    </a:xfrm>
                    <a:prstGeom prst="rect">
                      <a:avLst/>
                    </a:prstGeom>
                  </pic:spPr>
                </pic:pic>
              </a:graphicData>
            </a:graphic>
          </wp:anchor>
        </w:drawing>
      </w:r>
      <w:r>
        <w:rPr>
          <w:rFonts w:ascii="Times New Roman" w:eastAsia="Times New Roman" w:hAnsi="Times New Roman" w:cs="Times New Roman"/>
          <w:sz w:val="14"/>
        </w:rPr>
        <w:t>Community Mental Health Services (CMHS) are multidisciplinary care teams of health and social service that provide evaluation, intervention, and follow-ups of individuals with mental disorders as they live in</w:t>
      </w:r>
    </w:p>
    <w:p w14:paraId="7EA4CA9B" w14:textId="77777777" w:rsidR="0040051B" w:rsidRDefault="004356B9">
      <w:pPr>
        <w:spacing w:after="4" w:line="254" w:lineRule="auto"/>
        <w:ind w:left="10" w:hanging="10"/>
        <w:jc w:val="both"/>
      </w:pPr>
      <w:r>
        <w:rPr>
          <w:rFonts w:ascii="Times New Roman" w:eastAsia="Times New Roman" w:hAnsi="Times New Roman" w:cs="Times New Roman"/>
          <w:sz w:val="14"/>
        </w:rPr>
        <w:t>communities and homes instead of hospitals. These services involve</w:t>
      </w:r>
      <w:r>
        <w:rPr>
          <w:rFonts w:ascii="Times New Roman" w:eastAsia="Times New Roman" w:hAnsi="Times New Roman" w:cs="Times New Roman"/>
          <w:sz w:val="24"/>
        </w:rPr>
        <w:t xml:space="preserve">Challenges Facing Community Mental Health </w:t>
      </w:r>
    </w:p>
    <w:p w14:paraId="12FD970B" w14:textId="77777777" w:rsidR="0040051B" w:rsidRDefault="004356B9">
      <w:pPr>
        <w:spacing w:after="4" w:line="254" w:lineRule="auto"/>
        <w:ind w:left="10" w:right="4720" w:hanging="10"/>
        <w:jc w:val="both"/>
      </w:pPr>
      <w:r>
        <w:rPr>
          <w:rFonts w:ascii="Times New Roman" w:eastAsia="Times New Roman" w:hAnsi="Times New Roman" w:cs="Times New Roman"/>
          <w:sz w:val="14"/>
        </w:rPr>
        <w:t>psychiatrists, psychologists, nurses, social workers and occupational</w:t>
      </w:r>
    </w:p>
    <w:p w14:paraId="259848B4" w14:textId="77777777" w:rsidR="0040051B" w:rsidRDefault="004356B9">
      <w:pPr>
        <w:spacing w:after="0"/>
        <w:ind w:left="4361" w:hanging="10"/>
        <w:jc w:val="center"/>
      </w:pPr>
      <w:r>
        <w:rPr>
          <w:rFonts w:ascii="Times New Roman" w:eastAsia="Times New Roman" w:hAnsi="Times New Roman" w:cs="Times New Roman"/>
          <w:sz w:val="24"/>
        </w:rPr>
        <w:t>Services</w:t>
      </w:r>
    </w:p>
    <w:p w14:paraId="5E29F4B6" w14:textId="77777777" w:rsidR="0040051B" w:rsidRDefault="004356B9">
      <w:pPr>
        <w:spacing w:after="4" w:line="254" w:lineRule="auto"/>
        <w:ind w:left="10" w:right="4720" w:hanging="10"/>
        <w:jc w:val="both"/>
      </w:pPr>
      <w:r>
        <w:rPr>
          <w:rFonts w:ascii="Times New Roman" w:eastAsia="Times New Roman" w:hAnsi="Times New Roman" w:cs="Times New Roman"/>
          <w:sz w:val="14"/>
        </w:rPr>
        <w:t>therapists who collaborate to ensure recovery and independence. According to Royal College of Psychiatrists (2025), the purpose of community-based mental health care is to minimize hospitalization and</w:t>
      </w:r>
    </w:p>
    <w:tbl>
      <w:tblPr>
        <w:tblStyle w:val="TableGrid"/>
        <w:tblpPr w:vertAnchor="page" w:horzAnchor="page" w:tblpX="2352" w:tblpY="13848"/>
        <w:tblOverlap w:val="never"/>
        <w:tblW w:w="7608" w:type="dxa"/>
        <w:tblInd w:w="0" w:type="dxa"/>
        <w:tblCellMar>
          <w:top w:w="58" w:type="dxa"/>
          <w:left w:w="34" w:type="dxa"/>
          <w:bottom w:w="0" w:type="dxa"/>
          <w:right w:w="33" w:type="dxa"/>
        </w:tblCellMar>
        <w:tblLook w:val="04A0" w:firstRow="1" w:lastRow="0" w:firstColumn="1" w:lastColumn="0" w:noHBand="0" w:noVBand="1"/>
      </w:tblPr>
      <w:tblGrid>
        <w:gridCol w:w="7608"/>
      </w:tblGrid>
      <w:tr w:rsidR="0040051B" w14:paraId="615C60B5" w14:textId="77777777">
        <w:trPr>
          <w:trHeight w:val="1745"/>
        </w:trPr>
        <w:tc>
          <w:tcPr>
            <w:tcW w:w="7608" w:type="dxa"/>
            <w:tcBorders>
              <w:top w:val="nil"/>
              <w:left w:val="nil"/>
              <w:bottom w:val="nil"/>
              <w:right w:val="nil"/>
            </w:tcBorders>
            <w:shd w:val="clear" w:color="auto" w:fill="E7E4CC"/>
          </w:tcPr>
          <w:p w14:paraId="0A9DC35C" w14:textId="77777777" w:rsidR="0040051B" w:rsidRDefault="004356B9">
            <w:pPr>
              <w:spacing w:after="0"/>
              <w:jc w:val="both"/>
            </w:pPr>
            <w:r>
              <w:rPr>
                <w:rFonts w:ascii="Times New Roman" w:eastAsia="Times New Roman" w:hAnsi="Times New Roman" w:cs="Times New Roman"/>
                <w:sz w:val="14"/>
              </w:rPr>
              <w:lastRenderedPageBreak/>
              <w:t>CMHS are important in helping people with mental problems lead safe, independent and meaningful lives in their localities. Having accessible and person-centred services, these services help service users to control the symptoms, learn coping mechanisms, and engage in social, educational, and occupational activities. Joint efforts of psychiatrists, psychologists, nurses, social workers, and occupational therapists determine the needs of individuals, provide treatment, and psychosocial support; therefore, pat</w:t>
            </w:r>
            <w:r>
              <w:rPr>
                <w:rFonts w:ascii="Times New Roman" w:eastAsia="Times New Roman" w:hAnsi="Times New Roman" w:cs="Times New Roman"/>
                <w:sz w:val="14"/>
              </w:rPr>
              <w:t xml:space="preserve">ients get holistic care depending </w:t>
            </w:r>
            <w:r>
              <w:rPr>
                <w:rFonts w:ascii="Times New Roman" w:eastAsia="Times New Roman" w:hAnsi="Times New Roman" w:cs="Times New Roman"/>
                <w:sz w:val="14"/>
              </w:rPr>
              <w:lastRenderedPageBreak/>
              <w:t>on their conditions (Royal College of Psychiatrists, 2025). This strategy will lead to fewer people having to be hospitalised and will also ensure recovery and social inclusion, which will increase the quality of life. Although there are these advantages, CMHS are challenged by huge problems. Growth of population, urbanisation and the increased prevalence rate of mental health conditions increase the demand of services, which is usually associated with long waiting times. O</w:t>
            </w:r>
            <w:r>
              <w:rPr>
                <w:rFonts w:ascii="Times New Roman" w:eastAsia="Times New Roman" w:hAnsi="Times New Roman" w:cs="Times New Roman"/>
                <w:sz w:val="14"/>
              </w:rPr>
              <w:t>ther social determinants like poverty, housing insecurities, and technological demands also make the provision of care more difficult and therefore necessitate adapting strategies to continue the effective care provision.</w:t>
            </w:r>
          </w:p>
        </w:tc>
      </w:tr>
    </w:tbl>
    <w:p w14:paraId="2FF6FA1D" w14:textId="77777777" w:rsidR="0040051B" w:rsidRDefault="004356B9">
      <w:pPr>
        <w:spacing w:after="3471" w:line="254" w:lineRule="auto"/>
        <w:ind w:left="10" w:hanging="10"/>
        <w:jc w:val="both"/>
      </w:pPr>
      <w:r>
        <w:rPr>
          <w:noProof/>
        </w:rPr>
        <w:lastRenderedPageBreak/>
        <w:drawing>
          <wp:anchor distT="0" distB="0" distL="114300" distR="114300" simplePos="0" relativeHeight="251661312" behindDoc="0" locked="0" layoutInCell="1" allowOverlap="0" wp14:anchorId="12D73D3B" wp14:editId="6654CCC9">
            <wp:simplePos x="0" y="0"/>
            <wp:positionH relativeFrom="page">
              <wp:posOffset>371856</wp:posOffset>
            </wp:positionH>
            <wp:positionV relativeFrom="page">
              <wp:posOffset>21336</wp:posOffset>
            </wp:positionV>
            <wp:extent cx="822960" cy="772668"/>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1"/>
                    <a:stretch>
                      <a:fillRect/>
                    </a:stretch>
                  </pic:blipFill>
                  <pic:spPr>
                    <a:xfrm>
                      <a:off x="0" y="0"/>
                      <a:ext cx="822960" cy="772668"/>
                    </a:xfrm>
                    <a:prstGeom prst="rect">
                      <a:avLst/>
                    </a:prstGeom>
                  </pic:spPr>
                </pic:pic>
              </a:graphicData>
            </a:graphic>
          </wp:anchor>
        </w:drawing>
      </w:r>
      <w:r>
        <w:rPr>
          <w:noProof/>
        </w:rPr>
        <w:drawing>
          <wp:anchor distT="0" distB="0" distL="114300" distR="114300" simplePos="0" relativeHeight="251662336" behindDoc="0" locked="0" layoutInCell="1" allowOverlap="0" wp14:anchorId="5E411861" wp14:editId="02512785">
            <wp:simplePos x="0" y="0"/>
            <wp:positionH relativeFrom="page">
              <wp:posOffset>329184</wp:posOffset>
            </wp:positionH>
            <wp:positionV relativeFrom="page">
              <wp:posOffset>9192768</wp:posOffset>
            </wp:positionV>
            <wp:extent cx="1074420" cy="865632"/>
            <wp:effectExtent l="0" t="0" r="0" b="0"/>
            <wp:wrapTopAndBottom/>
            <wp:docPr id="40" name="Pictu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2"/>
                    <a:stretch>
                      <a:fillRect/>
                    </a:stretch>
                  </pic:blipFill>
                  <pic:spPr>
                    <a:xfrm>
                      <a:off x="0" y="0"/>
                      <a:ext cx="1074420" cy="865632"/>
                    </a:xfrm>
                    <a:prstGeom prst="rect">
                      <a:avLst/>
                    </a:prstGeom>
                  </pic:spPr>
                </pic:pic>
              </a:graphicData>
            </a:graphic>
          </wp:anchor>
        </w:drawing>
      </w:r>
      <w:r>
        <w:rPr>
          <w:rFonts w:ascii="Times New Roman" w:eastAsia="Times New Roman" w:hAnsi="Times New Roman" w:cs="Times New Roman"/>
          <w:sz w:val="14"/>
        </w:rPr>
        <w:t>support recovery in familiar surroundings. However, the problem ofRising Demand for Services</w:t>
      </w:r>
    </w:p>
    <w:p w14:paraId="30E5F5C4" w14:textId="77777777" w:rsidR="0040051B" w:rsidRDefault="004356B9">
      <w:pPr>
        <w:spacing w:after="434" w:line="254" w:lineRule="auto"/>
        <w:ind w:left="115" w:right="4720" w:hanging="10"/>
        <w:jc w:val="both"/>
      </w:pPr>
      <w:r>
        <w:rPr>
          <w:noProof/>
        </w:rPr>
        <mc:AlternateContent>
          <mc:Choice Requires="wpg">
            <w:drawing>
              <wp:anchor distT="0" distB="0" distL="114300" distR="114300" simplePos="0" relativeHeight="251663360" behindDoc="0" locked="0" layoutInCell="1" allowOverlap="1" wp14:anchorId="7E65CA77" wp14:editId="22153D6E">
                <wp:simplePos x="0" y="0"/>
                <wp:positionH relativeFrom="column">
                  <wp:posOffset>3025140</wp:posOffset>
                </wp:positionH>
                <wp:positionV relativeFrom="paragraph">
                  <wp:posOffset>62297</wp:posOffset>
                </wp:positionV>
                <wp:extent cx="3736848" cy="1345692"/>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3736848" cy="1345692"/>
                          <a:chOff x="0" y="0"/>
                          <a:chExt cx="3736848" cy="1345692"/>
                        </a:xfrm>
                      </wpg:grpSpPr>
                      <pic:pic xmlns:pic="http://schemas.openxmlformats.org/drawingml/2006/picture">
                        <pic:nvPicPr>
                          <pic:cNvPr id="42" name="Picture 42"/>
                          <pic:cNvPicPr/>
                        </pic:nvPicPr>
                        <pic:blipFill>
                          <a:blip r:embed="rId13"/>
                          <a:stretch>
                            <a:fillRect/>
                          </a:stretch>
                        </pic:blipFill>
                        <pic:spPr>
                          <a:xfrm>
                            <a:off x="1933956" y="0"/>
                            <a:ext cx="1802892" cy="1345692"/>
                          </a:xfrm>
                          <a:prstGeom prst="rect">
                            <a:avLst/>
                          </a:prstGeom>
                        </pic:spPr>
                      </pic:pic>
                      <pic:pic xmlns:pic="http://schemas.openxmlformats.org/drawingml/2006/picture">
                        <pic:nvPicPr>
                          <pic:cNvPr id="46" name="Picture 46"/>
                          <pic:cNvPicPr/>
                        </pic:nvPicPr>
                        <pic:blipFill>
                          <a:blip r:embed="rId14"/>
                          <a:stretch>
                            <a:fillRect/>
                          </a:stretch>
                        </pic:blipFill>
                        <pic:spPr>
                          <a:xfrm>
                            <a:off x="0" y="207264"/>
                            <a:ext cx="1661160" cy="996696"/>
                          </a:xfrm>
                          <a:prstGeom prst="rect">
                            <a:avLst/>
                          </a:prstGeom>
                        </pic:spPr>
                      </pic:pic>
                    </wpg:wgp>
                  </a:graphicData>
                </a:graphic>
              </wp:anchor>
            </w:drawing>
          </mc:Choice>
          <mc:Fallback xmlns:a="http://schemas.openxmlformats.org/drawingml/2006/main">
            <w:pict>
              <v:group id="Group 6117" style="width:294.24pt;height:105.96pt;position:absolute;mso-position-horizontal-relative:text;mso-position-horizontal:absolute;margin-left:238.2pt;mso-position-vertical-relative:text;margin-top:4.90527pt;" coordsize="37368,13456">
                <v:shape id="Picture 42" style="position:absolute;width:18028;height:13456;left:19339;top:0;" filled="f">
                  <v:imagedata r:id="rId15"/>
                </v:shape>
                <v:shape id="Picture 46" style="position:absolute;width:16611;height:9966;left:0;top:2072;" filled="f">
                  <v:imagedata r:id="rId16"/>
                </v:shape>
                <w10:wrap type="square"/>
              </v:group>
            </w:pict>
          </mc:Fallback>
        </mc:AlternateContent>
      </w:r>
      <w:r>
        <w:rPr>
          <w:noProof/>
        </w:rPr>
        <w:drawing>
          <wp:anchor distT="0" distB="0" distL="114300" distR="114300" simplePos="0" relativeHeight="251664384" behindDoc="0" locked="0" layoutInCell="1" allowOverlap="0" wp14:anchorId="23E27BA8" wp14:editId="42AE9594">
            <wp:simplePos x="0" y="0"/>
            <wp:positionH relativeFrom="column">
              <wp:posOffset>1149096</wp:posOffset>
            </wp:positionH>
            <wp:positionV relativeFrom="paragraph">
              <wp:posOffset>679517</wp:posOffset>
            </wp:positionV>
            <wp:extent cx="934212" cy="621792"/>
            <wp:effectExtent l="0" t="0" r="0" b="0"/>
            <wp:wrapSquare wrapText="bothSides"/>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7"/>
                    <a:stretch>
                      <a:fillRect/>
                    </a:stretch>
                  </pic:blipFill>
                  <pic:spPr>
                    <a:xfrm>
                      <a:off x="0" y="0"/>
                      <a:ext cx="934212" cy="621792"/>
                    </a:xfrm>
                    <a:prstGeom prst="rect">
                      <a:avLst/>
                    </a:prstGeom>
                  </pic:spPr>
                </pic:pic>
              </a:graphicData>
            </a:graphic>
          </wp:anchor>
        </w:drawing>
      </w:r>
      <w:r>
        <w:rPr>
          <w:rFonts w:ascii="Times New Roman" w:eastAsia="Times New Roman" w:hAnsi="Times New Roman" w:cs="Times New Roman"/>
          <w:sz w:val="14"/>
        </w:rPr>
        <w:t>multidisciplinary community mental health teams to substitute the long-stay hospital care. Contemporary CMHS have become the key component of the national mental health policy and the models of recovery-oriented care (Royal College of Psychiatrists, 2025).</w:t>
      </w:r>
    </w:p>
    <w:p w14:paraId="011221C5" w14:textId="77777777" w:rsidR="0040051B" w:rsidRDefault="004356B9">
      <w:pPr>
        <w:spacing w:before="350" w:after="0"/>
        <w:ind w:left="43" w:hanging="10"/>
      </w:pPr>
      <w:r>
        <w:rPr>
          <w:rFonts w:ascii="Times New Roman" w:eastAsia="Times New Roman" w:hAnsi="Times New Roman" w:cs="Times New Roman"/>
          <w:sz w:val="24"/>
        </w:rPr>
        <w:t xml:space="preserve">How Community Mental Health Services Function </w:t>
      </w:r>
    </w:p>
    <w:p w14:paraId="2FA63392" w14:textId="77777777" w:rsidR="0040051B" w:rsidRDefault="004356B9">
      <w:pPr>
        <w:spacing w:after="0"/>
        <w:ind w:right="6"/>
        <w:jc w:val="right"/>
      </w:pPr>
      <w:r>
        <w:rPr>
          <w:rFonts w:ascii="Times New Roman" w:eastAsia="Times New Roman" w:hAnsi="Times New Roman" w:cs="Times New Roman"/>
          <w:sz w:val="24"/>
        </w:rPr>
        <w:t xml:space="preserve">Importance of Community Mental Health </w:t>
      </w:r>
    </w:p>
    <w:p w14:paraId="161539F1" w14:textId="77777777" w:rsidR="0040051B" w:rsidRDefault="004356B9">
      <w:pPr>
        <w:spacing w:after="0"/>
        <w:ind w:left="43" w:hanging="10"/>
      </w:pPr>
      <w:r>
        <w:rPr>
          <w:rFonts w:ascii="Times New Roman" w:eastAsia="Times New Roman" w:hAnsi="Times New Roman" w:cs="Times New Roman"/>
          <w:sz w:val="24"/>
        </w:rPr>
        <w:t>Today</w:t>
      </w:r>
    </w:p>
    <w:p w14:paraId="475C7F9F" w14:textId="77777777" w:rsidR="0040051B" w:rsidRDefault="004356B9">
      <w:pPr>
        <w:spacing w:after="34"/>
        <w:ind w:left="4361" w:right="1264" w:hanging="10"/>
        <w:jc w:val="center"/>
      </w:pPr>
      <w:r>
        <w:rPr>
          <w:rFonts w:ascii="Times New Roman" w:eastAsia="Times New Roman" w:hAnsi="Times New Roman" w:cs="Times New Roman"/>
          <w:sz w:val="24"/>
        </w:rPr>
        <w:t>Services</w:t>
      </w:r>
    </w:p>
    <w:p w14:paraId="4298C746" w14:textId="77777777" w:rsidR="0040051B" w:rsidRDefault="004356B9">
      <w:pPr>
        <w:spacing w:after="4" w:line="254" w:lineRule="auto"/>
        <w:ind w:left="115" w:hanging="10"/>
        <w:jc w:val="both"/>
      </w:pPr>
      <w:r>
        <w:rPr>
          <w:rFonts w:ascii="Times New Roman" w:eastAsia="Times New Roman" w:hAnsi="Times New Roman" w:cs="Times New Roman"/>
          <w:sz w:val="14"/>
        </w:rPr>
        <w:t xml:space="preserve">Integrated teams currently operate Community Mental Health Services through The community mental health services are necessary since they facilitate </w:t>
      </w:r>
      <w:r>
        <w:rPr>
          <w:rFonts w:ascii="Times New Roman" w:eastAsia="Times New Roman" w:hAnsi="Times New Roman" w:cs="Times New Roman"/>
          <w:vertAlign w:val="superscript"/>
        </w:rPr>
        <w:t xml:space="preserve">activities that include: </w:t>
      </w:r>
      <w:r>
        <w:rPr>
          <w:rFonts w:ascii="Times New Roman" w:eastAsia="Times New Roman" w:hAnsi="Times New Roman" w:cs="Times New Roman"/>
          <w:sz w:val="14"/>
        </w:rPr>
        <w:t>healing and self-reliance, reduce hospital admissions, support social</w:t>
      </w:r>
    </w:p>
    <w:p w14:paraId="7A2195C1" w14:textId="77777777" w:rsidR="0040051B" w:rsidRDefault="004356B9">
      <w:pPr>
        <w:tabs>
          <w:tab w:val="center" w:pos="8315"/>
        </w:tabs>
        <w:spacing w:after="4" w:line="254" w:lineRule="auto"/>
      </w:pPr>
      <w:r>
        <w:rPr>
          <w:rFonts w:ascii="Times New Roman" w:eastAsia="Times New Roman" w:hAnsi="Times New Roman" w:cs="Times New Roman"/>
          <w:vertAlign w:val="superscript"/>
        </w:rPr>
        <w:t>Home-based treatment</w:t>
      </w:r>
      <w:r>
        <w:rPr>
          <w:rFonts w:ascii="Times New Roman" w:eastAsia="Times New Roman" w:hAnsi="Times New Roman" w:cs="Times New Roman"/>
          <w:vertAlign w:val="superscript"/>
        </w:rPr>
        <w:tab/>
      </w:r>
      <w:r>
        <w:rPr>
          <w:rFonts w:ascii="Times New Roman" w:eastAsia="Times New Roman" w:hAnsi="Times New Roman" w:cs="Times New Roman"/>
          <w:sz w:val="14"/>
        </w:rPr>
        <w:t>inclusion, improve quality of life, and provide early intervention.</w:t>
      </w:r>
    </w:p>
    <w:p w14:paraId="757AF855" w14:textId="77777777" w:rsidR="0040051B" w:rsidRDefault="004356B9">
      <w:pPr>
        <w:spacing w:after="4" w:line="254" w:lineRule="auto"/>
        <w:ind w:left="115" w:hanging="10"/>
        <w:jc w:val="both"/>
      </w:pPr>
      <w:r>
        <w:rPr>
          <w:rFonts w:ascii="Times New Roman" w:eastAsia="Times New Roman" w:hAnsi="Times New Roman" w:cs="Times New Roman"/>
          <w:sz w:val="14"/>
        </w:rPr>
        <w:t>Home-based care is provided to patients to prevent hospitalisation and help them to be The idea of community-based care is consistent with current recovery</w:t>
      </w:r>
      <w:r>
        <w:rPr>
          <w:rFonts w:ascii="Times New Roman" w:eastAsia="Times New Roman" w:hAnsi="Times New Roman" w:cs="Times New Roman"/>
          <w:vertAlign w:val="superscript"/>
        </w:rPr>
        <w:t>independent.</w:t>
      </w:r>
      <w:r>
        <w:rPr>
          <w:rFonts w:ascii="Times New Roman" w:eastAsia="Times New Roman" w:hAnsi="Times New Roman" w:cs="Times New Roman"/>
          <w:vertAlign w:val="superscript"/>
        </w:rPr>
        <w:tab/>
      </w:r>
      <w:r>
        <w:rPr>
          <w:rFonts w:ascii="Times New Roman" w:eastAsia="Times New Roman" w:hAnsi="Times New Roman" w:cs="Times New Roman"/>
          <w:sz w:val="14"/>
        </w:rPr>
        <w:t>oriented mental health models that prevail with the focus on person-</w:t>
      </w:r>
    </w:p>
    <w:p w14:paraId="0995D263" w14:textId="77777777" w:rsidR="0040051B" w:rsidRDefault="004356B9">
      <w:pPr>
        <w:tabs>
          <w:tab w:val="center" w:pos="8034"/>
        </w:tabs>
        <w:spacing w:after="4" w:line="254" w:lineRule="auto"/>
      </w:pPr>
      <w:r>
        <w:rPr>
          <w:rFonts w:ascii="Times New Roman" w:eastAsia="Times New Roman" w:hAnsi="Times New Roman" w:cs="Times New Roman"/>
          <w:vertAlign w:val="superscript"/>
        </w:rPr>
        <w:t>Multidisciplinary assessment</w:t>
      </w:r>
      <w:r>
        <w:rPr>
          <w:rFonts w:ascii="Times New Roman" w:eastAsia="Times New Roman" w:hAnsi="Times New Roman" w:cs="Times New Roman"/>
          <w:vertAlign w:val="superscript"/>
        </w:rPr>
        <w:tab/>
      </w:r>
      <w:r>
        <w:rPr>
          <w:rFonts w:ascii="Times New Roman" w:eastAsia="Times New Roman" w:hAnsi="Times New Roman" w:cs="Times New Roman"/>
          <w:sz w:val="14"/>
        </w:rPr>
        <w:t>centred support (Royal College of Psychiatrists, 2025).</w:t>
      </w:r>
    </w:p>
    <w:p w14:paraId="53B4DD08" w14:textId="77777777" w:rsidR="0040051B" w:rsidRDefault="004356B9">
      <w:pPr>
        <w:spacing w:after="4" w:line="254" w:lineRule="auto"/>
        <w:ind w:left="115" w:right="4720" w:hanging="10"/>
        <w:jc w:val="both"/>
      </w:pPr>
      <w:r>
        <w:rPr>
          <w:rFonts w:ascii="Times New Roman" w:eastAsia="Times New Roman" w:hAnsi="Times New Roman" w:cs="Times New Roman"/>
          <w:sz w:val="14"/>
        </w:rPr>
        <w:t>Needs are assessed through a joint effort of professionals, including psychological, medical, and social aspects.</w:t>
      </w:r>
    </w:p>
    <w:p w14:paraId="5C90572B" w14:textId="77777777" w:rsidR="0040051B" w:rsidRDefault="004356B9">
      <w:pPr>
        <w:spacing w:after="0"/>
        <w:ind w:left="115" w:right="772" w:hanging="10"/>
      </w:pPr>
      <w:r>
        <w:rPr>
          <w:noProof/>
        </w:rPr>
        <w:drawing>
          <wp:anchor distT="0" distB="0" distL="114300" distR="114300" simplePos="0" relativeHeight="251665408" behindDoc="0" locked="0" layoutInCell="1" allowOverlap="0" wp14:anchorId="3EAD156C" wp14:editId="111BB517">
            <wp:simplePos x="0" y="0"/>
            <wp:positionH relativeFrom="column">
              <wp:posOffset>4782313</wp:posOffset>
            </wp:positionH>
            <wp:positionV relativeFrom="paragraph">
              <wp:posOffset>-36735</wp:posOffset>
            </wp:positionV>
            <wp:extent cx="1513332" cy="1085088"/>
            <wp:effectExtent l="0" t="0" r="0" b="0"/>
            <wp:wrapSquare wrapText="bothSides"/>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8"/>
                    <a:stretch>
                      <a:fillRect/>
                    </a:stretch>
                  </pic:blipFill>
                  <pic:spPr>
                    <a:xfrm>
                      <a:off x="0" y="0"/>
                      <a:ext cx="1513332" cy="1085088"/>
                    </a:xfrm>
                    <a:prstGeom prst="rect">
                      <a:avLst/>
                    </a:prstGeom>
                  </pic:spPr>
                </pic:pic>
              </a:graphicData>
            </a:graphic>
          </wp:anchor>
        </w:drawing>
      </w:r>
      <w:r>
        <w:rPr>
          <w:rFonts w:ascii="Times New Roman" w:eastAsia="Times New Roman" w:hAnsi="Times New Roman" w:cs="Times New Roman"/>
          <w:sz w:val="14"/>
        </w:rPr>
        <w:t>Medication management</w:t>
      </w:r>
    </w:p>
    <w:p w14:paraId="286CEF9A" w14:textId="77777777" w:rsidR="0040051B" w:rsidRDefault="004356B9">
      <w:pPr>
        <w:spacing w:after="4" w:line="254" w:lineRule="auto"/>
        <w:ind w:left="115" w:right="4720" w:hanging="10"/>
        <w:jc w:val="both"/>
      </w:pPr>
      <w:r>
        <w:rPr>
          <w:rFonts w:ascii="Times New Roman" w:eastAsia="Times New Roman" w:hAnsi="Times New Roman" w:cs="Times New Roman"/>
          <w:sz w:val="14"/>
        </w:rPr>
        <w:t>Nurses and psychiatrists observe adherence and side effects of treatment.</w:t>
      </w:r>
    </w:p>
    <w:p w14:paraId="7630BEC2" w14:textId="77777777" w:rsidR="0040051B" w:rsidRDefault="004356B9">
      <w:pPr>
        <w:spacing w:after="0"/>
        <w:ind w:left="115" w:right="772" w:hanging="10"/>
      </w:pPr>
      <w:r>
        <w:rPr>
          <w:rFonts w:ascii="Times New Roman" w:eastAsia="Times New Roman" w:hAnsi="Times New Roman" w:cs="Times New Roman"/>
          <w:sz w:val="14"/>
        </w:rPr>
        <w:t>Psychosocial support</w:t>
      </w:r>
    </w:p>
    <w:p w14:paraId="4713142F" w14:textId="77777777" w:rsidR="0040051B" w:rsidRDefault="004356B9">
      <w:pPr>
        <w:spacing w:after="583" w:line="254" w:lineRule="auto"/>
        <w:ind w:left="115" w:right="4720" w:hanging="10"/>
        <w:jc w:val="both"/>
      </w:pPr>
      <w:r>
        <w:rPr>
          <w:rFonts w:ascii="Times New Roman" w:eastAsia="Times New Roman" w:hAnsi="Times New Roman" w:cs="Times New Roman"/>
          <w:sz w:val="14"/>
        </w:rPr>
        <w:t>Social workers and therapists deal with housing, employment and relationships, while community care enhances the outcomes as it helps people in their daily settings instead of an institution (Thapar et al., 2022). The social support interventions minimise the risk of depression and enhance the recovery process (Tafoya et al., 2019).</w:t>
      </w:r>
    </w:p>
    <w:p w14:paraId="41FA24B8" w14:textId="77777777" w:rsidR="0040051B" w:rsidRDefault="004356B9">
      <w:pPr>
        <w:spacing w:after="0"/>
        <w:ind w:left="40"/>
        <w:jc w:val="center"/>
      </w:pPr>
      <w:r>
        <w:rPr>
          <w:rFonts w:ascii="Times New Roman" w:eastAsia="Times New Roman" w:hAnsi="Times New Roman" w:cs="Times New Roman"/>
          <w:color w:val="FF0000"/>
          <w:sz w:val="24"/>
        </w:rPr>
        <w:t>Key Message</w:t>
      </w:r>
    </w:p>
    <w:p w14:paraId="345F71EC" w14:textId="77777777" w:rsidR="0040051B" w:rsidRDefault="004356B9">
      <w:pPr>
        <w:spacing w:after="0"/>
        <w:ind w:left="861"/>
      </w:pPr>
      <w:r>
        <w:rPr>
          <w:rFonts w:ascii="Times New Roman" w:eastAsia="Times New Roman" w:hAnsi="Times New Roman" w:cs="Times New Roman"/>
          <w:color w:val="404040"/>
          <w:sz w:val="75"/>
        </w:rPr>
        <w:t>References</w:t>
      </w:r>
    </w:p>
    <w:p w14:paraId="4CA244B9" w14:textId="77777777" w:rsidR="0040051B" w:rsidRDefault="004356B9">
      <w:pPr>
        <w:spacing w:after="204" w:line="220" w:lineRule="auto"/>
        <w:ind w:left="1049" w:right="553" w:hanging="10"/>
      </w:pPr>
      <w:r>
        <w:rPr>
          <w:rFonts w:ascii="Times New Roman" w:eastAsia="Times New Roman" w:hAnsi="Times New Roman" w:cs="Times New Roman"/>
          <w:color w:val="222222"/>
          <w:sz w:val="16"/>
        </w:rPr>
        <w:t>Akinci, Z., Yurcu, G., &amp; Ekin, Y. (2018). Relationships between student personality traits, mobbing, and depression within the context of sustainable tourism education: The case of a faculty of tourism. Sustainability, 10(10), 3418.</w:t>
      </w:r>
      <w:r>
        <w:rPr>
          <w:rFonts w:ascii="Times New Roman" w:eastAsia="Times New Roman" w:hAnsi="Times New Roman" w:cs="Times New Roman"/>
          <w:color w:val="2998E3"/>
          <w:sz w:val="16"/>
          <w:u w:val="single" w:color="2998E3"/>
        </w:rPr>
        <w:t>https://doi.org/10.3390/su10103418</w:t>
      </w:r>
    </w:p>
    <w:p w14:paraId="08334CD2" w14:textId="77777777" w:rsidR="0040051B" w:rsidRDefault="004356B9">
      <w:pPr>
        <w:spacing w:after="227" w:line="220" w:lineRule="auto"/>
        <w:ind w:left="1049" w:right="553" w:hanging="10"/>
      </w:pPr>
      <w:r>
        <w:rPr>
          <w:rFonts w:ascii="Times New Roman" w:eastAsia="Times New Roman" w:hAnsi="Times New Roman" w:cs="Times New Roman"/>
          <w:color w:val="222222"/>
          <w:sz w:val="16"/>
        </w:rPr>
        <w:t>An, H., Gu, X., Obrenovic, B., &amp; Godinic, D. (2023). The role of job insecurity, social media exposure, and job stress in predicting anxiety among white-collar employees. Psychology research and behavior management, 3303-3318.</w:t>
      </w:r>
    </w:p>
    <w:p w14:paraId="3316BF13" w14:textId="77777777" w:rsidR="0040051B" w:rsidRDefault="004356B9">
      <w:pPr>
        <w:spacing w:after="25" w:line="220" w:lineRule="auto"/>
        <w:ind w:left="1049" w:right="553" w:hanging="10"/>
      </w:pPr>
      <w:r>
        <w:rPr>
          <w:rFonts w:ascii="Times New Roman" w:eastAsia="Times New Roman" w:hAnsi="Times New Roman" w:cs="Times New Roman"/>
          <w:color w:val="222222"/>
          <w:sz w:val="16"/>
        </w:rPr>
        <w:t xml:space="preserve">Bian, X., Yang, W., Lin, J., Jiang, B., &amp; Shao, X. (2024). Hypothalamic-Pituitary-Adrenal Axis and Epilepsy. Journal of Clinical Neurology </w:t>
      </w:r>
    </w:p>
    <w:p w14:paraId="0AAD0AE1" w14:textId="77777777" w:rsidR="0040051B" w:rsidRDefault="004356B9">
      <w:pPr>
        <w:spacing w:after="207" w:line="216" w:lineRule="auto"/>
        <w:ind w:left="1049" w:hanging="10"/>
      </w:pPr>
      <w:r>
        <w:rPr>
          <w:rFonts w:ascii="Times New Roman" w:eastAsia="Times New Roman" w:hAnsi="Times New Roman" w:cs="Times New Roman"/>
          <w:color w:val="222222"/>
          <w:sz w:val="16"/>
        </w:rPr>
        <w:t xml:space="preserve">(Seoul, Korea), 20(2), 131. </w:t>
      </w:r>
      <w:r>
        <w:rPr>
          <w:rFonts w:ascii="Times New Roman" w:eastAsia="Times New Roman" w:hAnsi="Times New Roman" w:cs="Times New Roman"/>
          <w:color w:val="1B1B1B"/>
          <w:sz w:val="16"/>
        </w:rPr>
        <w:t xml:space="preserve">doi: </w:t>
      </w:r>
      <w:r>
        <w:rPr>
          <w:rFonts w:ascii="Times New Roman" w:eastAsia="Times New Roman" w:hAnsi="Times New Roman" w:cs="Times New Roman"/>
          <w:color w:val="2998E3"/>
          <w:sz w:val="16"/>
          <w:u w:val="single" w:color="2998E3"/>
        </w:rPr>
        <w:t>10.3988/jcn.2023.0308</w:t>
      </w:r>
    </w:p>
    <w:p w14:paraId="2B871E73" w14:textId="77777777" w:rsidR="0040051B" w:rsidRDefault="004356B9">
      <w:pPr>
        <w:spacing w:after="226" w:line="221" w:lineRule="auto"/>
        <w:ind w:left="1049" w:right="766" w:hanging="10"/>
      </w:pPr>
      <w:r>
        <w:rPr>
          <w:rFonts w:ascii="Times New Roman" w:eastAsia="Times New Roman" w:hAnsi="Times New Roman" w:cs="Times New Roman"/>
          <w:sz w:val="16"/>
        </w:rPr>
        <w:lastRenderedPageBreak/>
        <w:t xml:space="preserve">de la Torre, J. A., Vilagut, G., Ronaldson, A., Dregan, A., Ricci-Cabello, I., Hatch, S. L., Serrano-Blanco, A., Valderas, J. M., Hotopf, M., &amp; Alonso, J. (2020). Prevalence and age patterns of depression in the United Kingdom. A population-based study. Journal of Affective Disorders, 279(1). </w:t>
      </w:r>
      <w:r>
        <w:rPr>
          <w:rFonts w:ascii="Times New Roman" w:eastAsia="Times New Roman" w:hAnsi="Times New Roman" w:cs="Times New Roman"/>
          <w:color w:val="2998E3"/>
          <w:sz w:val="16"/>
          <w:u w:val="single" w:color="2998E3"/>
        </w:rPr>
        <w:t>https://doi.org/10.1016/j.jad.2020.09.129</w:t>
      </w:r>
    </w:p>
    <w:p w14:paraId="79A7EAE7" w14:textId="77777777" w:rsidR="0040051B" w:rsidRDefault="004356B9">
      <w:pPr>
        <w:spacing w:after="204" w:line="220" w:lineRule="auto"/>
        <w:ind w:left="1049" w:right="553" w:hanging="10"/>
      </w:pPr>
      <w:r>
        <w:rPr>
          <w:rFonts w:ascii="Times New Roman" w:eastAsia="Times New Roman" w:hAnsi="Times New Roman" w:cs="Times New Roman"/>
          <w:color w:val="222222"/>
          <w:sz w:val="16"/>
        </w:rPr>
        <w:t>Jiang, S., Liu, H., &amp; Li, C. (2021). Dietary regulation of oxidative stress in chronic metabolic diseases. Foods, 10(8), 1854.</w:t>
      </w:r>
      <w:r>
        <w:rPr>
          <w:rFonts w:ascii="Times New Roman" w:eastAsia="Times New Roman" w:hAnsi="Times New Roman" w:cs="Times New Roman"/>
          <w:color w:val="2998E3"/>
          <w:sz w:val="16"/>
          <w:u w:val="single" w:color="2998E3"/>
        </w:rPr>
        <w:t>https://doi.org/10.3390/foods10081854</w:t>
      </w:r>
    </w:p>
    <w:p w14:paraId="39EBAAE9" w14:textId="77777777" w:rsidR="0040051B" w:rsidRDefault="004356B9">
      <w:pPr>
        <w:spacing w:after="227" w:line="220" w:lineRule="auto"/>
        <w:ind w:left="1049" w:right="553" w:hanging="10"/>
      </w:pPr>
      <w:r>
        <w:rPr>
          <w:rFonts w:ascii="Times New Roman" w:eastAsia="Times New Roman" w:hAnsi="Times New Roman" w:cs="Times New Roman"/>
          <w:color w:val="222222"/>
          <w:sz w:val="16"/>
        </w:rPr>
        <w:t>Keles, B., McCrae, N., &amp; Grealish, A. (2020). A systematic review: the influence of social media on depression, anxiety and psychological distress in adolescents. International journal of adolescence and youth, 25(1), 79-93.</w:t>
      </w:r>
      <w:r>
        <w:rPr>
          <w:rFonts w:ascii="Times New Roman" w:eastAsia="Times New Roman" w:hAnsi="Times New Roman" w:cs="Times New Roman"/>
          <w:color w:val="2998E3"/>
          <w:sz w:val="16"/>
          <w:u w:val="single" w:color="2998E3"/>
        </w:rPr>
        <w:t>https://doi.org/10.1080/02673843.2019.1590851</w:t>
      </w:r>
    </w:p>
    <w:p w14:paraId="21088463" w14:textId="77777777" w:rsidR="0040051B" w:rsidRDefault="004356B9">
      <w:pPr>
        <w:spacing w:after="201" w:line="221" w:lineRule="auto"/>
        <w:ind w:left="1049" w:right="343" w:hanging="10"/>
      </w:pPr>
      <w:r>
        <w:rPr>
          <w:rFonts w:ascii="Times New Roman" w:eastAsia="Times New Roman" w:hAnsi="Times New Roman" w:cs="Times New Roman"/>
          <w:sz w:val="16"/>
        </w:rPr>
        <w:t>Mayo Clinic. (2022, October 14). Depression (Major Depressive Disorder). Mayo Clinic; Mayo Foundation for Medical Education and Research. https://www.mayoclinic.org/diseases-conditions/depression/symptoms-causes/syc-20356007</w:t>
      </w:r>
    </w:p>
    <w:p w14:paraId="5ECB9857" w14:textId="77777777" w:rsidR="0040051B" w:rsidRDefault="004356B9">
      <w:pPr>
        <w:spacing w:after="207" w:line="216" w:lineRule="auto"/>
        <w:ind w:left="1049" w:hanging="10"/>
      </w:pPr>
      <w:r>
        <w:rPr>
          <w:rFonts w:ascii="Times New Roman" w:eastAsia="Times New Roman" w:hAnsi="Times New Roman" w:cs="Times New Roman"/>
          <w:sz w:val="16"/>
        </w:rPr>
        <w:t xml:space="preserve">Mind. (2023). Facts and figures about young people and mental health. Www.mind.org.uk; Mind. </w:t>
      </w:r>
      <w:r>
        <w:rPr>
          <w:rFonts w:ascii="Times New Roman" w:eastAsia="Times New Roman" w:hAnsi="Times New Roman" w:cs="Times New Roman"/>
          <w:color w:val="2998E3"/>
          <w:sz w:val="16"/>
          <w:u w:val="single" w:color="2998E3"/>
        </w:rPr>
        <w:t>https://www.mind.org.uk/about-us/ourstrategy/doing-more-for-young-people/facts-and-figures-about-young-people-and-mental-health/</w:t>
      </w:r>
    </w:p>
    <w:p w14:paraId="43A01B4B" w14:textId="77777777" w:rsidR="0040051B" w:rsidRDefault="004356B9">
      <w:pPr>
        <w:spacing w:after="201" w:line="221" w:lineRule="auto"/>
        <w:ind w:left="1049" w:right="343" w:hanging="10"/>
      </w:pPr>
      <w:r>
        <w:rPr>
          <w:rFonts w:ascii="Times New Roman" w:eastAsia="Times New Roman" w:hAnsi="Times New Roman" w:cs="Times New Roman"/>
          <w:sz w:val="16"/>
        </w:rPr>
        <w:t>NHS. (2023, May 16). Depression in children and young people. Nhs.uk. https://www.nhs.uk/mental-health/children-and-young-adults/advicefor-parents/children-depressed-signs/</w:t>
      </w:r>
    </w:p>
    <w:p w14:paraId="7043F658" w14:textId="77777777" w:rsidR="0040051B" w:rsidRDefault="004356B9">
      <w:pPr>
        <w:spacing w:after="204" w:line="220" w:lineRule="auto"/>
        <w:ind w:left="1049" w:right="553" w:hanging="10"/>
      </w:pPr>
      <w:r>
        <w:rPr>
          <w:noProof/>
        </w:rPr>
        <mc:AlternateContent>
          <mc:Choice Requires="wpg">
            <w:drawing>
              <wp:anchor distT="0" distB="0" distL="114300" distR="114300" simplePos="0" relativeHeight="251666432" behindDoc="0" locked="0" layoutInCell="1" allowOverlap="1" wp14:anchorId="6EFEF990" wp14:editId="46B8EAB8">
                <wp:simplePos x="0" y="0"/>
                <wp:positionH relativeFrom="page">
                  <wp:posOffset>329184</wp:posOffset>
                </wp:positionH>
                <wp:positionV relativeFrom="page">
                  <wp:posOffset>9290304</wp:posOffset>
                </wp:positionV>
                <wp:extent cx="7114033" cy="768096"/>
                <wp:effectExtent l="0" t="0" r="0" b="0"/>
                <wp:wrapTopAndBottom/>
                <wp:docPr id="5833" name="Group 5833"/>
                <wp:cNvGraphicFramePr/>
                <a:graphic xmlns:a="http://schemas.openxmlformats.org/drawingml/2006/main">
                  <a:graphicData uri="http://schemas.microsoft.com/office/word/2010/wordprocessingGroup">
                    <wpg:wgp>
                      <wpg:cNvGrpSpPr/>
                      <wpg:grpSpPr>
                        <a:xfrm>
                          <a:off x="0" y="0"/>
                          <a:ext cx="7114033" cy="768096"/>
                          <a:chOff x="0" y="0"/>
                          <a:chExt cx="7114033" cy="768096"/>
                        </a:xfrm>
                      </wpg:grpSpPr>
                      <pic:pic xmlns:pic="http://schemas.openxmlformats.org/drawingml/2006/picture">
                        <pic:nvPicPr>
                          <pic:cNvPr id="6917" name="Picture 6917"/>
                          <pic:cNvPicPr/>
                        </pic:nvPicPr>
                        <pic:blipFill>
                          <a:blip r:embed="rId7"/>
                          <a:stretch>
                            <a:fillRect/>
                          </a:stretch>
                        </pic:blipFill>
                        <pic:spPr>
                          <a:xfrm>
                            <a:off x="-3047" y="-5079"/>
                            <a:ext cx="7117081" cy="771144"/>
                          </a:xfrm>
                          <a:prstGeom prst="rect">
                            <a:avLst/>
                          </a:prstGeom>
                        </pic:spPr>
                      </pic:pic>
                    </wpg:wgp>
                  </a:graphicData>
                </a:graphic>
              </wp:anchor>
            </w:drawing>
          </mc:Choice>
          <mc:Fallback xmlns:a="http://schemas.openxmlformats.org/drawingml/2006/main">
            <w:pict>
              <v:group id="Group 5833" style="width:560.16pt;height:60.48pt;position:absolute;mso-position-horizontal-relative:page;mso-position-horizontal:absolute;margin-left:25.92pt;mso-position-vertical-relative:page;margin-top:731.52pt;" coordsize="71140,7680">
                <v:shape id="Picture 6917" style="position:absolute;width:71170;height:7711;left:-30;top:-50;" filled="f">
                  <v:imagedata r:id="rId8"/>
                </v:shape>
                <w10:wrap type="topAndBottom"/>
              </v:group>
            </w:pict>
          </mc:Fallback>
        </mc:AlternateContent>
      </w:r>
      <w:r>
        <w:rPr>
          <w:rFonts w:ascii="Times New Roman" w:eastAsia="Times New Roman" w:hAnsi="Times New Roman" w:cs="Times New Roman"/>
          <w:color w:val="222222"/>
          <w:sz w:val="16"/>
        </w:rPr>
        <w:t>Pan, D., Yan, N., Pu, L., He, X., Wang, H., Zhang, X., ... &amp; Li, J. (2024). The association between urbanization and adolescent depression in China. PeerJ, 12, e16888.</w:t>
      </w:r>
      <w:r>
        <w:rPr>
          <w:rFonts w:ascii="Times New Roman" w:eastAsia="Times New Roman" w:hAnsi="Times New Roman" w:cs="Times New Roman"/>
          <w:color w:val="2998E3"/>
          <w:sz w:val="16"/>
          <w:u w:val="single" w:color="2998E3"/>
        </w:rPr>
        <w:t>https://doi.org/10.7717/peerj.16888</w:t>
      </w:r>
    </w:p>
    <w:p w14:paraId="7A4E6F99" w14:textId="77777777" w:rsidR="0040051B" w:rsidRDefault="004356B9">
      <w:pPr>
        <w:spacing w:after="204" w:line="220" w:lineRule="auto"/>
        <w:ind w:left="1049" w:right="553" w:hanging="10"/>
      </w:pPr>
      <w:r>
        <w:rPr>
          <w:rFonts w:ascii="Times New Roman" w:eastAsia="Times New Roman" w:hAnsi="Times New Roman" w:cs="Times New Roman"/>
          <w:color w:val="222222"/>
          <w:sz w:val="16"/>
        </w:rPr>
        <w:t>Putra, I. G. N. E., Daly, M., Sutin, A., Steptoe, A., Scholes, S., &amp; Robinson, E. (2024). Obesity, psychological well-being related measures, and risk of seven non-communicable diseases: evidence from longitudinal studies of UK and US older adults. International Journal of Obesity, 48(9), 1283-1291.</w:t>
      </w:r>
    </w:p>
    <w:p w14:paraId="2E1C347F" w14:textId="77777777" w:rsidR="0040051B" w:rsidRDefault="004356B9">
      <w:pPr>
        <w:spacing w:after="576" w:line="221" w:lineRule="auto"/>
        <w:ind w:left="1049" w:right="343" w:hanging="10"/>
      </w:pPr>
      <w:r>
        <w:rPr>
          <w:rFonts w:ascii="Times New Roman" w:eastAsia="Times New Roman" w:hAnsi="Times New Roman" w:cs="Times New Roman"/>
          <w:sz w:val="16"/>
        </w:rPr>
        <w:t>Royal College of Psychiatrists. 2025. Mental health services and teams in the community. [online] RC PSYCH ROYAL COLLEGE OF PSYCHIATRISTS. Available at: https://www.rcpsych.ac.uk/mental-health/treatments-and-wellbeing/mental-health-services-and-teams-in-thecommunity.</w:t>
      </w:r>
    </w:p>
    <w:p w14:paraId="0B16C5FB" w14:textId="77777777" w:rsidR="0040051B" w:rsidRDefault="004356B9">
      <w:pPr>
        <w:spacing w:after="201" w:line="221" w:lineRule="auto"/>
        <w:ind w:left="1049" w:right="343" w:hanging="10"/>
      </w:pPr>
      <w:r>
        <w:rPr>
          <w:rFonts w:ascii="Times New Roman" w:eastAsia="Times New Roman" w:hAnsi="Times New Roman" w:cs="Times New Roman"/>
          <w:sz w:val="16"/>
        </w:rPr>
        <w:t>Statista. 2025. Young people’s emotional health in the UK 2022.https://www.statista.com/statistics/1198988/young-people-s-emotional-health-inthe-uk/</w:t>
      </w:r>
    </w:p>
    <w:p w14:paraId="03B5D97F" w14:textId="77777777" w:rsidR="0040051B" w:rsidRDefault="004356B9">
      <w:pPr>
        <w:spacing w:after="593" w:line="220" w:lineRule="auto"/>
        <w:ind w:left="1049" w:right="553" w:hanging="10"/>
      </w:pPr>
      <w:r>
        <w:rPr>
          <w:rFonts w:ascii="Times New Roman" w:eastAsia="Times New Roman" w:hAnsi="Times New Roman" w:cs="Times New Roman"/>
          <w:color w:val="222222"/>
          <w:sz w:val="16"/>
        </w:rPr>
        <w:t>Tafoya, S. A., Aldrete–Cortez, V., Ortiz, S., Fouilloux, C., Flores, F., &amp; Monterrosas, A. M. (2019). Resilience, sleep quality and morningness as mediators of vulnerability to depression in medical students with sleep pattern alterations. Chronobiology international, 36(3), 381391.</w:t>
      </w:r>
      <w:r>
        <w:rPr>
          <w:rFonts w:ascii="Times New Roman" w:eastAsia="Times New Roman" w:hAnsi="Times New Roman" w:cs="Times New Roman"/>
          <w:color w:val="2998E3"/>
          <w:sz w:val="16"/>
          <w:u w:val="single" w:color="2998E3"/>
        </w:rPr>
        <w:t>https://doi.org/10.1080/07420528.2018.1552290</w:t>
      </w:r>
    </w:p>
    <w:p w14:paraId="72659029" w14:textId="77777777" w:rsidR="0040051B" w:rsidRDefault="004356B9">
      <w:pPr>
        <w:spacing w:after="204" w:line="220" w:lineRule="auto"/>
        <w:ind w:left="1049" w:right="553" w:hanging="10"/>
      </w:pPr>
      <w:r>
        <w:rPr>
          <w:rFonts w:ascii="Times New Roman" w:eastAsia="Times New Roman" w:hAnsi="Times New Roman" w:cs="Times New Roman"/>
          <w:color w:val="222222"/>
          <w:sz w:val="16"/>
        </w:rPr>
        <w:t>Thapar, A., Eyre, O., Patel, V., &amp; Brent, D. (2022). Depression in young people. The Lancet, 400(10352), 617631.https://www.thelancet.com/article/S0140-6736(22)01012-1/abstract</w:t>
      </w:r>
    </w:p>
    <w:p w14:paraId="3D58697C" w14:textId="77777777" w:rsidR="0040051B" w:rsidRDefault="004356B9">
      <w:pPr>
        <w:spacing w:after="204" w:line="220" w:lineRule="auto"/>
        <w:ind w:left="1049" w:right="553" w:hanging="10"/>
      </w:pPr>
      <w:r>
        <w:rPr>
          <w:rFonts w:ascii="Times New Roman" w:eastAsia="Times New Roman" w:hAnsi="Times New Roman" w:cs="Times New Roman"/>
          <w:color w:val="222222"/>
          <w:sz w:val="16"/>
        </w:rPr>
        <w:t>Twenge, J. M. (2020). Increases in depression, self‐harm, and suicide among US adolescents after 2012 and links to technology use: possible mechanisms. Psychiatric Research and Clinical Practice, 2(1), 19-25.https://psychiatryonline.org/doi/full/10.1176/appi.prcp.20190015.</w:t>
      </w:r>
    </w:p>
    <w:p w14:paraId="03D385CE" w14:textId="77777777" w:rsidR="0040051B" w:rsidRDefault="004356B9">
      <w:pPr>
        <w:spacing w:after="201" w:line="221" w:lineRule="auto"/>
        <w:ind w:left="1049" w:right="343" w:hanging="10"/>
      </w:pPr>
      <w:r>
        <w:rPr>
          <w:rFonts w:ascii="Times New Roman" w:eastAsia="Times New Roman" w:hAnsi="Times New Roman" w:cs="Times New Roman"/>
          <w:sz w:val="16"/>
        </w:rPr>
        <w:t>Zablotsky, B. (2024). Daily Screen Time Among Teenagers: United States, July 2021 – December 2023. Daily Screen Time among Teenagers: United States, July 2021–December 2023, 513(513). https://doi.org/10.15620/cdc/168509</w:t>
      </w:r>
    </w:p>
    <w:p w14:paraId="64C0D573" w14:textId="77777777" w:rsidR="0040051B" w:rsidRDefault="004356B9">
      <w:pPr>
        <w:spacing w:after="544"/>
        <w:ind w:left="883"/>
      </w:pPr>
      <w:r>
        <w:rPr>
          <w:rFonts w:ascii="Times New Roman" w:eastAsia="Times New Roman" w:hAnsi="Times New Roman" w:cs="Times New Roman"/>
          <w:sz w:val="16"/>
        </w:rPr>
        <w:t xml:space="preserve">  </w:t>
      </w:r>
    </w:p>
    <w:p w14:paraId="54C97DA9" w14:textId="77777777" w:rsidR="0040051B" w:rsidRDefault="004356B9">
      <w:pPr>
        <w:spacing w:after="0"/>
        <w:ind w:left="883"/>
      </w:pPr>
      <w:r>
        <w:rPr>
          <w:rFonts w:ascii="Times New Roman" w:eastAsia="Times New Roman" w:hAnsi="Times New Roman" w:cs="Times New Roman"/>
          <w:sz w:val="16"/>
        </w:rPr>
        <w:t xml:space="preserve">  </w:t>
      </w:r>
    </w:p>
    <w:p w14:paraId="50E690EA" w14:textId="77777777" w:rsidR="0040051B" w:rsidRDefault="0040051B">
      <w:pPr>
        <w:sectPr w:rsidR="0040051B">
          <w:footerReference w:type="even" r:id="rId19"/>
          <w:footerReference w:type="default" r:id="rId20"/>
          <w:footerReference w:type="first" r:id="rId21"/>
          <w:pgSz w:w="12240" w:h="15840"/>
          <w:pgMar w:top="441" w:right="856" w:bottom="247" w:left="698" w:header="720" w:footer="720" w:gutter="0"/>
          <w:cols w:space="720"/>
        </w:sectPr>
      </w:pPr>
    </w:p>
    <w:p w14:paraId="385236A7" w14:textId="77777777" w:rsidR="0040051B" w:rsidRDefault="004356B9">
      <w:pPr>
        <w:spacing w:after="107"/>
        <w:ind w:left="51"/>
        <w:jc w:val="center"/>
      </w:pPr>
      <w:r>
        <w:rPr>
          <w:rFonts w:ascii="Times New Roman" w:eastAsia="Times New Roman" w:hAnsi="Times New Roman" w:cs="Times New Roman"/>
          <w:sz w:val="23"/>
        </w:rPr>
        <w:lastRenderedPageBreak/>
        <w:t xml:space="preserve"> </w:t>
      </w:r>
    </w:p>
    <w:p w14:paraId="45076FBF" w14:textId="77777777" w:rsidR="0040051B" w:rsidRDefault="004356B9">
      <w:pPr>
        <w:spacing w:after="109"/>
        <w:ind w:left="51"/>
        <w:jc w:val="center"/>
      </w:pPr>
      <w:r>
        <w:rPr>
          <w:rFonts w:ascii="Times New Roman" w:eastAsia="Times New Roman" w:hAnsi="Times New Roman" w:cs="Times New Roman"/>
          <w:sz w:val="23"/>
        </w:rPr>
        <w:t xml:space="preserve"> </w:t>
      </w:r>
    </w:p>
    <w:p w14:paraId="4956CC60" w14:textId="77777777" w:rsidR="0040051B" w:rsidRDefault="004356B9">
      <w:pPr>
        <w:spacing w:after="105"/>
        <w:ind w:left="51"/>
        <w:jc w:val="center"/>
      </w:pPr>
      <w:r>
        <w:rPr>
          <w:rFonts w:ascii="Times New Roman" w:eastAsia="Times New Roman" w:hAnsi="Times New Roman" w:cs="Times New Roman"/>
          <w:sz w:val="23"/>
        </w:rPr>
        <w:t xml:space="preserve"> </w:t>
      </w:r>
    </w:p>
    <w:p w14:paraId="21EB5E7C" w14:textId="77777777" w:rsidR="0040051B" w:rsidRDefault="004356B9">
      <w:pPr>
        <w:spacing w:after="109"/>
        <w:ind w:left="51"/>
        <w:jc w:val="center"/>
      </w:pPr>
      <w:r>
        <w:rPr>
          <w:rFonts w:ascii="Times New Roman" w:eastAsia="Times New Roman" w:hAnsi="Times New Roman" w:cs="Times New Roman"/>
          <w:sz w:val="23"/>
        </w:rPr>
        <w:t xml:space="preserve"> </w:t>
      </w:r>
    </w:p>
    <w:p w14:paraId="5D948C31" w14:textId="77777777" w:rsidR="0040051B" w:rsidRDefault="004356B9">
      <w:pPr>
        <w:spacing w:after="107"/>
        <w:ind w:left="51"/>
        <w:jc w:val="center"/>
      </w:pPr>
      <w:r>
        <w:rPr>
          <w:rFonts w:ascii="Times New Roman" w:eastAsia="Times New Roman" w:hAnsi="Times New Roman" w:cs="Times New Roman"/>
          <w:sz w:val="23"/>
        </w:rPr>
        <w:t xml:space="preserve"> </w:t>
      </w:r>
    </w:p>
    <w:p w14:paraId="26D32924" w14:textId="77777777" w:rsidR="0040051B" w:rsidRDefault="004356B9">
      <w:pPr>
        <w:spacing w:after="107"/>
        <w:ind w:left="51"/>
        <w:jc w:val="center"/>
      </w:pPr>
      <w:r>
        <w:rPr>
          <w:rFonts w:ascii="Times New Roman" w:eastAsia="Times New Roman" w:hAnsi="Times New Roman" w:cs="Times New Roman"/>
          <w:sz w:val="23"/>
        </w:rPr>
        <w:t xml:space="preserve"> </w:t>
      </w:r>
    </w:p>
    <w:p w14:paraId="0DDE0ECA" w14:textId="77777777" w:rsidR="0040051B" w:rsidRDefault="004356B9">
      <w:pPr>
        <w:spacing w:after="107"/>
        <w:ind w:left="51"/>
        <w:jc w:val="center"/>
      </w:pPr>
      <w:r>
        <w:rPr>
          <w:rFonts w:ascii="Times New Roman" w:eastAsia="Times New Roman" w:hAnsi="Times New Roman" w:cs="Times New Roman"/>
          <w:sz w:val="23"/>
        </w:rPr>
        <w:t xml:space="preserve"> </w:t>
      </w:r>
    </w:p>
    <w:p w14:paraId="1AEA2484" w14:textId="77777777" w:rsidR="0040051B" w:rsidRDefault="004356B9">
      <w:pPr>
        <w:spacing w:after="109"/>
        <w:ind w:left="51"/>
        <w:jc w:val="center"/>
      </w:pPr>
      <w:r>
        <w:rPr>
          <w:rFonts w:ascii="Times New Roman" w:eastAsia="Times New Roman" w:hAnsi="Times New Roman" w:cs="Times New Roman"/>
          <w:sz w:val="23"/>
        </w:rPr>
        <w:t xml:space="preserve"> </w:t>
      </w:r>
    </w:p>
    <w:p w14:paraId="23879A38" w14:textId="77777777" w:rsidR="0040051B" w:rsidRDefault="004356B9">
      <w:pPr>
        <w:spacing w:after="105"/>
        <w:ind w:left="51"/>
        <w:jc w:val="center"/>
      </w:pPr>
      <w:r>
        <w:rPr>
          <w:rFonts w:ascii="Times New Roman" w:eastAsia="Times New Roman" w:hAnsi="Times New Roman" w:cs="Times New Roman"/>
          <w:sz w:val="23"/>
        </w:rPr>
        <w:t xml:space="preserve"> </w:t>
      </w:r>
    </w:p>
    <w:p w14:paraId="24342E03" w14:textId="77777777" w:rsidR="0040051B" w:rsidRDefault="004356B9">
      <w:pPr>
        <w:spacing w:after="107"/>
        <w:ind w:left="10" w:right="1" w:hanging="10"/>
        <w:jc w:val="center"/>
      </w:pPr>
      <w:r>
        <w:rPr>
          <w:rFonts w:ascii="Times New Roman" w:eastAsia="Times New Roman" w:hAnsi="Times New Roman" w:cs="Times New Roman"/>
          <w:sz w:val="23"/>
        </w:rPr>
        <w:t xml:space="preserve">Dominique Heath  </w:t>
      </w:r>
    </w:p>
    <w:p w14:paraId="00D5F080" w14:textId="77777777" w:rsidR="0040051B" w:rsidRDefault="004356B9">
      <w:pPr>
        <w:spacing w:after="107"/>
        <w:ind w:left="10" w:right="3" w:hanging="10"/>
        <w:jc w:val="center"/>
      </w:pPr>
      <w:r>
        <w:rPr>
          <w:rFonts w:ascii="Times New Roman" w:eastAsia="Times New Roman" w:hAnsi="Times New Roman" w:cs="Times New Roman"/>
          <w:sz w:val="23"/>
        </w:rPr>
        <w:t xml:space="preserve">Student number 2505637 </w:t>
      </w:r>
    </w:p>
    <w:p w14:paraId="2A7815F3" w14:textId="77777777" w:rsidR="0040051B" w:rsidRDefault="004356B9">
      <w:pPr>
        <w:spacing w:after="107"/>
        <w:ind w:left="51"/>
        <w:jc w:val="center"/>
      </w:pPr>
      <w:r>
        <w:rPr>
          <w:rFonts w:ascii="Times New Roman" w:eastAsia="Times New Roman" w:hAnsi="Times New Roman" w:cs="Times New Roman"/>
          <w:sz w:val="23"/>
        </w:rPr>
        <w:t xml:space="preserve"> </w:t>
      </w:r>
    </w:p>
    <w:p w14:paraId="5BEECEA3" w14:textId="77777777" w:rsidR="0040051B" w:rsidRDefault="004356B9">
      <w:pPr>
        <w:spacing w:after="107"/>
        <w:ind w:left="1488" w:hanging="10"/>
        <w:jc w:val="both"/>
      </w:pPr>
      <w:r>
        <w:rPr>
          <w:rFonts w:ascii="Times New Roman" w:eastAsia="Times New Roman" w:hAnsi="Times New Roman" w:cs="Times New Roman"/>
          <w:sz w:val="23"/>
        </w:rPr>
        <w:t xml:space="preserve">Module: LCHS4003 - Introduction to Health and Social Care </w:t>
      </w:r>
    </w:p>
    <w:p w14:paraId="737A33DE" w14:textId="77777777" w:rsidR="0040051B" w:rsidRDefault="004356B9">
      <w:pPr>
        <w:spacing w:after="109"/>
        <w:ind w:left="51"/>
        <w:jc w:val="center"/>
      </w:pPr>
      <w:r>
        <w:rPr>
          <w:rFonts w:ascii="Times New Roman" w:eastAsia="Times New Roman" w:hAnsi="Times New Roman" w:cs="Times New Roman"/>
          <w:sz w:val="23"/>
        </w:rPr>
        <w:t xml:space="preserve"> </w:t>
      </w:r>
    </w:p>
    <w:p w14:paraId="3224BC6B" w14:textId="77777777" w:rsidR="0040051B" w:rsidRDefault="004356B9">
      <w:pPr>
        <w:spacing w:after="107"/>
        <w:ind w:left="10" w:right="8" w:hanging="10"/>
        <w:jc w:val="center"/>
      </w:pPr>
      <w:r>
        <w:rPr>
          <w:rFonts w:ascii="Times New Roman" w:eastAsia="Times New Roman" w:hAnsi="Times New Roman" w:cs="Times New Roman"/>
          <w:sz w:val="23"/>
        </w:rPr>
        <w:t xml:space="preserve">Assignment - Portfolio – Two Tasks </w:t>
      </w:r>
    </w:p>
    <w:p w14:paraId="465D1695" w14:textId="77777777" w:rsidR="0040051B" w:rsidRDefault="004356B9">
      <w:pPr>
        <w:spacing w:after="109"/>
        <w:ind w:left="1520" w:hanging="10"/>
        <w:jc w:val="both"/>
      </w:pPr>
      <w:r>
        <w:rPr>
          <w:rFonts w:ascii="Times New Roman" w:eastAsia="Times New Roman" w:hAnsi="Times New Roman" w:cs="Times New Roman"/>
          <w:sz w:val="23"/>
        </w:rPr>
        <w:t xml:space="preserve">Task 2: A 600-word Essay on Antenatal Midwifery Services </w:t>
      </w:r>
    </w:p>
    <w:p w14:paraId="7C38376E" w14:textId="77777777" w:rsidR="0040051B" w:rsidRDefault="004356B9">
      <w:pPr>
        <w:spacing w:after="107"/>
        <w:ind w:left="51"/>
        <w:jc w:val="center"/>
      </w:pPr>
      <w:r>
        <w:rPr>
          <w:rFonts w:ascii="Times New Roman" w:eastAsia="Times New Roman" w:hAnsi="Times New Roman" w:cs="Times New Roman"/>
          <w:sz w:val="23"/>
        </w:rPr>
        <w:t xml:space="preserve"> </w:t>
      </w:r>
    </w:p>
    <w:p w14:paraId="13B366FB" w14:textId="77777777" w:rsidR="0040051B" w:rsidRDefault="004356B9">
      <w:pPr>
        <w:spacing w:after="107"/>
        <w:ind w:left="51"/>
        <w:jc w:val="center"/>
      </w:pPr>
      <w:r>
        <w:rPr>
          <w:rFonts w:ascii="Times New Roman" w:eastAsia="Times New Roman" w:hAnsi="Times New Roman" w:cs="Times New Roman"/>
          <w:sz w:val="23"/>
        </w:rPr>
        <w:t xml:space="preserve"> </w:t>
      </w:r>
    </w:p>
    <w:p w14:paraId="648273F0" w14:textId="40E96908" w:rsidR="0040051B" w:rsidRDefault="004356B9">
      <w:pPr>
        <w:spacing w:after="107"/>
        <w:ind w:left="10" w:right="8" w:hanging="10"/>
        <w:jc w:val="center"/>
      </w:pPr>
      <w:r>
        <w:rPr>
          <w:rFonts w:ascii="Times New Roman" w:eastAsia="Times New Roman" w:hAnsi="Times New Roman" w:cs="Times New Roman"/>
          <w:sz w:val="23"/>
        </w:rPr>
        <w:t>Lecturer:</w:t>
      </w:r>
      <w:r>
        <w:rPr>
          <w:rFonts w:ascii="Times New Roman" w:eastAsia="Times New Roman" w:hAnsi="Times New Roman" w:cs="Times New Roman"/>
          <w:sz w:val="23"/>
        </w:rPr>
        <w:t xml:space="preserve"> Daniel Hanura </w:t>
      </w:r>
    </w:p>
    <w:p w14:paraId="7BA6A656" w14:textId="77777777" w:rsidR="0040051B" w:rsidRDefault="004356B9">
      <w:pPr>
        <w:spacing w:after="0"/>
        <w:ind w:left="51"/>
        <w:jc w:val="center"/>
      </w:pPr>
      <w:r>
        <w:rPr>
          <w:rFonts w:ascii="Times New Roman" w:eastAsia="Times New Roman" w:hAnsi="Times New Roman" w:cs="Times New Roman"/>
          <w:sz w:val="23"/>
        </w:rPr>
        <w:t xml:space="preserve"> </w:t>
      </w:r>
    </w:p>
    <w:sdt>
      <w:sdtPr>
        <w:id w:val="-819880387"/>
        <w:docPartObj>
          <w:docPartGallery w:val="Table of Contents"/>
        </w:docPartObj>
      </w:sdtPr>
      <w:sdtEndPr/>
      <w:sdtContent>
        <w:p w14:paraId="43481D84" w14:textId="77777777" w:rsidR="0040051B" w:rsidRDefault="004356B9">
          <w:pPr>
            <w:spacing w:after="0"/>
          </w:pPr>
          <w:r>
            <w:rPr>
              <w:rFonts w:ascii="Times New Roman" w:eastAsia="Times New Roman" w:hAnsi="Times New Roman" w:cs="Times New Roman"/>
              <w:color w:val="2F5496"/>
              <w:sz w:val="30"/>
            </w:rPr>
            <w:t xml:space="preserve">Contents </w:t>
          </w:r>
        </w:p>
        <w:p w14:paraId="40A11690" w14:textId="77777777" w:rsidR="0040051B" w:rsidRDefault="004356B9">
          <w:pPr>
            <w:pStyle w:val="TOC1"/>
            <w:tabs>
              <w:tab w:val="right" w:leader="dot" w:pos="8487"/>
            </w:tabs>
          </w:pPr>
          <w:r>
            <w:fldChar w:fldCharType="begin"/>
          </w:r>
          <w:r>
            <w:instrText xml:space="preserve"> TOC \o "1-1" \h \z \u </w:instrText>
          </w:r>
          <w:r>
            <w:fldChar w:fldCharType="separate"/>
          </w:r>
          <w:hyperlink w:anchor="_Toc7088">
            <w:r>
              <w:t>1.</w:t>
            </w:r>
            <w:r>
              <w:rPr>
                <w:sz w:val="23"/>
              </w:rPr>
              <w:t xml:space="preserve">  </w:t>
            </w:r>
            <w:r>
              <w:t>Introduction: What Are Community Antenatal Midwifery Services?</w:t>
            </w:r>
            <w:r>
              <w:tab/>
            </w:r>
            <w:r>
              <w:fldChar w:fldCharType="begin"/>
            </w:r>
            <w:r>
              <w:instrText>PAGEREF _Toc7088 \h</w:instrText>
            </w:r>
            <w:r>
              <w:fldChar w:fldCharType="separate"/>
            </w:r>
            <w:r>
              <w:t xml:space="preserve">3 </w:t>
            </w:r>
            <w:r>
              <w:fldChar w:fldCharType="end"/>
            </w:r>
          </w:hyperlink>
        </w:p>
        <w:p w14:paraId="7EEB6255" w14:textId="77777777" w:rsidR="0040051B" w:rsidRDefault="004356B9">
          <w:pPr>
            <w:pStyle w:val="TOC1"/>
            <w:tabs>
              <w:tab w:val="right" w:leader="dot" w:pos="8487"/>
            </w:tabs>
          </w:pPr>
          <w:hyperlink w:anchor="_Toc7089">
            <w:r>
              <w:t>2.</w:t>
            </w:r>
            <w:r>
              <w:rPr>
                <w:sz w:val="23"/>
              </w:rPr>
              <w:t xml:space="preserve">  </w:t>
            </w:r>
            <w:r>
              <w:t>Origins and Historical Context</w:t>
            </w:r>
            <w:r>
              <w:tab/>
            </w:r>
            <w:r>
              <w:fldChar w:fldCharType="begin"/>
            </w:r>
            <w:r>
              <w:instrText>PAGEREF _Toc7089 \h</w:instrText>
            </w:r>
            <w:r>
              <w:fldChar w:fldCharType="separate"/>
            </w:r>
            <w:r>
              <w:t xml:space="preserve">3 </w:t>
            </w:r>
            <w:r>
              <w:fldChar w:fldCharType="end"/>
            </w:r>
          </w:hyperlink>
        </w:p>
        <w:p w14:paraId="272856C9" w14:textId="77777777" w:rsidR="0040051B" w:rsidRDefault="004356B9">
          <w:pPr>
            <w:pStyle w:val="TOC1"/>
            <w:tabs>
              <w:tab w:val="right" w:leader="dot" w:pos="8487"/>
            </w:tabs>
          </w:pPr>
          <w:hyperlink w:anchor="_Toc7090">
            <w:r>
              <w:t>3.</w:t>
            </w:r>
            <w:r>
              <w:rPr>
                <w:sz w:val="23"/>
              </w:rPr>
              <w:t xml:space="preserve">  </w:t>
            </w:r>
            <w:r>
              <w:t>How Community Antenatal Midwifery Services Function Today</w:t>
            </w:r>
            <w:r>
              <w:tab/>
            </w:r>
            <w:r>
              <w:fldChar w:fldCharType="begin"/>
            </w:r>
            <w:r>
              <w:instrText>PAGEREF _Toc7090 \h</w:instrText>
            </w:r>
            <w:r>
              <w:fldChar w:fldCharType="separate"/>
            </w:r>
            <w:r>
              <w:t xml:space="preserve">4 </w:t>
            </w:r>
            <w:r>
              <w:fldChar w:fldCharType="end"/>
            </w:r>
          </w:hyperlink>
        </w:p>
        <w:p w14:paraId="519612E4" w14:textId="77777777" w:rsidR="0040051B" w:rsidRDefault="004356B9">
          <w:pPr>
            <w:pStyle w:val="TOC1"/>
            <w:tabs>
              <w:tab w:val="right" w:leader="dot" w:pos="8487"/>
            </w:tabs>
          </w:pPr>
          <w:hyperlink w:anchor="_Toc7091">
            <w:r>
              <w:t>4.</w:t>
            </w:r>
            <w:r>
              <w:rPr>
                <w:sz w:val="23"/>
              </w:rPr>
              <w:t xml:space="preserve">  </w:t>
            </w:r>
            <w:r>
              <w:t>Significance for Quality of Life of Service Users</w:t>
            </w:r>
            <w:r>
              <w:tab/>
            </w:r>
            <w:r>
              <w:fldChar w:fldCharType="begin"/>
            </w:r>
            <w:r>
              <w:instrText>PAGEREF _Toc7091 \h</w:instrText>
            </w:r>
            <w:r>
              <w:fldChar w:fldCharType="separate"/>
            </w:r>
            <w:r>
              <w:t xml:space="preserve">4 </w:t>
            </w:r>
            <w:r>
              <w:fldChar w:fldCharType="end"/>
            </w:r>
          </w:hyperlink>
        </w:p>
        <w:p w14:paraId="055FA5AD" w14:textId="77777777" w:rsidR="0040051B" w:rsidRDefault="004356B9">
          <w:pPr>
            <w:pStyle w:val="TOC1"/>
            <w:tabs>
              <w:tab w:val="right" w:leader="dot" w:pos="8487"/>
            </w:tabs>
          </w:pPr>
          <w:hyperlink w:anchor="_Toc7092">
            <w:r>
              <w:t>5.</w:t>
            </w:r>
            <w:r>
              <w:rPr>
                <w:sz w:val="23"/>
              </w:rPr>
              <w:t xml:space="preserve">  </w:t>
            </w:r>
            <w:r>
              <w:t>Conclusion</w:t>
            </w:r>
            <w:r>
              <w:tab/>
            </w:r>
            <w:r>
              <w:fldChar w:fldCharType="begin"/>
            </w:r>
            <w:r>
              <w:instrText>PAGEREF _Toc7092 \h</w:instrText>
            </w:r>
            <w:r>
              <w:fldChar w:fldCharType="separate"/>
            </w:r>
            <w:r>
              <w:t xml:space="preserve">5 </w:t>
            </w:r>
            <w:r>
              <w:fldChar w:fldCharType="end"/>
            </w:r>
          </w:hyperlink>
        </w:p>
        <w:p w14:paraId="41638017" w14:textId="77777777" w:rsidR="0040051B" w:rsidRDefault="004356B9">
          <w:pPr>
            <w:pStyle w:val="TOC1"/>
            <w:tabs>
              <w:tab w:val="right" w:leader="dot" w:pos="8487"/>
            </w:tabs>
          </w:pPr>
          <w:hyperlink w:anchor="_Toc7093">
            <w:r>
              <w:t>6.</w:t>
            </w:r>
            <w:r>
              <w:rPr>
                <w:sz w:val="23"/>
              </w:rPr>
              <w:t xml:space="preserve"> </w:t>
            </w:r>
            <w:r>
              <w:t>References</w:t>
            </w:r>
            <w:r>
              <w:tab/>
            </w:r>
            <w:r>
              <w:fldChar w:fldCharType="begin"/>
            </w:r>
            <w:r>
              <w:instrText>PAGEREF _Toc7093 \h</w:instrText>
            </w:r>
            <w:r>
              <w:fldChar w:fldCharType="separate"/>
            </w:r>
            <w:r>
              <w:t xml:space="preserve">6 </w:t>
            </w:r>
            <w:r>
              <w:fldChar w:fldCharType="end"/>
            </w:r>
          </w:hyperlink>
        </w:p>
        <w:p w14:paraId="2135CC92" w14:textId="77777777" w:rsidR="0040051B" w:rsidRDefault="004356B9">
          <w:r>
            <w:fldChar w:fldCharType="end"/>
          </w:r>
        </w:p>
      </w:sdtContent>
    </w:sdt>
    <w:p w14:paraId="27F5CB31" w14:textId="77777777" w:rsidR="0040051B" w:rsidRDefault="004356B9">
      <w:pPr>
        <w:spacing w:after="102" w:line="362" w:lineRule="auto"/>
        <w:ind w:left="-5" w:right="-6" w:hanging="10"/>
      </w:pPr>
      <w:r>
        <w:br w:type="page"/>
      </w:r>
    </w:p>
    <w:p w14:paraId="1B80DB96" w14:textId="77777777" w:rsidR="0040051B" w:rsidRDefault="004356B9">
      <w:pPr>
        <w:spacing w:after="102" w:line="362" w:lineRule="auto"/>
        <w:ind w:left="-5" w:right="-6" w:hanging="10"/>
      </w:pPr>
      <w:r>
        <w:rPr>
          <w:rFonts w:ascii="Times New Roman" w:eastAsia="Times New Roman" w:hAnsi="Times New Roman" w:cs="Times New Roman"/>
          <w:sz w:val="19"/>
        </w:rPr>
        <w:t xml:space="preserve"> </w:t>
      </w:r>
      <w:r>
        <w:br w:type="page"/>
      </w:r>
    </w:p>
    <w:p w14:paraId="3974D997" w14:textId="77777777" w:rsidR="0040051B" w:rsidRDefault="004356B9">
      <w:pPr>
        <w:pStyle w:val="Heading1"/>
        <w:ind w:left="661" w:hanging="338"/>
      </w:pPr>
      <w:bookmarkStart w:id="0" w:name="_Toc7088"/>
      <w:r>
        <w:t xml:space="preserve">Introduction: What Are Community Antenatal Midwifery Services? </w:t>
      </w:r>
      <w:bookmarkEnd w:id="0"/>
    </w:p>
    <w:p w14:paraId="52CC565D" w14:textId="77777777" w:rsidR="0040051B" w:rsidRDefault="004356B9">
      <w:pPr>
        <w:spacing w:after="260" w:line="361" w:lineRule="auto"/>
        <w:ind w:left="-5" w:hanging="10"/>
        <w:jc w:val="both"/>
      </w:pPr>
      <w:r>
        <w:rPr>
          <w:rFonts w:ascii="Times New Roman" w:eastAsia="Times New Roman" w:hAnsi="Times New Roman" w:cs="Times New Roman"/>
          <w:sz w:val="23"/>
        </w:rPr>
        <w:t>Community antenatal midwifery services offer prenatal care, which is provided by midwives in the community, either in a household or a local clinic, to ensure maternal and foetal wellbeing during the period of pregnancy. In Guy's and St Thomas NHS Foundation Trust, community-based midwives offer antenatal care, screening, education, and monitoring to the local communities as opposed to hospitals (Guy's and St Thomas' NHS Foundation Trust, 2022). Such services seek to enhance the health outcomes of mothers a</w:t>
      </w:r>
      <w:r>
        <w:rPr>
          <w:rFonts w:ascii="Times New Roman" w:eastAsia="Times New Roman" w:hAnsi="Times New Roman" w:cs="Times New Roman"/>
          <w:sz w:val="23"/>
        </w:rPr>
        <w:t xml:space="preserve">nd safe pregnancy experiences through consistent midwife-led care.  </w:t>
      </w:r>
    </w:p>
    <w:p w14:paraId="041A05D4"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These services also show how midwives can provide person-centred care, early risk detection, and health promotion in the community. However, the community antenatal services are guided by national maternity policies and guidelines, protecting evidence-based practice, which is safe, and continuity of care to minimise health disparities in the various populations. </w:t>
      </w:r>
    </w:p>
    <w:p w14:paraId="755E59E6" w14:textId="77777777" w:rsidR="0040051B" w:rsidRDefault="004356B9">
      <w:pPr>
        <w:spacing w:after="260" w:line="361" w:lineRule="auto"/>
        <w:ind w:left="-5" w:hanging="10"/>
        <w:jc w:val="both"/>
      </w:pPr>
      <w:r>
        <w:rPr>
          <w:rFonts w:ascii="Times New Roman" w:eastAsia="Times New Roman" w:hAnsi="Times New Roman" w:cs="Times New Roman"/>
          <w:sz w:val="23"/>
        </w:rPr>
        <w:t>Moreover, these services emphasise the need for multidisciplinary cooperation of midwives, obstetricians, health visitors, and other healthcare providers to promote healthiness of mothers and babies. The assessment of community antenatal care also assists in determining its effects on improving the pregnancy outcomes, the patient experience, and reducing the pressure that the hospital-based services may have on the contemporary healthcare system, the paramount factors to consider in the current healthcare s</w:t>
      </w:r>
      <w:r>
        <w:rPr>
          <w:rFonts w:ascii="Times New Roman" w:eastAsia="Times New Roman" w:hAnsi="Times New Roman" w:cs="Times New Roman"/>
          <w:sz w:val="23"/>
        </w:rPr>
        <w:t xml:space="preserve">ystem. </w:t>
      </w:r>
    </w:p>
    <w:p w14:paraId="3FABBC20" w14:textId="77777777" w:rsidR="0040051B" w:rsidRDefault="004356B9">
      <w:pPr>
        <w:pStyle w:val="Heading1"/>
        <w:ind w:left="661" w:hanging="338"/>
      </w:pPr>
      <w:bookmarkStart w:id="1" w:name="_Toc7089"/>
      <w:r>
        <w:t xml:space="preserve">Origins and Historical Context </w:t>
      </w:r>
      <w:bookmarkEnd w:id="1"/>
    </w:p>
    <w:p w14:paraId="3A5CDCEF" w14:textId="77777777" w:rsidR="0040051B" w:rsidRDefault="004356B9">
      <w:pPr>
        <w:spacing w:after="3" w:line="361" w:lineRule="auto"/>
        <w:ind w:left="-5" w:hanging="10"/>
        <w:jc w:val="both"/>
      </w:pPr>
      <w:r>
        <w:rPr>
          <w:rFonts w:ascii="Times New Roman" w:eastAsia="Times New Roman" w:hAnsi="Times New Roman" w:cs="Times New Roman"/>
          <w:sz w:val="23"/>
        </w:rPr>
        <w:t>The development of community antenatal midwifery services emerged out of the midwifery systems established in the early 19</w:t>
      </w:r>
      <w:r>
        <w:rPr>
          <w:rFonts w:ascii="Times New Roman" w:eastAsia="Times New Roman" w:hAnsi="Times New Roman" w:cs="Times New Roman"/>
          <w:sz w:val="23"/>
          <w:vertAlign w:val="superscript"/>
        </w:rPr>
        <w:t>th</w:t>
      </w:r>
      <w:r>
        <w:rPr>
          <w:rFonts w:ascii="Times New Roman" w:eastAsia="Times New Roman" w:hAnsi="Times New Roman" w:cs="Times New Roman"/>
          <w:sz w:val="23"/>
        </w:rPr>
        <w:t xml:space="preserve"> and early 20</w:t>
      </w:r>
      <w:r>
        <w:rPr>
          <w:rFonts w:ascii="Times New Roman" w:eastAsia="Times New Roman" w:hAnsi="Times New Roman" w:cs="Times New Roman"/>
          <w:sz w:val="23"/>
          <w:vertAlign w:val="superscript"/>
        </w:rPr>
        <w:t>th</w:t>
      </w:r>
      <w:r>
        <w:rPr>
          <w:rFonts w:ascii="Times New Roman" w:eastAsia="Times New Roman" w:hAnsi="Times New Roman" w:cs="Times New Roman"/>
          <w:sz w:val="23"/>
        </w:rPr>
        <w:t xml:space="preserve"> centuries in the UK to help lower the maternal mortality. With the establishment of the NHS in 1948, midwives became part of the publicly funded maternity care and community-based antenatal care was extended. </w:t>
      </w:r>
      <w:r>
        <w:rPr>
          <w:rFonts w:ascii="Times New Roman" w:eastAsia="Times New Roman" w:hAnsi="Times New Roman" w:cs="Times New Roman"/>
          <w:color w:val="212B32"/>
          <w:sz w:val="23"/>
        </w:rPr>
        <w:t xml:space="preserve">St Thomas’ was founded in the 1100s, Guy’s in the 1720s, Royal Brompton in the 1840s, Evelina Children’s Hospital in 1869 and Harefield Hospital in 1915, </w:t>
      </w:r>
      <w:r>
        <w:rPr>
          <w:rFonts w:ascii="Times New Roman" w:eastAsia="Times New Roman" w:hAnsi="Times New Roman" w:cs="Times New Roman"/>
          <w:sz w:val="23"/>
        </w:rPr>
        <w:t xml:space="preserve">respectively (Guys' and St Thomas </w:t>
      </w:r>
    </w:p>
    <w:p w14:paraId="17949757"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Trust NHS Foundation, 2025) </w:t>
      </w:r>
    </w:p>
    <w:p w14:paraId="3A7EA844"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The organisation is not only globally renowned for the quality of our care, but also for its research, ground-breaking innovation, and teaching.  However, England began to focus on policy changes that provided midwife-led and community maternity care, as it would lead to better outcomes and fewer inequalities (Dacre, 2021). The concept of care continuity and community access has become central to building modern maternity service models, impacting the evolution of the antenatal midwifery service. </w:t>
      </w:r>
    </w:p>
    <w:p w14:paraId="280A135E" w14:textId="77777777" w:rsidR="0040051B" w:rsidRDefault="004356B9">
      <w:pPr>
        <w:pStyle w:val="Heading1"/>
        <w:ind w:left="661" w:hanging="338"/>
      </w:pPr>
      <w:bookmarkStart w:id="2" w:name="_Toc7090"/>
      <w:r>
        <w:t xml:space="preserve">How Community Antenatal Midwifery Services Function Today </w:t>
      </w:r>
      <w:bookmarkEnd w:id="2"/>
    </w:p>
    <w:p w14:paraId="2595CEBF" w14:textId="77777777" w:rsidR="0040051B" w:rsidRDefault="004356B9">
      <w:pPr>
        <w:spacing w:after="260" w:line="361" w:lineRule="auto"/>
        <w:ind w:left="-5" w:hanging="10"/>
        <w:jc w:val="both"/>
      </w:pPr>
      <w:r>
        <w:rPr>
          <w:rFonts w:ascii="Times New Roman" w:eastAsia="Times New Roman" w:hAnsi="Times New Roman" w:cs="Times New Roman"/>
          <w:sz w:val="23"/>
        </w:rPr>
        <w:t>In the present day, community antenatal midwives in Guy's and St Thomas's provide holistic pregnancy care such as assessment, monitoring, education, and referral. Midwives are responsible for monitoring the mother's health, foetal development, and the progress of the pregnancy through regular community appointments. Pregnant women are provided with advice concerning nutrition, lifestyle, breastfeeding, and birth preparation. Midwifery-care continuity models in the community enhance the experiences and the p</w:t>
      </w:r>
      <w:r>
        <w:rPr>
          <w:rFonts w:ascii="Times New Roman" w:eastAsia="Times New Roman" w:hAnsi="Times New Roman" w:cs="Times New Roman"/>
          <w:sz w:val="23"/>
        </w:rPr>
        <w:t xml:space="preserve">erception of safety among women (Khan et al., 2026). However. Deprived urban populations receive better birth outcomes, and inequalities are minimised with the help of targeted caseload midwifery (Hadebe et al., 2021). </w:t>
      </w:r>
    </w:p>
    <w:p w14:paraId="7F2947CE" w14:textId="77777777" w:rsidR="0040051B" w:rsidRDefault="004356B9">
      <w:pPr>
        <w:spacing w:after="260" w:line="361" w:lineRule="auto"/>
        <w:ind w:left="-5" w:hanging="10"/>
        <w:jc w:val="both"/>
      </w:pPr>
      <w:r>
        <w:rPr>
          <w:rFonts w:ascii="Times New Roman" w:eastAsia="Times New Roman" w:hAnsi="Times New Roman" w:cs="Times New Roman"/>
          <w:sz w:val="23"/>
        </w:rPr>
        <w:t>By delivering maternity services near the homes and the communities of women, community antenatal midwifery enhances access to maternity care. Continuity care midwife-led increases trust, communication and personalised support to pregnant women (Khan et al., 2026). England has shortages in its midwifery workforce that leads to staffing pressure on the community antenatal services. Nonetheless, using community-based models causes the reduction of health disparities by addressing the disadvantaged groups (Had</w:t>
      </w:r>
      <w:r>
        <w:rPr>
          <w:rFonts w:ascii="Times New Roman" w:eastAsia="Times New Roman" w:hAnsi="Times New Roman" w:cs="Times New Roman"/>
          <w:sz w:val="23"/>
        </w:rPr>
        <w:t xml:space="preserve">ebe et al., 2021).  </w:t>
      </w:r>
    </w:p>
    <w:p w14:paraId="6DB4A28B"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Grollman et al. (2022) explain that midwifery staffing levels are inadequate and, as a result, require service reconfigurations. Limits to continuity and access to antenatal care may be high demand and resource constraints. According to Wiseman et al. (2022), it has logistical and organisational challenges related to the implementation of innovative antenatal models like group antenatal care. </w:t>
      </w:r>
    </w:p>
    <w:p w14:paraId="45CCA050" w14:textId="77777777" w:rsidR="0040051B" w:rsidRDefault="004356B9">
      <w:pPr>
        <w:pStyle w:val="Heading1"/>
        <w:ind w:left="661" w:hanging="338"/>
      </w:pPr>
      <w:bookmarkStart w:id="3" w:name="_Toc7091"/>
      <w:r>
        <w:t xml:space="preserve">Significance for Quality of Life of Service Users </w:t>
      </w:r>
      <w:bookmarkEnd w:id="3"/>
    </w:p>
    <w:p w14:paraId="562EF39B"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Community-based antenatal midwifery services contribute effectively to the improvement of the quality of life of pregnant women and families through the enrichment of the experiences of safe pregnancy and positive birth. Khan et al. (2026) argue that antenatal care provided by a midwife enhances maternal confidence, well-being, and preparedness. Community midwifery decreases poor birth outcomes among the disadvantaged groups (Hadebe et al., 2021). While easy access to antenatal education positively affects </w:t>
      </w:r>
      <w:r>
        <w:rPr>
          <w:rFonts w:ascii="Times New Roman" w:eastAsia="Times New Roman" w:hAnsi="Times New Roman" w:cs="Times New Roman"/>
          <w:sz w:val="23"/>
        </w:rPr>
        <w:t xml:space="preserve">maternal health behaviours and infant outcomes (Wiseman et al., 2022). </w:t>
      </w:r>
    </w:p>
    <w:p w14:paraId="62445347" w14:textId="77777777" w:rsidR="0040051B" w:rsidRDefault="004356B9">
      <w:pPr>
        <w:spacing w:after="260" w:line="361" w:lineRule="auto"/>
        <w:ind w:left="-5" w:hanging="10"/>
        <w:jc w:val="both"/>
      </w:pPr>
      <w:r>
        <w:rPr>
          <w:rFonts w:ascii="Times New Roman" w:eastAsia="Times New Roman" w:hAnsi="Times New Roman" w:cs="Times New Roman"/>
          <w:sz w:val="23"/>
        </w:rPr>
        <w:t>Thus, this encourages emotional well-being by providing emotional support throughout maternity, which is a process of support offered by a professional (Guy’s and St Thomas NHS Foundation Trust, 2022). The continuity-based, accessible, and community-based model of community antenatal midwifery at Guy 3 and St Thomas NHS Foundation Trust is an evidencebased and modern concept of maternity care. The service has historically been formed by public health reforms and the policies of the NHS; the service currentl</w:t>
      </w:r>
      <w:r>
        <w:rPr>
          <w:rFonts w:ascii="Times New Roman" w:eastAsia="Times New Roman" w:hAnsi="Times New Roman" w:cs="Times New Roman"/>
          <w:sz w:val="23"/>
        </w:rPr>
        <w:t xml:space="preserve">y serves as the guarantor of the maternity provision. </w:t>
      </w:r>
    </w:p>
    <w:p w14:paraId="723BC00E" w14:textId="77777777" w:rsidR="0040051B" w:rsidRDefault="004356B9">
      <w:pPr>
        <w:pStyle w:val="Heading1"/>
        <w:ind w:left="661" w:hanging="338"/>
      </w:pPr>
      <w:bookmarkStart w:id="4" w:name="_Toc7092"/>
      <w:r>
        <w:t xml:space="preserve">Conclusion </w:t>
      </w:r>
      <w:bookmarkEnd w:id="4"/>
    </w:p>
    <w:p w14:paraId="7943BD30" w14:textId="77777777" w:rsidR="0040051B" w:rsidRDefault="004356B9">
      <w:pPr>
        <w:spacing w:after="260" w:line="361" w:lineRule="auto"/>
        <w:ind w:left="-5" w:hanging="10"/>
        <w:jc w:val="both"/>
      </w:pPr>
      <w:r>
        <w:rPr>
          <w:rFonts w:ascii="Times New Roman" w:eastAsia="Times New Roman" w:hAnsi="Times New Roman" w:cs="Times New Roman"/>
          <w:sz w:val="23"/>
        </w:rPr>
        <w:t xml:space="preserve">Midwifery Community antenatal services can offer accessible, consistent, and woman-centred pregnancy care, enhancing maternal wellbeing, birth outcomes, and health equity. Despite workforce and resource issues, community antenatal midwifery is still crucial towards improving maternal outcomes, limiting inequalities, and enhancing the pregnancy experience. </w:t>
      </w:r>
    </w:p>
    <w:p w14:paraId="36BDCE0E" w14:textId="77777777" w:rsidR="0040051B" w:rsidRDefault="004356B9">
      <w:pPr>
        <w:spacing w:after="0"/>
      </w:pPr>
      <w:r>
        <w:rPr>
          <w:rFonts w:ascii="Times New Roman" w:eastAsia="Times New Roman" w:hAnsi="Times New Roman" w:cs="Times New Roman"/>
          <w:sz w:val="23"/>
        </w:rPr>
        <w:t xml:space="preserve"> </w:t>
      </w:r>
    </w:p>
    <w:p w14:paraId="2A96AD0E" w14:textId="77777777" w:rsidR="0040051B" w:rsidRDefault="004356B9">
      <w:pPr>
        <w:pStyle w:val="Heading1"/>
        <w:ind w:left="661" w:hanging="338"/>
      </w:pPr>
      <w:bookmarkStart w:id="5" w:name="_Toc7093"/>
      <w:r>
        <w:t xml:space="preserve">References </w:t>
      </w:r>
      <w:bookmarkEnd w:id="5"/>
    </w:p>
    <w:p w14:paraId="7179ADE0" w14:textId="77777777" w:rsidR="0040051B" w:rsidRDefault="004356B9">
      <w:pPr>
        <w:spacing w:after="1" w:line="358" w:lineRule="auto"/>
        <w:ind w:left="662" w:hanging="677"/>
      </w:pPr>
      <w:r>
        <w:rPr>
          <w:rFonts w:ascii="Times New Roman" w:eastAsia="Times New Roman" w:hAnsi="Times New Roman" w:cs="Times New Roman"/>
          <w:color w:val="222222"/>
          <w:sz w:val="23"/>
        </w:rPr>
        <w:t>Dacre, J., 2021. The health and social care committee’s expert panel: Evaluation of the government’s progress against its policy commitments in the area of maternity services in England.</w:t>
      </w:r>
      <w:r>
        <w:rPr>
          <w:rFonts w:ascii="Times New Roman" w:eastAsia="Times New Roman" w:hAnsi="Times New Roman" w:cs="Times New Roman"/>
          <w:sz w:val="23"/>
        </w:rPr>
        <w:t xml:space="preserve"> </w:t>
      </w:r>
    </w:p>
    <w:p w14:paraId="641068A1" w14:textId="77777777" w:rsidR="0040051B" w:rsidRDefault="004356B9">
      <w:pPr>
        <w:spacing w:after="2" w:line="358" w:lineRule="auto"/>
        <w:ind w:left="677" w:hanging="677"/>
      </w:pPr>
      <w:r>
        <w:rPr>
          <w:rFonts w:ascii="Times New Roman" w:eastAsia="Times New Roman" w:hAnsi="Times New Roman" w:cs="Times New Roman"/>
          <w:sz w:val="23"/>
        </w:rPr>
        <w:t xml:space="preserve">Guy’s and St Thomas’ NHS Foundation Trust. (2022). Maternity: care during pregnancy - Community midwives. [online] Available at: </w:t>
      </w:r>
      <w:r>
        <w:rPr>
          <w:rFonts w:ascii="Times New Roman" w:eastAsia="Times New Roman" w:hAnsi="Times New Roman" w:cs="Times New Roman"/>
          <w:color w:val="0563C1"/>
          <w:sz w:val="23"/>
          <w:u w:val="single" w:color="0563C1"/>
        </w:rPr>
        <w:t>https://www.guysandstthomas.nhs.uk/our-services/maternity-care-duringpregnancy/community-midwives</w:t>
      </w:r>
      <w:r>
        <w:rPr>
          <w:rFonts w:ascii="Times New Roman" w:eastAsia="Times New Roman" w:hAnsi="Times New Roman" w:cs="Times New Roman"/>
          <w:sz w:val="23"/>
        </w:rPr>
        <w:t xml:space="preserve">. </w:t>
      </w:r>
    </w:p>
    <w:p w14:paraId="648AC4DF" w14:textId="77777777" w:rsidR="0040051B" w:rsidRDefault="004356B9">
      <w:pPr>
        <w:spacing w:after="1" w:line="358" w:lineRule="auto"/>
        <w:ind w:left="662" w:right="397" w:hanging="677"/>
      </w:pPr>
      <w:r>
        <w:rPr>
          <w:rFonts w:ascii="Times New Roman" w:eastAsia="Times New Roman" w:hAnsi="Times New Roman" w:cs="Times New Roman"/>
          <w:color w:val="222222"/>
          <w:sz w:val="23"/>
        </w:rPr>
        <w:t xml:space="preserve">Grollman, C., Daniele, M.A., Brigante, L., Knight, G.M., Latina, L., Morgan, A.S. and Downe, S., 2022. Maternity service reconfigurations for intrapartum and postnatal midwifery staffing shortages: modelling of low-risk births in England. BMJ open, 12(9), p.e051747. </w:t>
      </w:r>
    </w:p>
    <w:p w14:paraId="3AAF9DCB" w14:textId="77777777" w:rsidR="0040051B" w:rsidRDefault="004356B9">
      <w:pPr>
        <w:spacing w:after="1" w:line="358" w:lineRule="auto"/>
        <w:ind w:left="662" w:hanging="677"/>
      </w:pPr>
      <w:r>
        <w:rPr>
          <w:rFonts w:ascii="Times New Roman" w:eastAsia="Times New Roman" w:hAnsi="Times New Roman" w:cs="Times New Roman"/>
          <w:color w:val="222222"/>
          <w:sz w:val="23"/>
        </w:rPr>
        <w:t xml:space="preserve">Hadebe, R., Seed, P.T., Essien, D., Headen, K., Mahmud, S., Owasil, S., Turienzo, C.F., Stanke, C., Sandall, J., Bruno, M. and Khazaezadeh, N., 2021. Can birth outcome inequality be reduced using targeted caseload midwifery in a deprived, diverse inner city population? A retrospective cohort study, London, UK. BMJ open, 11(11), p.e049991. </w:t>
      </w:r>
    </w:p>
    <w:p w14:paraId="7E45351B" w14:textId="77777777" w:rsidR="0040051B" w:rsidRDefault="004356B9">
      <w:pPr>
        <w:spacing w:after="105"/>
        <w:ind w:left="-5" w:hanging="10"/>
      </w:pPr>
      <w:r>
        <w:rPr>
          <w:rFonts w:ascii="Times New Roman" w:eastAsia="Times New Roman" w:hAnsi="Times New Roman" w:cs="Times New Roman"/>
          <w:color w:val="222222"/>
          <w:sz w:val="23"/>
        </w:rPr>
        <w:t xml:space="preserve">Khan, Z.A., Turienzo, C.F., Rayment-Jones, H., Vowles, Z., Harding, S. and Sandall, J., </w:t>
      </w:r>
    </w:p>
    <w:p w14:paraId="40134E23" w14:textId="77777777" w:rsidR="0040051B" w:rsidRDefault="004356B9">
      <w:pPr>
        <w:spacing w:after="1" w:line="358" w:lineRule="auto"/>
        <w:ind w:left="687" w:hanging="10"/>
      </w:pPr>
      <w:r>
        <w:rPr>
          <w:rFonts w:ascii="Times New Roman" w:eastAsia="Times New Roman" w:hAnsi="Times New Roman" w:cs="Times New Roman"/>
          <w:color w:val="222222"/>
          <w:sz w:val="23"/>
        </w:rPr>
        <w:t xml:space="preserve">2026. Women’s experiences of community-based midwifery continuity of care in South London: A longitudinal intersectional study. Women and Birth, 39(1), p.102137. </w:t>
      </w:r>
    </w:p>
    <w:p w14:paraId="3FA95BD2" w14:textId="77777777" w:rsidR="0040051B" w:rsidRDefault="004356B9">
      <w:pPr>
        <w:spacing w:after="107"/>
        <w:ind w:left="-5" w:hanging="10"/>
      </w:pPr>
      <w:r>
        <w:rPr>
          <w:rFonts w:ascii="Times New Roman" w:eastAsia="Times New Roman" w:hAnsi="Times New Roman" w:cs="Times New Roman"/>
          <w:color w:val="222222"/>
          <w:sz w:val="23"/>
        </w:rPr>
        <w:t xml:space="preserve">Wiseman, O., Emmett, L., Hickford, G., Knight, M., Lazar, J., Yuill, C. and McCourt, C., </w:t>
      </w:r>
    </w:p>
    <w:p w14:paraId="5F346F96" w14:textId="77777777" w:rsidR="0040051B" w:rsidRDefault="004356B9">
      <w:pPr>
        <w:spacing w:after="1" w:line="358" w:lineRule="auto"/>
        <w:ind w:left="687" w:hanging="10"/>
      </w:pPr>
      <w:r>
        <w:rPr>
          <w:rFonts w:ascii="Times New Roman" w:eastAsia="Times New Roman" w:hAnsi="Times New Roman" w:cs="Times New Roman"/>
          <w:color w:val="222222"/>
          <w:sz w:val="23"/>
        </w:rPr>
        <w:t>2022. The challenges and opportunities for implementing group antenatal care (‘Pregnancy Circles’) as part of standard NHS maternity care: A co-designed qualitative study. Midwifery, 109, p.103333.</w:t>
      </w:r>
      <w:r>
        <w:rPr>
          <w:rFonts w:ascii="Times New Roman" w:eastAsia="Times New Roman" w:hAnsi="Times New Roman" w:cs="Times New Roman"/>
          <w:sz w:val="23"/>
        </w:rPr>
        <w:t xml:space="preserve"> </w:t>
      </w:r>
    </w:p>
    <w:p w14:paraId="79A9C7B2" w14:textId="77777777" w:rsidR="0040051B" w:rsidRDefault="004356B9">
      <w:pPr>
        <w:spacing w:after="0"/>
      </w:pPr>
      <w:r>
        <w:rPr>
          <w:rFonts w:ascii="Times New Roman" w:eastAsia="Times New Roman" w:hAnsi="Times New Roman" w:cs="Times New Roman"/>
          <w:sz w:val="23"/>
        </w:rPr>
        <w:t xml:space="preserve"> </w:t>
      </w:r>
    </w:p>
    <w:sectPr w:rsidR="0040051B">
      <w:footerReference w:type="even" r:id="rId22"/>
      <w:footerReference w:type="default" r:id="rId23"/>
      <w:footerReference w:type="first" r:id="rId24"/>
      <w:pgSz w:w="12240" w:h="15840"/>
      <w:pgMar w:top="1406" w:right="1881" w:bottom="1751" w:left="1872" w:header="720" w:footer="67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B6BA" w14:textId="77777777" w:rsidR="004356B9" w:rsidRDefault="004356B9">
      <w:pPr>
        <w:spacing w:after="0" w:line="240" w:lineRule="auto"/>
      </w:pPr>
      <w:r>
        <w:separator/>
      </w:r>
    </w:p>
  </w:endnote>
  <w:endnote w:type="continuationSeparator" w:id="0">
    <w:p w14:paraId="24797B5F" w14:textId="77777777" w:rsidR="004356B9" w:rsidRDefault="00435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429EB" w14:textId="77777777" w:rsidR="0040051B" w:rsidRDefault="004005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53A5" w14:textId="77777777" w:rsidR="0040051B" w:rsidRDefault="0040051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6C51C" w14:textId="77777777" w:rsidR="0040051B" w:rsidRDefault="0040051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E816" w14:textId="77777777" w:rsidR="0040051B" w:rsidRDefault="004356B9">
    <w:pPr>
      <w:tabs>
        <w:tab w:val="center" w:pos="4239"/>
        <w:tab w:val="center" w:pos="8483"/>
      </w:tabs>
      <w:spacing w:after="0"/>
    </w:pPr>
    <w:r>
      <w:rPr>
        <w:rFonts w:ascii="Times New Roman" w:eastAsia="Times New Roman" w:hAnsi="Times New Roman" w:cs="Times New Roman"/>
        <w:sz w:val="19"/>
      </w:rPr>
      <w:t xml:space="preserve"> </w:t>
    </w:r>
    <w:r>
      <w:rPr>
        <w:rFonts w:ascii="Times New Roman" w:eastAsia="Times New Roman" w:hAnsi="Times New Roman" w:cs="Times New Roman"/>
        <w:sz w:val="19"/>
      </w:rPr>
      <w:tab/>
    </w:r>
    <w:r>
      <w:fldChar w:fldCharType="begin"/>
    </w:r>
    <w:r>
      <w:instrText xml:space="preserve"> PAGE   \* MERGEFORMAT </w:instrText>
    </w:r>
    <w:r>
      <w:fldChar w:fldCharType="separate"/>
    </w:r>
    <w:r>
      <w:rPr>
        <w:rFonts w:ascii="Times New Roman" w:eastAsia="Times New Roman" w:hAnsi="Times New Roman" w:cs="Times New Roman"/>
        <w:sz w:val="19"/>
      </w:rPr>
      <w:t>1</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93914" w14:textId="77777777" w:rsidR="0040051B" w:rsidRDefault="004356B9">
    <w:pPr>
      <w:tabs>
        <w:tab w:val="center" w:pos="4239"/>
        <w:tab w:val="center" w:pos="8483"/>
      </w:tabs>
      <w:spacing w:after="0"/>
    </w:pPr>
    <w:r>
      <w:rPr>
        <w:rFonts w:ascii="Times New Roman" w:eastAsia="Times New Roman" w:hAnsi="Times New Roman" w:cs="Times New Roman"/>
        <w:sz w:val="19"/>
      </w:rPr>
      <w:t xml:space="preserve"> </w:t>
    </w:r>
    <w:r>
      <w:rPr>
        <w:rFonts w:ascii="Times New Roman" w:eastAsia="Times New Roman" w:hAnsi="Times New Roman" w:cs="Times New Roman"/>
        <w:sz w:val="19"/>
      </w:rPr>
      <w:tab/>
    </w:r>
    <w:r>
      <w:fldChar w:fldCharType="begin"/>
    </w:r>
    <w:r>
      <w:instrText xml:space="preserve"> PAGE   \* MERGEFORMAT </w:instrText>
    </w:r>
    <w:r>
      <w:fldChar w:fldCharType="separate"/>
    </w:r>
    <w:r>
      <w:rPr>
        <w:rFonts w:ascii="Times New Roman" w:eastAsia="Times New Roman" w:hAnsi="Times New Roman" w:cs="Times New Roman"/>
        <w:sz w:val="19"/>
      </w:rPr>
      <w:t>1</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DF642" w14:textId="77777777" w:rsidR="0040051B" w:rsidRDefault="004356B9">
    <w:pPr>
      <w:tabs>
        <w:tab w:val="center" w:pos="4239"/>
        <w:tab w:val="center" w:pos="8483"/>
      </w:tabs>
      <w:spacing w:after="0"/>
    </w:pPr>
    <w:r>
      <w:rPr>
        <w:rFonts w:ascii="Times New Roman" w:eastAsia="Times New Roman" w:hAnsi="Times New Roman" w:cs="Times New Roman"/>
        <w:sz w:val="19"/>
      </w:rPr>
      <w:t xml:space="preserve"> </w:t>
    </w:r>
    <w:r>
      <w:rPr>
        <w:rFonts w:ascii="Times New Roman" w:eastAsia="Times New Roman" w:hAnsi="Times New Roman" w:cs="Times New Roman"/>
        <w:sz w:val="19"/>
      </w:rPr>
      <w:tab/>
    </w:r>
    <w:r>
      <w:fldChar w:fldCharType="begin"/>
    </w:r>
    <w:r>
      <w:instrText xml:space="preserve"> PAGE   \* MERGEFORMAT </w:instrText>
    </w:r>
    <w:r>
      <w:fldChar w:fldCharType="separate"/>
    </w:r>
    <w:r>
      <w:rPr>
        <w:rFonts w:ascii="Times New Roman" w:eastAsia="Times New Roman" w:hAnsi="Times New Roman" w:cs="Times New Roman"/>
        <w:sz w:val="19"/>
      </w:rPr>
      <w:t>1</w:t>
    </w:r>
    <w:r>
      <w:rPr>
        <w:rFonts w:ascii="Times New Roman" w:eastAsia="Times New Roman" w:hAnsi="Times New Roman" w:cs="Times New Roman"/>
        <w:sz w:val="19"/>
      </w:rPr>
      <w:fldChar w:fldCharType="end"/>
    </w: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37874" w14:textId="77777777" w:rsidR="004356B9" w:rsidRDefault="004356B9">
      <w:pPr>
        <w:spacing w:after="0" w:line="240" w:lineRule="auto"/>
      </w:pPr>
      <w:r>
        <w:separator/>
      </w:r>
    </w:p>
  </w:footnote>
  <w:footnote w:type="continuationSeparator" w:id="0">
    <w:p w14:paraId="7E7F6ACE" w14:textId="77777777" w:rsidR="004356B9" w:rsidRDefault="00435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5012F9"/>
    <w:multiLevelType w:val="hybridMultilevel"/>
    <w:tmpl w:val="FFFFFFFF"/>
    <w:lvl w:ilvl="0" w:tplc="40CAF52C">
      <w:start w:val="1"/>
      <w:numFmt w:val="decimal"/>
      <w:pStyle w:val="Heading1"/>
      <w:lvlText w:val="%1."/>
      <w:lvlJc w:val="left"/>
      <w:pPr>
        <w:ind w:left="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DF85168">
      <w:start w:val="1"/>
      <w:numFmt w:val="lowerLetter"/>
      <w:lvlText w:val="%2"/>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41460DC">
      <w:start w:val="1"/>
      <w:numFmt w:val="lowerRoman"/>
      <w:lvlText w:val="%3"/>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A366A56">
      <w:start w:val="1"/>
      <w:numFmt w:val="decimal"/>
      <w:lvlText w:val="%4"/>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D2F9CC">
      <w:start w:val="1"/>
      <w:numFmt w:val="lowerLetter"/>
      <w:lvlText w:val="%5"/>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426C934">
      <w:start w:val="1"/>
      <w:numFmt w:val="lowerRoman"/>
      <w:lvlText w:val="%6"/>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228E620">
      <w:start w:val="1"/>
      <w:numFmt w:val="decimal"/>
      <w:lvlText w:val="%7"/>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A78F17C">
      <w:start w:val="1"/>
      <w:numFmt w:val="lowerLetter"/>
      <w:lvlText w:val="%8"/>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1AEF76">
      <w:start w:val="1"/>
      <w:numFmt w:val="lowerRoman"/>
      <w:lvlText w:val="%9"/>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57956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51B"/>
    <w:rsid w:val="002E5573"/>
    <w:rsid w:val="0040051B"/>
    <w:rsid w:val="004356B9"/>
    <w:rsid w:val="00901FAD"/>
    <w:rsid w:val="00B01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911106"/>
  <w15:docId w15:val="{4E7AE901-7D93-B14E-8BDC-C813A180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1"/>
      </w:numPr>
      <w:spacing w:after="344" w:line="289" w:lineRule="auto"/>
      <w:ind w:left="348" w:hanging="10"/>
      <w:outlineLvl w:val="0"/>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3"/>
    </w:rPr>
  </w:style>
  <w:style w:type="paragraph" w:styleId="TOC1">
    <w:name w:val="toc 1"/>
    <w:hidden/>
    <w:pPr>
      <w:spacing w:after="102" w:line="259" w:lineRule="auto"/>
      <w:ind w:left="25" w:right="22" w:hanging="10"/>
    </w:pPr>
    <w:rPr>
      <w:rFonts w:ascii="Times New Roman" w:eastAsia="Times New Roman" w:hAnsi="Times New Roman" w:cs="Times New Roman"/>
      <w:color w:val="000000"/>
      <w:sz w:val="1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6.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0.jp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image" Target="media/image40.jpg"/><Relationship Id="rId23" Type="http://schemas.openxmlformats.org/officeDocument/2006/relationships/footer" Target="footer5.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2789</Words>
  <Characters>15902</Characters>
  <Application>Microsoft Office Word</Application>
  <DocSecurity>0</DocSecurity>
  <Lines>132</Lines>
  <Paragraphs>37</Paragraphs>
  <ScaleCrop>false</ScaleCrop>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- 00000036-TK-UKAH-DMQ-01_1771694475_282 (2).docx</dc:title>
  <dc:subject/>
  <dc:creator>Trevor Warry</dc:creator>
  <cp:keywords/>
  <cp:lastModifiedBy>dominiqueheath@icloud.com</cp:lastModifiedBy>
  <cp:revision>2</cp:revision>
  <dcterms:created xsi:type="dcterms:W3CDTF">2026-02-22T15:35:00Z</dcterms:created>
  <dcterms:modified xsi:type="dcterms:W3CDTF">2026-02-22T15:35:00Z</dcterms:modified>
</cp:coreProperties>
</file>