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135B1A39"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FB177B" w:rsidRPr="00FB177B">
        <w:rPr>
          <w:rFonts w:ascii="Arial" w:hAnsi="Arial" w:cs="Arial"/>
          <w:sz w:val="28"/>
          <w:szCs w:val="28"/>
        </w:rPr>
        <w:t>Maria Gabriela Ion</w:t>
      </w:r>
    </w:p>
    <w:p w14:paraId="476C763A" w14:textId="4163AB65"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FB177B">
        <w:rPr>
          <w:rFonts w:ascii="Arial" w:hAnsi="Arial" w:cs="Arial"/>
          <w:sz w:val="28"/>
          <w:szCs w:val="28"/>
          <w:lang w:val="nl-NL"/>
        </w:rPr>
        <w:t xml:space="preserve"> </w:t>
      </w:r>
      <w:r w:rsidR="00FB177B" w:rsidRPr="00FB177B">
        <w:rPr>
          <w:rFonts w:ascii="Arial" w:hAnsi="Arial" w:cs="Arial"/>
          <w:sz w:val="28"/>
          <w:szCs w:val="28"/>
          <w:lang w:val="nl-NL"/>
        </w:rPr>
        <w:t>2509672</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0275F88C"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FB177B" w:rsidRPr="00FB177B">
        <w:rPr>
          <w:rFonts w:ascii="Arial" w:hAnsi="Arial" w:cs="Arial"/>
          <w:sz w:val="28"/>
          <w:szCs w:val="28"/>
          <w:lang w:val="nl-NL"/>
        </w:rPr>
        <w:t>Introduction to Health and Social Care</w:t>
      </w:r>
    </w:p>
    <w:p w14:paraId="0009AFB0" w14:textId="411A08F8"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FB177B" w:rsidRPr="00FB177B">
        <w:t xml:space="preserve"> </w:t>
      </w:r>
      <w:r w:rsidR="00FB177B" w:rsidRPr="00FB177B">
        <w:rPr>
          <w:rFonts w:ascii="Arial" w:hAnsi="Arial" w:cs="Arial"/>
          <w:sz w:val="28"/>
          <w:szCs w:val="28"/>
        </w:rPr>
        <w:t>LCHS4003_LON</w:t>
      </w:r>
    </w:p>
    <w:p w14:paraId="0EA5B494" w14:textId="0688FC60" w:rsidR="00833470" w:rsidRPr="00FB177B" w:rsidRDefault="00833470" w:rsidP="00833470">
      <w:pPr>
        <w:rPr>
          <w:rFonts w:ascii="Arial" w:hAnsi="Arial" w:cs="Arial"/>
          <w:sz w:val="28"/>
          <w:szCs w:val="28"/>
        </w:rPr>
      </w:pPr>
      <w:r w:rsidRPr="0020413D">
        <w:rPr>
          <w:rFonts w:ascii="Arial" w:hAnsi="Arial" w:cs="Arial"/>
          <w:b/>
          <w:bCs/>
          <w:sz w:val="28"/>
          <w:szCs w:val="28"/>
        </w:rPr>
        <w:t xml:space="preserve">Lecturer </w:t>
      </w:r>
      <w:proofErr w:type="gramStart"/>
      <w:r w:rsidRPr="0020413D">
        <w:rPr>
          <w:rFonts w:ascii="Arial" w:hAnsi="Arial" w:cs="Arial"/>
          <w:b/>
          <w:bCs/>
          <w:sz w:val="28"/>
          <w:szCs w:val="28"/>
        </w:rPr>
        <w:t>name</w:t>
      </w:r>
      <w:r w:rsidRPr="0020413D">
        <w:t xml:space="preserve"> </w:t>
      </w:r>
      <w:r w:rsidR="00FB177B">
        <w:rPr>
          <w:rFonts w:ascii="Arial" w:hAnsi="Arial" w:cs="Arial"/>
          <w:sz w:val="28"/>
          <w:szCs w:val="28"/>
        </w:rPr>
        <w:t>:</w:t>
      </w:r>
      <w:proofErr w:type="gramEnd"/>
      <w:r w:rsidR="00FB177B" w:rsidRPr="00FB177B">
        <w:t xml:space="preserve"> </w:t>
      </w:r>
      <w:proofErr w:type="spellStart"/>
      <w:r w:rsidR="00FB177B" w:rsidRPr="00FB177B">
        <w:rPr>
          <w:rFonts w:ascii="Arial" w:hAnsi="Arial" w:cs="Arial"/>
          <w:sz w:val="28"/>
          <w:szCs w:val="28"/>
        </w:rPr>
        <w:t>Inye</w:t>
      </w:r>
      <w:proofErr w:type="spellEnd"/>
      <w:r w:rsidR="00FB177B" w:rsidRPr="00FB177B">
        <w:rPr>
          <w:rFonts w:ascii="Arial" w:hAnsi="Arial" w:cs="Arial"/>
          <w:sz w:val="28"/>
          <w:szCs w:val="28"/>
        </w:rPr>
        <w:t xml:space="preserve"> Abel-Tariah</w:t>
      </w:r>
    </w:p>
    <w:bookmarkEnd w:id="0"/>
    <w:p w14:paraId="410C101D" w14:textId="36A4CADA" w:rsidR="00925D5E" w:rsidRDefault="00925D5E">
      <w:pPr>
        <w:sectPr w:rsidR="00925D5E" w:rsidSect="00763DC5">
          <w:headerReference w:type="default" r:id="rId9"/>
          <w:footerReference w:type="default" r:id="rId10"/>
          <w:pgSz w:w="16838" w:h="23811" w:code="8"/>
          <w:pgMar w:top="1440" w:right="1440" w:bottom="1440" w:left="1440" w:header="708" w:footer="708" w:gutter="0"/>
          <w:cols w:space="708"/>
          <w:docGrid w:linePitch="360"/>
        </w:sectPr>
      </w:pP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236C53D3"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5AFFC33B" w14:textId="58ADFAD8" w:rsidR="003A000F" w:rsidRDefault="00226DA9">
      <w:pPr>
        <w:sectPr w:rsidR="003A000F" w:rsidSect="001C2CA1">
          <w:pgSz w:w="23811" w:h="16838" w:orient="landscape" w:code="8"/>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59264" behindDoc="1" locked="0" layoutInCell="1" allowOverlap="1" wp14:anchorId="2F5030E1" wp14:editId="47B49169">
                <wp:simplePos x="0" y="0"/>
                <wp:positionH relativeFrom="page">
                  <wp:posOffset>9271635</wp:posOffset>
                </wp:positionH>
                <wp:positionV relativeFrom="paragraph">
                  <wp:posOffset>4947920</wp:posOffset>
                </wp:positionV>
                <wp:extent cx="5824220" cy="3723005"/>
                <wp:effectExtent l="19050" t="19050" r="24130" b="10795"/>
                <wp:wrapTight wrapText="bothSides">
                  <wp:wrapPolygon edited="0">
                    <wp:start x="-71" y="-111"/>
                    <wp:lineTo x="-71" y="21552"/>
                    <wp:lineTo x="21619" y="21552"/>
                    <wp:lineTo x="21619" y="-111"/>
                    <wp:lineTo x="-71" y="-111"/>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3723005"/>
                        </a:xfrm>
                        <a:prstGeom prst="rect">
                          <a:avLst/>
                        </a:prstGeom>
                        <a:solidFill>
                          <a:srgbClr val="FFFFFF"/>
                        </a:solidFill>
                        <a:ln w="44450">
                          <a:solidFill>
                            <a:srgbClr val="000000"/>
                          </a:solidFill>
                          <a:miter lim="800000"/>
                          <a:headEnd/>
                          <a:tailEnd/>
                        </a:ln>
                        <a:effectLst>
                          <a:softEdge rad="25400"/>
                        </a:effectLst>
                      </wps:spPr>
                      <wps:txbx>
                        <w:txbxContent>
                          <w:p w14:paraId="69461F56" w14:textId="11C5E253" w:rsidR="00BE6BE0" w:rsidRDefault="00A23A9B" w:rsidP="00BE6BE0">
                            <w:r w:rsidRPr="00A23A9B">
                              <w:rPr>
                                <w:b/>
                                <w:bCs/>
                                <w:color w:val="385623" w:themeColor="accent6" w:themeShade="80"/>
                              </w:rPr>
                              <w:t xml:space="preserve">Conclusion </w:t>
                            </w:r>
                          </w:p>
                          <w:p w14:paraId="57274CE0" w14:textId="4AC025CE" w:rsidR="00A23A9B" w:rsidRPr="00AD5293" w:rsidRDefault="00A23A9B" w:rsidP="00A661EA">
                            <w:pPr>
                              <w:spacing w:line="240" w:lineRule="auto"/>
                              <w:rPr>
                                <w:rFonts w:ascii="Arial Narrow" w:hAnsi="Arial Narrow" w:cs="Arial"/>
                                <w:sz w:val="20"/>
                                <w:szCs w:val="20"/>
                              </w:rPr>
                            </w:pPr>
                            <w:r w:rsidRPr="00AD5293">
                              <w:rPr>
                                <w:rFonts w:ascii="Arial Narrow" w:hAnsi="Arial Narrow" w:cs="Arial"/>
                                <w:sz w:val="20"/>
                                <w:szCs w:val="20"/>
                              </w:rPr>
                              <w:t>Community Mental Health Services remain essential in supporting recovery and independence in the UK. While community care has strengthened access and empowerment (Pang et al., 2025), challenges such as limited support, workforce shortages, stigma, and regional inequalities persist. Addressing these issues is vital to ensure fair, high</w:t>
                            </w:r>
                            <w:r w:rsidRPr="00AD5293">
                              <w:rPr>
                                <w:rFonts w:ascii="Cambria Math" w:hAnsi="Cambria Math" w:cs="Cambria Math"/>
                                <w:sz w:val="20"/>
                                <w:szCs w:val="20"/>
                              </w:rPr>
                              <w:t>‑</w:t>
                            </w:r>
                            <w:r w:rsidRPr="00AD5293">
                              <w:rPr>
                                <w:rFonts w:ascii="Arial Narrow" w:hAnsi="Arial Narrow" w:cs="Arial"/>
                                <w:sz w:val="20"/>
                                <w:szCs w:val="20"/>
                              </w:rPr>
                              <w:t>quality mental health care for all.</w:t>
                            </w:r>
                          </w:p>
                          <w:p w14:paraId="2BF55854" w14:textId="77777777" w:rsidR="00A23A9B" w:rsidRPr="00AD5293" w:rsidRDefault="00A23A9B" w:rsidP="00A661EA">
                            <w:pPr>
                              <w:spacing w:line="240" w:lineRule="auto"/>
                              <w:rPr>
                                <w:rFonts w:ascii="Arial Narrow" w:hAnsi="Arial Narrow" w:cs="Arial"/>
                                <w:sz w:val="20"/>
                                <w:szCs w:val="20"/>
                              </w:rPr>
                            </w:pPr>
                            <w:r w:rsidRPr="00AD5293">
                              <w:rPr>
                                <w:rFonts w:ascii="Arial Narrow" w:hAnsi="Arial Narrow" w:cs="Arial"/>
                                <w:sz w:val="20"/>
                                <w:szCs w:val="20"/>
                              </w:rPr>
                              <w:t xml:space="preserve">Reference </w:t>
                            </w:r>
                          </w:p>
                          <w:p w14:paraId="6E4A5A40" w14:textId="77777777" w:rsidR="00286840" w:rsidRPr="00226DA9" w:rsidRDefault="00A23A9B" w:rsidP="00A661EA">
                            <w:pPr>
                              <w:spacing w:line="240" w:lineRule="auto"/>
                              <w:rPr>
                                <w:rFonts w:ascii="Arial Narrow" w:hAnsi="Arial Narrow" w:cs="Arial"/>
                                <w:sz w:val="16"/>
                                <w:szCs w:val="16"/>
                              </w:rPr>
                            </w:pPr>
                            <w:r w:rsidRPr="00226DA9">
                              <w:rPr>
                                <w:rFonts w:ascii="Arial Narrow" w:hAnsi="Arial Narrow" w:cs="Arial"/>
                                <w:sz w:val="16"/>
                                <w:szCs w:val="16"/>
                              </w:rPr>
                              <w:t>Al</w:t>
                            </w:r>
                            <w:r w:rsidRPr="00226DA9">
                              <w:rPr>
                                <w:rFonts w:ascii="Cambria Math" w:hAnsi="Cambria Math" w:cs="Cambria Math"/>
                                <w:sz w:val="16"/>
                                <w:szCs w:val="16"/>
                              </w:rPr>
                              <w:t>‑</w:t>
                            </w:r>
                            <w:proofErr w:type="spellStart"/>
                            <w:r w:rsidRPr="00226DA9">
                              <w:rPr>
                                <w:rFonts w:ascii="Arial Narrow" w:hAnsi="Arial Narrow" w:cs="Arial"/>
                                <w:sz w:val="16"/>
                                <w:szCs w:val="16"/>
                              </w:rPr>
                              <w:t>Huseini</w:t>
                            </w:r>
                            <w:proofErr w:type="spellEnd"/>
                            <w:r w:rsidRPr="00226DA9">
                              <w:rPr>
                                <w:rFonts w:ascii="Arial Narrow" w:hAnsi="Arial Narrow" w:cs="Arial"/>
                                <w:sz w:val="16"/>
                                <w:szCs w:val="16"/>
                              </w:rPr>
                              <w:t xml:space="preserve">, S. &amp; Al </w:t>
                            </w:r>
                            <w:proofErr w:type="spellStart"/>
                            <w:r w:rsidRPr="00226DA9">
                              <w:rPr>
                                <w:rFonts w:ascii="Arial Narrow" w:hAnsi="Arial Narrow" w:cs="Arial"/>
                                <w:sz w:val="16"/>
                                <w:szCs w:val="16"/>
                              </w:rPr>
                              <w:t>Maqbali</w:t>
                            </w:r>
                            <w:proofErr w:type="spellEnd"/>
                            <w:r w:rsidRPr="00226DA9">
                              <w:rPr>
                                <w:rFonts w:ascii="Arial Narrow" w:hAnsi="Arial Narrow" w:cs="Arial"/>
                                <w:sz w:val="16"/>
                                <w:szCs w:val="16"/>
                              </w:rPr>
                              <w:t xml:space="preserve">, M. (2025) ‘Mental health care in Oman: Current landscape, challenges, and future directions’, in Mental Health Care in the Middle East. Singapore: Springer Nature Singapore, pp. 175–208. Available at: </w:t>
                            </w:r>
                            <w:hyperlink r:id="rId11" w:history="1">
                              <w:r w:rsidR="00330F6C" w:rsidRPr="00226DA9">
                                <w:rPr>
                                  <w:rStyle w:val="Hyperlink"/>
                                  <w:rFonts w:ascii="Arial Narrow" w:hAnsi="Arial Narrow" w:cs="Arial"/>
                                  <w:sz w:val="16"/>
                                  <w:szCs w:val="16"/>
                                </w:rPr>
                                <w:t>https://link.springer.com/search?query=mental+health</w:t>
                              </w:r>
                            </w:hyperlink>
                          </w:p>
                          <w:p w14:paraId="78B22754" w14:textId="567DDF23" w:rsidR="00286840" w:rsidRPr="00226DA9" w:rsidRDefault="00A23A9B" w:rsidP="00A661EA">
                            <w:pPr>
                              <w:spacing w:line="240" w:lineRule="auto"/>
                              <w:rPr>
                                <w:rFonts w:ascii="Arial Narrow" w:hAnsi="Arial Narrow" w:cs="Arial"/>
                                <w:sz w:val="16"/>
                                <w:szCs w:val="16"/>
                              </w:rPr>
                            </w:pPr>
                            <w:r w:rsidRPr="00226DA9">
                              <w:rPr>
                                <w:rFonts w:ascii="Arial Narrow" w:hAnsi="Arial Narrow" w:cs="Arial"/>
                                <w:sz w:val="16"/>
                                <w:szCs w:val="16"/>
                              </w:rPr>
                              <w:t>Chen, R. (2025) ‘Adverse childhood experiences, their co</w:t>
                            </w:r>
                            <w:r w:rsidRPr="00226DA9">
                              <w:rPr>
                                <w:rFonts w:ascii="Cambria Math" w:hAnsi="Cambria Math" w:cs="Cambria Math"/>
                                <w:sz w:val="16"/>
                                <w:szCs w:val="16"/>
                              </w:rPr>
                              <w:t>‑</w:t>
                            </w:r>
                            <w:r w:rsidRPr="00226DA9">
                              <w:rPr>
                                <w:rFonts w:ascii="Arial Narrow" w:hAnsi="Arial Narrow" w:cs="Arial"/>
                                <w:sz w:val="16"/>
                                <w:szCs w:val="16"/>
                              </w:rPr>
                              <w:t xml:space="preserve">occurrence profiles, and mental disorders in adults in China’, The Lancet Regional Health – Western Pacific, 55. Available at: </w:t>
                            </w:r>
                            <w:hyperlink r:id="rId12" w:history="1">
                              <w:r w:rsidR="00286840" w:rsidRPr="00226DA9">
                                <w:rPr>
                                  <w:rStyle w:val="Hyperlink"/>
                                  <w:rFonts w:ascii="Arial Narrow" w:hAnsi="Arial Narrow" w:cs="Arial"/>
                                  <w:sz w:val="16"/>
                                  <w:szCs w:val="16"/>
                                </w:rPr>
                                <w:t>https://www.sciencedirect.com/</w:t>
                              </w:r>
                            </w:hyperlink>
                          </w:p>
                          <w:p w14:paraId="2C3C0FD9" w14:textId="2E01D63A" w:rsidR="00330F6C" w:rsidRPr="00226DA9" w:rsidRDefault="00A23A9B" w:rsidP="00A661EA">
                            <w:pPr>
                              <w:spacing w:line="240" w:lineRule="auto"/>
                              <w:rPr>
                                <w:rFonts w:ascii="Arial Narrow" w:hAnsi="Arial Narrow" w:cs="Arial"/>
                                <w:sz w:val="16"/>
                                <w:szCs w:val="16"/>
                              </w:rPr>
                            </w:pPr>
                            <w:r w:rsidRPr="00226DA9">
                              <w:rPr>
                                <w:rFonts w:ascii="Arial Narrow" w:hAnsi="Arial Narrow" w:cs="Arial"/>
                                <w:sz w:val="16"/>
                                <w:szCs w:val="16"/>
                              </w:rPr>
                              <w:t xml:space="preserve">Martinelli, A., </w:t>
                            </w:r>
                            <w:proofErr w:type="spellStart"/>
                            <w:r w:rsidRPr="00226DA9">
                              <w:rPr>
                                <w:rFonts w:ascii="Arial Narrow" w:hAnsi="Arial Narrow" w:cs="Arial"/>
                                <w:sz w:val="16"/>
                                <w:szCs w:val="16"/>
                              </w:rPr>
                              <w:t>Pozzan</w:t>
                            </w:r>
                            <w:proofErr w:type="spellEnd"/>
                            <w:r w:rsidRPr="00226DA9">
                              <w:rPr>
                                <w:rFonts w:ascii="Arial Narrow" w:hAnsi="Arial Narrow" w:cs="Arial"/>
                                <w:sz w:val="16"/>
                                <w:szCs w:val="16"/>
                              </w:rPr>
                              <w:t xml:space="preserve">, T., Procura, E., </w:t>
                            </w:r>
                            <w:proofErr w:type="spellStart"/>
                            <w:r w:rsidRPr="00226DA9">
                              <w:rPr>
                                <w:rFonts w:ascii="Arial Narrow" w:hAnsi="Arial Narrow" w:cs="Arial"/>
                                <w:sz w:val="16"/>
                                <w:szCs w:val="16"/>
                              </w:rPr>
                              <w:t>D’Astore</w:t>
                            </w:r>
                            <w:proofErr w:type="spellEnd"/>
                            <w:r w:rsidRPr="00226DA9">
                              <w:rPr>
                                <w:rFonts w:ascii="Arial Narrow" w:hAnsi="Arial Narrow" w:cs="Arial"/>
                                <w:sz w:val="16"/>
                                <w:szCs w:val="16"/>
                              </w:rPr>
                              <w:t xml:space="preserve">, C., </w:t>
                            </w:r>
                            <w:proofErr w:type="spellStart"/>
                            <w:r w:rsidRPr="00226DA9">
                              <w:rPr>
                                <w:rFonts w:ascii="Arial Narrow" w:hAnsi="Arial Narrow" w:cs="Arial"/>
                                <w:sz w:val="16"/>
                                <w:szCs w:val="16"/>
                              </w:rPr>
                              <w:t>Cristofalo</w:t>
                            </w:r>
                            <w:proofErr w:type="spellEnd"/>
                            <w:r w:rsidRPr="00226DA9">
                              <w:rPr>
                                <w:rFonts w:ascii="Arial Narrow" w:hAnsi="Arial Narrow" w:cs="Arial"/>
                                <w:sz w:val="16"/>
                                <w:szCs w:val="16"/>
                              </w:rPr>
                              <w:t>, D., Bonetto, C. &amp; Ruggeri, M. (2025) ‘Feasibility, acceptability, and impact of recovery</w:t>
                            </w:r>
                            <w:r w:rsidRPr="00226DA9">
                              <w:rPr>
                                <w:rFonts w:ascii="Cambria Math" w:hAnsi="Cambria Math" w:cs="Cambria Math"/>
                                <w:sz w:val="16"/>
                                <w:szCs w:val="16"/>
                              </w:rPr>
                              <w:t>‑</w:t>
                            </w:r>
                            <w:r w:rsidRPr="00226DA9">
                              <w:rPr>
                                <w:rFonts w:ascii="Arial Narrow" w:hAnsi="Arial Narrow" w:cs="Arial"/>
                                <w:sz w:val="16"/>
                                <w:szCs w:val="16"/>
                              </w:rPr>
                              <w:t xml:space="preserve">oriented practices in an Italian community mental health service: a pilot study’, Journal of Clinical Medicine, 14(7), 2280. Available at: </w:t>
                            </w:r>
                            <w:hyperlink r:id="rId13" w:history="1">
                              <w:r w:rsidR="00330F6C" w:rsidRPr="00226DA9">
                                <w:rPr>
                                  <w:rStyle w:val="Hyperlink"/>
                                  <w:rFonts w:ascii="Arial Narrow" w:hAnsi="Arial Narrow" w:cs="Arial"/>
                                  <w:sz w:val="16"/>
                                  <w:szCs w:val="16"/>
                                </w:rPr>
                                <w:t>https://www.mdpi.com/search?q=Feasibility,+acceptability,+and+impact+of+recovery</w:t>
                              </w:r>
                            </w:hyperlink>
                          </w:p>
                          <w:p w14:paraId="4429714F" w14:textId="5DEE80A3" w:rsidR="00421F85" w:rsidRPr="00226DA9" w:rsidRDefault="00421F85" w:rsidP="00A661EA">
                            <w:pPr>
                              <w:spacing w:line="240" w:lineRule="auto"/>
                              <w:rPr>
                                <w:rFonts w:ascii="Arial Narrow" w:hAnsi="Arial Narrow" w:cs="Arial"/>
                                <w:sz w:val="16"/>
                                <w:szCs w:val="16"/>
                              </w:rPr>
                            </w:pPr>
                            <w:r w:rsidRPr="00226DA9">
                              <w:rPr>
                                <w:rFonts w:ascii="Arial Narrow" w:hAnsi="Arial Narrow" w:cs="Arial"/>
                                <w:sz w:val="16"/>
                                <w:szCs w:val="16"/>
                              </w:rPr>
                              <w:t>McSherry, P., Manti, A. M., Crellin, A., Lane, C., &amp; Foulds, G. (2025). Integrated Primary Care Mental Health Service: A Qualitative Exploration of an Integrated Approach to Supporting People with Significant Mental Health Problems in Primary Care. Community Mental Health Journal, 61(4), 716-723</w:t>
                            </w:r>
                          </w:p>
                          <w:p w14:paraId="5F76584B" w14:textId="04ECB154" w:rsidR="00330F6C" w:rsidRPr="00226DA9" w:rsidRDefault="00A23A9B" w:rsidP="00A661EA">
                            <w:pPr>
                              <w:spacing w:line="240" w:lineRule="auto"/>
                              <w:rPr>
                                <w:sz w:val="16"/>
                                <w:szCs w:val="16"/>
                              </w:rPr>
                            </w:pPr>
                            <w:r w:rsidRPr="00226DA9">
                              <w:rPr>
                                <w:rFonts w:ascii="Arial Narrow" w:hAnsi="Arial Narrow" w:cs="Arial"/>
                                <w:sz w:val="16"/>
                                <w:szCs w:val="16"/>
                              </w:rPr>
                              <w:t xml:space="preserve">Pang, J., Li, M., Liu, Z., Huang, Y., Hou, X., Yan, G. et al. (2025) ‘The prevalence and the correlates of mental disorders among the elderly population: results from the China Mental Health Survey’, BMC Public Health, 25(1), 2789. Available at: </w:t>
                            </w:r>
                            <w:hyperlink r:id="rId14" w:history="1">
                              <w:r w:rsidR="00330F6C" w:rsidRPr="00226DA9">
                                <w:rPr>
                                  <w:rStyle w:val="Hyperlink"/>
                                  <w:rFonts w:ascii="Arial Narrow" w:hAnsi="Arial Narrow" w:cs="Arial"/>
                                  <w:sz w:val="16"/>
                                  <w:szCs w:val="16"/>
                                </w:rPr>
                                <w:t>https://link.springer.com/journal/12889</w:t>
                              </w:r>
                            </w:hyperlink>
                          </w:p>
                          <w:p w14:paraId="6E9E1C96" w14:textId="7F726914" w:rsidR="00226DA9" w:rsidRPr="00226DA9" w:rsidRDefault="00226DA9" w:rsidP="00A661EA">
                            <w:pPr>
                              <w:spacing w:line="240" w:lineRule="auto"/>
                              <w:rPr>
                                <w:rFonts w:ascii="Arial Narrow" w:hAnsi="Arial Narrow" w:cs="Arial"/>
                                <w:sz w:val="16"/>
                                <w:szCs w:val="16"/>
                              </w:rPr>
                            </w:pPr>
                            <w:proofErr w:type="spellStart"/>
                            <w:r w:rsidRPr="00226DA9">
                              <w:rPr>
                                <w:rFonts w:ascii="Arial Narrow" w:hAnsi="Arial Narrow" w:cs="Arial"/>
                                <w:sz w:val="16"/>
                                <w:szCs w:val="16"/>
                              </w:rPr>
                              <w:t>Qutishat</w:t>
                            </w:r>
                            <w:proofErr w:type="spellEnd"/>
                            <w:r w:rsidRPr="00226DA9">
                              <w:rPr>
                                <w:rFonts w:ascii="Arial Narrow" w:hAnsi="Arial Narrow" w:cs="Arial"/>
                                <w:sz w:val="16"/>
                                <w:szCs w:val="16"/>
                              </w:rPr>
                              <w:t xml:space="preserve">, M., Al Ali, N. M., </w:t>
                            </w:r>
                            <w:proofErr w:type="spellStart"/>
                            <w:r w:rsidRPr="00226DA9">
                              <w:rPr>
                                <w:rFonts w:ascii="Arial Narrow" w:hAnsi="Arial Narrow" w:cs="Arial"/>
                                <w:sz w:val="16"/>
                                <w:szCs w:val="16"/>
                              </w:rPr>
                              <w:t>Albalushi</w:t>
                            </w:r>
                            <w:proofErr w:type="spellEnd"/>
                            <w:r w:rsidRPr="00226DA9">
                              <w:rPr>
                                <w:rFonts w:ascii="Arial Narrow" w:hAnsi="Arial Narrow" w:cs="Arial"/>
                                <w:sz w:val="16"/>
                                <w:szCs w:val="16"/>
                              </w:rPr>
                              <w:t>, M., &amp; Al-</w:t>
                            </w:r>
                            <w:proofErr w:type="spellStart"/>
                            <w:r w:rsidRPr="00226DA9">
                              <w:rPr>
                                <w:rFonts w:ascii="Arial Narrow" w:hAnsi="Arial Narrow" w:cs="Arial"/>
                                <w:sz w:val="16"/>
                                <w:szCs w:val="16"/>
                              </w:rPr>
                              <w:t>Huseini</w:t>
                            </w:r>
                            <w:proofErr w:type="spellEnd"/>
                            <w:r w:rsidRPr="00226DA9">
                              <w:rPr>
                                <w:rFonts w:ascii="Arial Narrow" w:hAnsi="Arial Narrow" w:cs="Arial"/>
                                <w:sz w:val="16"/>
                                <w:szCs w:val="16"/>
                              </w:rPr>
                              <w:t>, S. (2025). Addressing the challenges of integrating community mental health services in Arab countries: A scoping review. International Journal of Social Psychiatry, 00207640251360283.</w:t>
                            </w:r>
                          </w:p>
                          <w:p w14:paraId="7A48861E" w14:textId="71E509F3" w:rsidR="00A23A9B" w:rsidRPr="00226DA9" w:rsidRDefault="00A23A9B" w:rsidP="00A661EA">
                            <w:pPr>
                              <w:spacing w:line="240" w:lineRule="auto"/>
                              <w:rPr>
                                <w:rFonts w:ascii="Arial Narrow" w:hAnsi="Arial Narrow" w:cs="Arial"/>
                                <w:sz w:val="16"/>
                                <w:szCs w:val="16"/>
                              </w:rPr>
                            </w:pPr>
                            <w:r w:rsidRPr="00226DA9">
                              <w:rPr>
                                <w:rFonts w:ascii="Arial Narrow" w:hAnsi="Arial Narrow" w:cs="Arial"/>
                                <w:sz w:val="16"/>
                                <w:szCs w:val="16"/>
                              </w:rPr>
                              <w:t xml:space="preserve">Rahman, L. (2025) ‘Challenges and disparities in providing mental health services through school counselling programs in the United States, and policy interventions at the state level to improve access and effectiveness: An overview’, Open Journal of Social Sciences, 13(3), pp. 650–662. Available at: </w:t>
                            </w:r>
                            <w:hyperlink r:id="rId15" w:history="1">
                              <w:r w:rsidR="00330F6C" w:rsidRPr="00226DA9">
                                <w:rPr>
                                  <w:rStyle w:val="Hyperlink"/>
                                  <w:rFonts w:ascii="Arial Narrow" w:hAnsi="Arial Narrow" w:cs="Arial"/>
                                  <w:sz w:val="16"/>
                                  <w:szCs w:val="16"/>
                                </w:rPr>
                                <w:t>https://www.scirp.org/</w:t>
                              </w:r>
                            </w:hyperlink>
                          </w:p>
                          <w:p w14:paraId="5B607998" w14:textId="77777777" w:rsidR="00330F6C" w:rsidRPr="00A23A9B" w:rsidRDefault="00330F6C" w:rsidP="00A23A9B">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730.05pt;margin-top:389.6pt;width:458.6pt;height:293.1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" strokeweight="3.5pt">
                <v:textbox>
                  <w:txbxContent>
                    <w:p w14:paraId="69461F56" w14:textId="11C5E253" w:rsidR="00BE6BE0" w:rsidRDefault="00A23A9B" w:rsidP="00BE6BE0">
                      <w:r w:rsidRPr="00A23A9B">
                        <w:rPr>
                          <w:b/>
                          <w:bCs/>
                          <w:color w:val="385623" w:themeColor="accent6" w:themeShade="80"/>
                        </w:rPr>
                        <w:t xml:space="preserve">Conclusion </w:t>
                      </w:r>
                    </w:p>
                    <w:p w14:paraId="57274CE0" w14:textId="4AC025CE" w:rsidR="00A23A9B" w:rsidRPr="00AD5293" w:rsidRDefault="00A23A9B" w:rsidP="00A661EA">
                      <w:pPr>
                        <w:spacing w:line="240" w:lineRule="auto"/>
                        <w:rPr>
                          <w:rFonts w:ascii="Arial Narrow" w:hAnsi="Arial Narrow" w:cs="Arial"/>
                          <w:sz w:val="20"/>
                          <w:szCs w:val="20"/>
                        </w:rPr>
                      </w:pPr>
                      <w:r w:rsidRPr="00AD5293">
                        <w:rPr>
                          <w:rFonts w:ascii="Arial Narrow" w:hAnsi="Arial Narrow" w:cs="Arial"/>
                          <w:sz w:val="20"/>
                          <w:szCs w:val="20"/>
                        </w:rPr>
                        <w:t>Community Mental Health Services remain essential in supporting recovery and independence in the UK. While community care has strengthened access and empowerment (Pang et al., 2025), challenges such as limited support, workforce shortages, stigma, and regional inequalities persist. Addressing these issues is vital to ensure fair, high</w:t>
                      </w:r>
                      <w:r w:rsidRPr="00AD5293">
                        <w:rPr>
                          <w:rFonts w:ascii="Cambria Math" w:hAnsi="Cambria Math" w:cs="Cambria Math"/>
                          <w:sz w:val="20"/>
                          <w:szCs w:val="20"/>
                        </w:rPr>
                        <w:t>‑</w:t>
                      </w:r>
                      <w:r w:rsidRPr="00AD5293">
                        <w:rPr>
                          <w:rFonts w:ascii="Arial Narrow" w:hAnsi="Arial Narrow" w:cs="Arial"/>
                          <w:sz w:val="20"/>
                          <w:szCs w:val="20"/>
                        </w:rPr>
                        <w:t>quality mental health care for all.</w:t>
                      </w:r>
                    </w:p>
                    <w:p w14:paraId="2BF55854" w14:textId="77777777" w:rsidR="00A23A9B" w:rsidRPr="00AD5293" w:rsidRDefault="00A23A9B" w:rsidP="00A661EA">
                      <w:pPr>
                        <w:spacing w:line="240" w:lineRule="auto"/>
                        <w:rPr>
                          <w:rFonts w:ascii="Arial Narrow" w:hAnsi="Arial Narrow" w:cs="Arial"/>
                          <w:sz w:val="20"/>
                          <w:szCs w:val="20"/>
                        </w:rPr>
                      </w:pPr>
                      <w:r w:rsidRPr="00AD5293">
                        <w:rPr>
                          <w:rFonts w:ascii="Arial Narrow" w:hAnsi="Arial Narrow" w:cs="Arial"/>
                          <w:sz w:val="20"/>
                          <w:szCs w:val="20"/>
                        </w:rPr>
                        <w:t xml:space="preserve">Reference </w:t>
                      </w:r>
                    </w:p>
                    <w:p w14:paraId="6E4A5A40" w14:textId="77777777" w:rsidR="00286840" w:rsidRPr="00226DA9" w:rsidRDefault="00A23A9B" w:rsidP="00A661EA">
                      <w:pPr>
                        <w:spacing w:line="240" w:lineRule="auto"/>
                        <w:rPr>
                          <w:rFonts w:ascii="Arial Narrow" w:hAnsi="Arial Narrow" w:cs="Arial"/>
                          <w:sz w:val="16"/>
                          <w:szCs w:val="16"/>
                        </w:rPr>
                      </w:pPr>
                      <w:r w:rsidRPr="00226DA9">
                        <w:rPr>
                          <w:rFonts w:ascii="Arial Narrow" w:hAnsi="Arial Narrow" w:cs="Arial"/>
                          <w:sz w:val="16"/>
                          <w:szCs w:val="16"/>
                        </w:rPr>
                        <w:t>Al</w:t>
                      </w:r>
                      <w:r w:rsidRPr="00226DA9">
                        <w:rPr>
                          <w:rFonts w:ascii="Cambria Math" w:hAnsi="Cambria Math" w:cs="Cambria Math"/>
                          <w:sz w:val="16"/>
                          <w:szCs w:val="16"/>
                        </w:rPr>
                        <w:t>‑</w:t>
                      </w:r>
                      <w:proofErr w:type="spellStart"/>
                      <w:r w:rsidRPr="00226DA9">
                        <w:rPr>
                          <w:rFonts w:ascii="Arial Narrow" w:hAnsi="Arial Narrow" w:cs="Arial"/>
                          <w:sz w:val="16"/>
                          <w:szCs w:val="16"/>
                        </w:rPr>
                        <w:t>Huseini</w:t>
                      </w:r>
                      <w:proofErr w:type="spellEnd"/>
                      <w:r w:rsidRPr="00226DA9">
                        <w:rPr>
                          <w:rFonts w:ascii="Arial Narrow" w:hAnsi="Arial Narrow" w:cs="Arial"/>
                          <w:sz w:val="16"/>
                          <w:szCs w:val="16"/>
                        </w:rPr>
                        <w:t xml:space="preserve">, S. &amp; Al </w:t>
                      </w:r>
                      <w:proofErr w:type="spellStart"/>
                      <w:r w:rsidRPr="00226DA9">
                        <w:rPr>
                          <w:rFonts w:ascii="Arial Narrow" w:hAnsi="Arial Narrow" w:cs="Arial"/>
                          <w:sz w:val="16"/>
                          <w:szCs w:val="16"/>
                        </w:rPr>
                        <w:t>Maqbali</w:t>
                      </w:r>
                      <w:proofErr w:type="spellEnd"/>
                      <w:r w:rsidRPr="00226DA9">
                        <w:rPr>
                          <w:rFonts w:ascii="Arial Narrow" w:hAnsi="Arial Narrow" w:cs="Arial"/>
                          <w:sz w:val="16"/>
                          <w:szCs w:val="16"/>
                        </w:rPr>
                        <w:t xml:space="preserve">, M. (2025) ‘Mental health care in Oman: Current landscape, challenges, and future directions’, in Mental Health Care in the Middle East. Singapore: Springer Nature Singapore, pp. 175–208. Available at: </w:t>
                      </w:r>
                      <w:hyperlink r:id="rId16" w:history="1">
                        <w:r w:rsidR="00330F6C" w:rsidRPr="00226DA9">
                          <w:rPr>
                            <w:rStyle w:val="Hyperlink"/>
                            <w:rFonts w:ascii="Arial Narrow" w:hAnsi="Arial Narrow" w:cs="Arial"/>
                            <w:sz w:val="16"/>
                            <w:szCs w:val="16"/>
                          </w:rPr>
                          <w:t>https://link.springer.com/search?query=mental+health</w:t>
                        </w:r>
                      </w:hyperlink>
                    </w:p>
                    <w:p w14:paraId="78B22754" w14:textId="567DDF23" w:rsidR="00286840" w:rsidRPr="00226DA9" w:rsidRDefault="00A23A9B" w:rsidP="00A661EA">
                      <w:pPr>
                        <w:spacing w:line="240" w:lineRule="auto"/>
                        <w:rPr>
                          <w:rFonts w:ascii="Arial Narrow" w:hAnsi="Arial Narrow" w:cs="Arial"/>
                          <w:sz w:val="16"/>
                          <w:szCs w:val="16"/>
                        </w:rPr>
                      </w:pPr>
                      <w:r w:rsidRPr="00226DA9">
                        <w:rPr>
                          <w:rFonts w:ascii="Arial Narrow" w:hAnsi="Arial Narrow" w:cs="Arial"/>
                          <w:sz w:val="16"/>
                          <w:szCs w:val="16"/>
                        </w:rPr>
                        <w:t>Chen, R. (2025) ‘Adverse childhood experiences, their co</w:t>
                      </w:r>
                      <w:r w:rsidRPr="00226DA9">
                        <w:rPr>
                          <w:rFonts w:ascii="Cambria Math" w:hAnsi="Cambria Math" w:cs="Cambria Math"/>
                          <w:sz w:val="16"/>
                          <w:szCs w:val="16"/>
                        </w:rPr>
                        <w:t>‑</w:t>
                      </w:r>
                      <w:r w:rsidRPr="00226DA9">
                        <w:rPr>
                          <w:rFonts w:ascii="Arial Narrow" w:hAnsi="Arial Narrow" w:cs="Arial"/>
                          <w:sz w:val="16"/>
                          <w:szCs w:val="16"/>
                        </w:rPr>
                        <w:t xml:space="preserve">occurrence profiles, and mental disorders in adults in China’, The Lancet Regional Health – Western Pacific, 55. Available at: </w:t>
                      </w:r>
                      <w:hyperlink r:id="rId17" w:history="1">
                        <w:r w:rsidR="00286840" w:rsidRPr="00226DA9">
                          <w:rPr>
                            <w:rStyle w:val="Hyperlink"/>
                            <w:rFonts w:ascii="Arial Narrow" w:hAnsi="Arial Narrow" w:cs="Arial"/>
                            <w:sz w:val="16"/>
                            <w:szCs w:val="16"/>
                          </w:rPr>
                          <w:t>https://www.sciencedirect.com/</w:t>
                        </w:r>
                      </w:hyperlink>
                    </w:p>
                    <w:p w14:paraId="2C3C0FD9" w14:textId="2E01D63A" w:rsidR="00330F6C" w:rsidRPr="00226DA9" w:rsidRDefault="00A23A9B" w:rsidP="00A661EA">
                      <w:pPr>
                        <w:spacing w:line="240" w:lineRule="auto"/>
                        <w:rPr>
                          <w:rFonts w:ascii="Arial Narrow" w:hAnsi="Arial Narrow" w:cs="Arial"/>
                          <w:sz w:val="16"/>
                          <w:szCs w:val="16"/>
                        </w:rPr>
                      </w:pPr>
                      <w:r w:rsidRPr="00226DA9">
                        <w:rPr>
                          <w:rFonts w:ascii="Arial Narrow" w:hAnsi="Arial Narrow" w:cs="Arial"/>
                          <w:sz w:val="16"/>
                          <w:szCs w:val="16"/>
                        </w:rPr>
                        <w:t xml:space="preserve">Martinelli, A., </w:t>
                      </w:r>
                      <w:proofErr w:type="spellStart"/>
                      <w:r w:rsidRPr="00226DA9">
                        <w:rPr>
                          <w:rFonts w:ascii="Arial Narrow" w:hAnsi="Arial Narrow" w:cs="Arial"/>
                          <w:sz w:val="16"/>
                          <w:szCs w:val="16"/>
                        </w:rPr>
                        <w:t>Pozzan</w:t>
                      </w:r>
                      <w:proofErr w:type="spellEnd"/>
                      <w:r w:rsidRPr="00226DA9">
                        <w:rPr>
                          <w:rFonts w:ascii="Arial Narrow" w:hAnsi="Arial Narrow" w:cs="Arial"/>
                          <w:sz w:val="16"/>
                          <w:szCs w:val="16"/>
                        </w:rPr>
                        <w:t xml:space="preserve">, T., Procura, E., </w:t>
                      </w:r>
                      <w:proofErr w:type="spellStart"/>
                      <w:r w:rsidRPr="00226DA9">
                        <w:rPr>
                          <w:rFonts w:ascii="Arial Narrow" w:hAnsi="Arial Narrow" w:cs="Arial"/>
                          <w:sz w:val="16"/>
                          <w:szCs w:val="16"/>
                        </w:rPr>
                        <w:t>D’Astore</w:t>
                      </w:r>
                      <w:proofErr w:type="spellEnd"/>
                      <w:r w:rsidRPr="00226DA9">
                        <w:rPr>
                          <w:rFonts w:ascii="Arial Narrow" w:hAnsi="Arial Narrow" w:cs="Arial"/>
                          <w:sz w:val="16"/>
                          <w:szCs w:val="16"/>
                        </w:rPr>
                        <w:t xml:space="preserve">, C., </w:t>
                      </w:r>
                      <w:proofErr w:type="spellStart"/>
                      <w:r w:rsidRPr="00226DA9">
                        <w:rPr>
                          <w:rFonts w:ascii="Arial Narrow" w:hAnsi="Arial Narrow" w:cs="Arial"/>
                          <w:sz w:val="16"/>
                          <w:szCs w:val="16"/>
                        </w:rPr>
                        <w:t>Cristofalo</w:t>
                      </w:r>
                      <w:proofErr w:type="spellEnd"/>
                      <w:r w:rsidRPr="00226DA9">
                        <w:rPr>
                          <w:rFonts w:ascii="Arial Narrow" w:hAnsi="Arial Narrow" w:cs="Arial"/>
                          <w:sz w:val="16"/>
                          <w:szCs w:val="16"/>
                        </w:rPr>
                        <w:t>, D., Bonetto, C. &amp; Ruggeri, M. (2025) ‘Feasibility, acceptability, and impact of recovery</w:t>
                      </w:r>
                      <w:r w:rsidRPr="00226DA9">
                        <w:rPr>
                          <w:rFonts w:ascii="Cambria Math" w:hAnsi="Cambria Math" w:cs="Cambria Math"/>
                          <w:sz w:val="16"/>
                          <w:szCs w:val="16"/>
                        </w:rPr>
                        <w:t>‑</w:t>
                      </w:r>
                      <w:r w:rsidRPr="00226DA9">
                        <w:rPr>
                          <w:rFonts w:ascii="Arial Narrow" w:hAnsi="Arial Narrow" w:cs="Arial"/>
                          <w:sz w:val="16"/>
                          <w:szCs w:val="16"/>
                        </w:rPr>
                        <w:t xml:space="preserve">oriented practices in an Italian community mental health service: a pilot study’, Journal of Clinical Medicine, 14(7), 2280. Available at: </w:t>
                      </w:r>
                      <w:hyperlink r:id="rId18" w:history="1">
                        <w:r w:rsidR="00330F6C" w:rsidRPr="00226DA9">
                          <w:rPr>
                            <w:rStyle w:val="Hyperlink"/>
                            <w:rFonts w:ascii="Arial Narrow" w:hAnsi="Arial Narrow" w:cs="Arial"/>
                            <w:sz w:val="16"/>
                            <w:szCs w:val="16"/>
                          </w:rPr>
                          <w:t>https://www.mdpi.com/search?q=Feasibility,+acceptability,+and+impact+of+recovery</w:t>
                        </w:r>
                      </w:hyperlink>
                    </w:p>
                    <w:p w14:paraId="4429714F" w14:textId="5DEE80A3" w:rsidR="00421F85" w:rsidRPr="00226DA9" w:rsidRDefault="00421F85" w:rsidP="00A661EA">
                      <w:pPr>
                        <w:spacing w:line="240" w:lineRule="auto"/>
                        <w:rPr>
                          <w:rFonts w:ascii="Arial Narrow" w:hAnsi="Arial Narrow" w:cs="Arial"/>
                          <w:sz w:val="16"/>
                          <w:szCs w:val="16"/>
                        </w:rPr>
                      </w:pPr>
                      <w:r w:rsidRPr="00226DA9">
                        <w:rPr>
                          <w:rFonts w:ascii="Arial Narrow" w:hAnsi="Arial Narrow" w:cs="Arial"/>
                          <w:sz w:val="16"/>
                          <w:szCs w:val="16"/>
                        </w:rPr>
                        <w:t>McSherry, P., Manti, A. M., Crellin, A., Lane, C., &amp; Foulds, G. (2025). Integrated Primary Care Mental Health Service: A Qualitative Exploration of an Integrated Approach to Supporting People with Significant Mental Health Problems in Primary Care. Community Mental Health Journal, 61(4), 716-723</w:t>
                      </w:r>
                    </w:p>
                    <w:p w14:paraId="5F76584B" w14:textId="04ECB154" w:rsidR="00330F6C" w:rsidRPr="00226DA9" w:rsidRDefault="00A23A9B" w:rsidP="00A661EA">
                      <w:pPr>
                        <w:spacing w:line="240" w:lineRule="auto"/>
                        <w:rPr>
                          <w:sz w:val="16"/>
                          <w:szCs w:val="16"/>
                        </w:rPr>
                      </w:pPr>
                      <w:r w:rsidRPr="00226DA9">
                        <w:rPr>
                          <w:rFonts w:ascii="Arial Narrow" w:hAnsi="Arial Narrow" w:cs="Arial"/>
                          <w:sz w:val="16"/>
                          <w:szCs w:val="16"/>
                        </w:rPr>
                        <w:t xml:space="preserve">Pang, J., Li, M., Liu, Z., Huang, Y., Hou, X., Yan, G. et al. (2025) ‘The prevalence and the correlates of mental disorders among the elderly population: results from the China Mental Health Survey’, BMC Public Health, 25(1), 2789. Available at: </w:t>
                      </w:r>
                      <w:hyperlink r:id="rId19" w:history="1">
                        <w:r w:rsidR="00330F6C" w:rsidRPr="00226DA9">
                          <w:rPr>
                            <w:rStyle w:val="Hyperlink"/>
                            <w:rFonts w:ascii="Arial Narrow" w:hAnsi="Arial Narrow" w:cs="Arial"/>
                            <w:sz w:val="16"/>
                            <w:szCs w:val="16"/>
                          </w:rPr>
                          <w:t>https://link.springer.com/journal/12889</w:t>
                        </w:r>
                      </w:hyperlink>
                    </w:p>
                    <w:p w14:paraId="6E9E1C96" w14:textId="7F726914" w:rsidR="00226DA9" w:rsidRPr="00226DA9" w:rsidRDefault="00226DA9" w:rsidP="00A661EA">
                      <w:pPr>
                        <w:spacing w:line="240" w:lineRule="auto"/>
                        <w:rPr>
                          <w:rFonts w:ascii="Arial Narrow" w:hAnsi="Arial Narrow" w:cs="Arial"/>
                          <w:sz w:val="16"/>
                          <w:szCs w:val="16"/>
                        </w:rPr>
                      </w:pPr>
                      <w:proofErr w:type="spellStart"/>
                      <w:r w:rsidRPr="00226DA9">
                        <w:rPr>
                          <w:rFonts w:ascii="Arial Narrow" w:hAnsi="Arial Narrow" w:cs="Arial"/>
                          <w:sz w:val="16"/>
                          <w:szCs w:val="16"/>
                        </w:rPr>
                        <w:t>Qutishat</w:t>
                      </w:r>
                      <w:proofErr w:type="spellEnd"/>
                      <w:r w:rsidRPr="00226DA9">
                        <w:rPr>
                          <w:rFonts w:ascii="Arial Narrow" w:hAnsi="Arial Narrow" w:cs="Arial"/>
                          <w:sz w:val="16"/>
                          <w:szCs w:val="16"/>
                        </w:rPr>
                        <w:t xml:space="preserve">, M., Al Ali, N. M., </w:t>
                      </w:r>
                      <w:proofErr w:type="spellStart"/>
                      <w:r w:rsidRPr="00226DA9">
                        <w:rPr>
                          <w:rFonts w:ascii="Arial Narrow" w:hAnsi="Arial Narrow" w:cs="Arial"/>
                          <w:sz w:val="16"/>
                          <w:szCs w:val="16"/>
                        </w:rPr>
                        <w:t>Albalushi</w:t>
                      </w:r>
                      <w:proofErr w:type="spellEnd"/>
                      <w:r w:rsidRPr="00226DA9">
                        <w:rPr>
                          <w:rFonts w:ascii="Arial Narrow" w:hAnsi="Arial Narrow" w:cs="Arial"/>
                          <w:sz w:val="16"/>
                          <w:szCs w:val="16"/>
                        </w:rPr>
                        <w:t>, M., &amp; Al-</w:t>
                      </w:r>
                      <w:proofErr w:type="spellStart"/>
                      <w:r w:rsidRPr="00226DA9">
                        <w:rPr>
                          <w:rFonts w:ascii="Arial Narrow" w:hAnsi="Arial Narrow" w:cs="Arial"/>
                          <w:sz w:val="16"/>
                          <w:szCs w:val="16"/>
                        </w:rPr>
                        <w:t>Huseini</w:t>
                      </w:r>
                      <w:proofErr w:type="spellEnd"/>
                      <w:r w:rsidRPr="00226DA9">
                        <w:rPr>
                          <w:rFonts w:ascii="Arial Narrow" w:hAnsi="Arial Narrow" w:cs="Arial"/>
                          <w:sz w:val="16"/>
                          <w:szCs w:val="16"/>
                        </w:rPr>
                        <w:t>, S. (2025). Addressing the challenges of integrating community mental health services in Arab countries: A scoping review. International Journal of Social Psychiatry, 00207640251360283.</w:t>
                      </w:r>
                    </w:p>
                    <w:p w14:paraId="7A48861E" w14:textId="71E509F3" w:rsidR="00A23A9B" w:rsidRPr="00226DA9" w:rsidRDefault="00A23A9B" w:rsidP="00A661EA">
                      <w:pPr>
                        <w:spacing w:line="240" w:lineRule="auto"/>
                        <w:rPr>
                          <w:rFonts w:ascii="Arial Narrow" w:hAnsi="Arial Narrow" w:cs="Arial"/>
                          <w:sz w:val="16"/>
                          <w:szCs w:val="16"/>
                        </w:rPr>
                      </w:pPr>
                      <w:r w:rsidRPr="00226DA9">
                        <w:rPr>
                          <w:rFonts w:ascii="Arial Narrow" w:hAnsi="Arial Narrow" w:cs="Arial"/>
                          <w:sz w:val="16"/>
                          <w:szCs w:val="16"/>
                        </w:rPr>
                        <w:t xml:space="preserve">Rahman, L. (2025) ‘Challenges and disparities in providing mental health services through school counselling programs in the United States, and policy interventions at the state level to improve access and effectiveness: An overview’, Open Journal of Social Sciences, 13(3), pp. 650–662. Available at: </w:t>
                      </w:r>
                      <w:hyperlink r:id="rId20" w:history="1">
                        <w:r w:rsidR="00330F6C" w:rsidRPr="00226DA9">
                          <w:rPr>
                            <w:rStyle w:val="Hyperlink"/>
                            <w:rFonts w:ascii="Arial Narrow" w:hAnsi="Arial Narrow" w:cs="Arial"/>
                            <w:sz w:val="16"/>
                            <w:szCs w:val="16"/>
                          </w:rPr>
                          <w:t>https://www.scirp.org/</w:t>
                        </w:r>
                      </w:hyperlink>
                    </w:p>
                    <w:p w14:paraId="5B607998" w14:textId="77777777" w:rsidR="00330F6C" w:rsidRPr="00A23A9B" w:rsidRDefault="00330F6C" w:rsidP="00A23A9B">
                      <w:pPr>
                        <w:rPr>
                          <w:rFonts w:ascii="Arial" w:hAnsi="Arial" w:cs="Arial"/>
                          <w:sz w:val="16"/>
                          <w:szCs w:val="16"/>
                        </w:rPr>
                      </w:pPr>
                    </w:p>
                  </w:txbxContent>
                </v:textbox>
                <w10:wrap type="tight" anchorx="page"/>
              </v:shape>
            </w:pict>
          </mc:Fallback>
        </mc:AlternateContent>
      </w:r>
      <w:r>
        <w:rPr>
          <w:noProof/>
        </w:rPr>
        <mc:AlternateContent>
          <mc:Choice Requires="wps">
            <w:drawing>
              <wp:anchor distT="45720" distB="45720" distL="114300" distR="114300" simplePos="0" relativeHeight="251673600" behindDoc="0" locked="0" layoutInCell="1" allowOverlap="1" wp14:anchorId="298766ED" wp14:editId="3903850E">
                <wp:simplePos x="0" y="0"/>
                <wp:positionH relativeFrom="page">
                  <wp:align>right</wp:align>
                </wp:positionH>
                <wp:positionV relativeFrom="paragraph">
                  <wp:posOffset>1176020</wp:posOffset>
                </wp:positionV>
                <wp:extent cx="4838065" cy="3686175"/>
                <wp:effectExtent l="19050" t="19050" r="19685"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8065" cy="3686175"/>
                        </a:xfrm>
                        <a:prstGeom prst="rect">
                          <a:avLst/>
                        </a:prstGeom>
                        <a:solidFill>
                          <a:srgbClr val="FFFFFF"/>
                        </a:solidFill>
                        <a:ln w="44450">
                          <a:solidFill>
                            <a:srgbClr val="000000"/>
                          </a:solidFill>
                          <a:miter lim="800000"/>
                          <a:headEnd/>
                          <a:tailEnd/>
                        </a:ln>
                        <a:effectLst>
                          <a:softEdge rad="25400"/>
                        </a:effectLst>
                      </wps:spPr>
                      <wps:txbx>
                        <w:txbxContent>
                          <w:p w14:paraId="2F2C6041" w14:textId="7BE9D5A9" w:rsidR="00BE6BE0" w:rsidRDefault="00A23A9B" w:rsidP="00BE6BE0">
                            <w:r w:rsidRPr="00A23A9B">
                              <w:rPr>
                                <w:b/>
                                <w:bCs/>
                                <w:color w:val="385623" w:themeColor="accent6" w:themeShade="80"/>
                              </w:rPr>
                              <w:t xml:space="preserve">A brief history of the service </w:t>
                            </w:r>
                          </w:p>
                          <w:p w14:paraId="7F358F05" w14:textId="6D740726" w:rsidR="00A23A9B" w:rsidRPr="00AD5293" w:rsidRDefault="00A23A9B" w:rsidP="00A661EA">
                            <w:pPr>
                              <w:spacing w:line="240" w:lineRule="auto"/>
                              <w:rPr>
                                <w:rFonts w:ascii="Arial Narrow" w:hAnsi="Arial Narrow"/>
                                <w:sz w:val="20"/>
                                <w:szCs w:val="20"/>
                              </w:rPr>
                            </w:pPr>
                            <w:r w:rsidRPr="00AD5293">
                              <w:rPr>
                                <w:rFonts w:ascii="Arial Narrow" w:hAnsi="Arial Narrow" w:cs="Arial"/>
                                <w:sz w:val="20"/>
                                <w:szCs w:val="20"/>
                              </w:rPr>
                              <w:t>Community Mental Health Services (CMHS) in the UK developed during the deinstitutionalisation movement of the 1950s to 1970s, a period marked by a major shift away from long</w:t>
                            </w:r>
                            <w:r w:rsidRPr="00AD5293">
                              <w:rPr>
                                <w:rFonts w:ascii="Cambria Math" w:hAnsi="Cambria Math" w:cs="Cambria Math"/>
                                <w:sz w:val="20"/>
                                <w:szCs w:val="20"/>
                              </w:rPr>
                              <w:t>‑</w:t>
                            </w:r>
                            <w:r w:rsidRPr="00AD5293">
                              <w:rPr>
                                <w:rFonts w:ascii="Arial Narrow" w:hAnsi="Arial Narrow" w:cs="Arial"/>
                                <w:sz w:val="20"/>
                                <w:szCs w:val="20"/>
                              </w:rPr>
                              <w:t>term care in large psychiatric hospitals. For many years, people with mental illness spent long periods in these institutions, which were widely viewed as restrictive,</w:t>
                            </w:r>
                            <w:r w:rsidRPr="00AD5293">
                              <w:rPr>
                                <w:rFonts w:ascii="Arial Narrow" w:hAnsi="Arial Narrow"/>
                                <w:sz w:val="20"/>
                                <w:szCs w:val="20"/>
                              </w:rPr>
                              <w:t xml:space="preserve"> </w:t>
                            </w:r>
                            <w:r w:rsidRPr="00AD5293">
                              <w:rPr>
                                <w:rFonts w:ascii="Arial Narrow" w:hAnsi="Arial Narrow" w:cs="Arial"/>
                                <w:sz w:val="20"/>
                                <w:szCs w:val="20"/>
                              </w:rPr>
                              <w:t>isolating, and disconnected from everyday life. As attitudes evolved, professionals and policymakers increasingly recognised that many individuals could live safely and</w:t>
                            </w:r>
                            <w:r w:rsidRPr="00AD5293">
                              <w:rPr>
                                <w:rFonts w:ascii="Arial Narrow" w:hAnsi="Arial Narrow"/>
                                <w:sz w:val="20"/>
                                <w:szCs w:val="20"/>
                              </w:rPr>
                              <w:t xml:space="preserve"> </w:t>
                            </w:r>
                            <w:r w:rsidRPr="00AD5293">
                              <w:rPr>
                                <w:rFonts w:ascii="Arial Narrow" w:hAnsi="Arial Narrow" w:cs="Arial"/>
                                <w:sz w:val="20"/>
                                <w:szCs w:val="20"/>
                              </w:rPr>
                              <w:t>comfortably in the community when provided with appropriate support (Rahman, 2025). This shift in thinking led to significant legislative reforms that strengthened patient rights and promoted community</w:t>
                            </w:r>
                            <w:r w:rsidRPr="00AD5293">
                              <w:rPr>
                                <w:rFonts w:ascii="Cambria Math" w:hAnsi="Cambria Math" w:cs="Cambria Math"/>
                                <w:sz w:val="20"/>
                                <w:szCs w:val="20"/>
                              </w:rPr>
                              <w:t>‑</w:t>
                            </w:r>
                            <w:r w:rsidRPr="00AD5293">
                              <w:rPr>
                                <w:rFonts w:ascii="Arial Narrow" w:hAnsi="Arial Narrow" w:cs="Arial"/>
                                <w:sz w:val="20"/>
                                <w:szCs w:val="20"/>
                              </w:rPr>
                              <w:t>based care. The Mental Health Act of 1983 expanded legal protections for service users and introduced clearer treatment guidelines, while the NHS and Community Care Act of 1990 further encouraged the move away from institutional care. These reforms aimed to improve dignity, access, and person</w:t>
                            </w:r>
                            <w:r w:rsidRPr="00AD5293">
                              <w:rPr>
                                <w:rFonts w:ascii="Cambria Math" w:hAnsi="Cambria Math" w:cs="Cambria Math"/>
                                <w:sz w:val="20"/>
                                <w:szCs w:val="20"/>
                              </w:rPr>
                              <w:t>‑</w:t>
                            </w:r>
                            <w:r w:rsidRPr="00AD5293">
                              <w:rPr>
                                <w:rFonts w:ascii="Arial Narrow" w:hAnsi="Arial Narrow" w:cs="Arial"/>
                                <w:sz w:val="20"/>
                                <w:szCs w:val="20"/>
                              </w:rPr>
                              <w:t>centred practice across mental health services. Over time, CMHS expanded to include Community Mental Health Teams, crisis resolution teams, and early intervention services, reflecting a broader commitment to holistic and recovery</w:t>
                            </w:r>
                            <w:r w:rsidRPr="00AD5293">
                              <w:rPr>
                                <w:rFonts w:ascii="Cambria Math" w:hAnsi="Cambria Math" w:cs="Cambria Math"/>
                                <w:sz w:val="20"/>
                                <w:szCs w:val="20"/>
                              </w:rPr>
                              <w:t>‑</w:t>
                            </w:r>
                            <w:r w:rsidRPr="00AD5293">
                              <w:rPr>
                                <w:rFonts w:ascii="Arial Narrow" w:hAnsi="Arial Narrow" w:cs="Arial"/>
                                <w:sz w:val="20"/>
                                <w:szCs w:val="20"/>
                              </w:rPr>
                              <w:t>focused care. This transition marked a major transformation in UK mental health provision, replacing institutional dependency with community</w:t>
                            </w:r>
                            <w:r w:rsidRPr="00AD5293">
                              <w:rPr>
                                <w:rFonts w:ascii="Cambria Math" w:hAnsi="Cambria Math" w:cs="Cambria Math"/>
                                <w:sz w:val="20"/>
                                <w:szCs w:val="20"/>
                              </w:rPr>
                              <w:t>‑</w:t>
                            </w:r>
                            <w:r w:rsidRPr="00AD5293">
                              <w:rPr>
                                <w:rFonts w:ascii="Arial Narrow" w:hAnsi="Arial Narrow" w:cs="Arial"/>
                                <w:sz w:val="20"/>
                                <w:szCs w:val="20"/>
                              </w:rPr>
                              <w:t>based support delivered closer to people’s homes and social networks.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329.75pt;margin-top:92.6pt;width:380.95pt;height:290.25pt;z-index:25167360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" strokeweight="3.5pt">
                <v:textbox>
                  <w:txbxContent>
                    <w:p w14:paraId="2F2C6041" w14:textId="7BE9D5A9" w:rsidR="00BE6BE0" w:rsidRDefault="00A23A9B" w:rsidP="00BE6BE0">
                      <w:r w:rsidRPr="00A23A9B">
                        <w:rPr>
                          <w:b/>
                          <w:bCs/>
                          <w:color w:val="385623" w:themeColor="accent6" w:themeShade="80"/>
                        </w:rPr>
                        <w:t xml:space="preserve">A brief history of the service </w:t>
                      </w:r>
                    </w:p>
                    <w:p w14:paraId="7F358F05" w14:textId="6D740726" w:rsidR="00A23A9B" w:rsidRPr="00AD5293" w:rsidRDefault="00A23A9B" w:rsidP="00A661EA">
                      <w:pPr>
                        <w:spacing w:line="240" w:lineRule="auto"/>
                        <w:rPr>
                          <w:rFonts w:ascii="Arial Narrow" w:hAnsi="Arial Narrow"/>
                          <w:sz w:val="20"/>
                          <w:szCs w:val="20"/>
                        </w:rPr>
                      </w:pPr>
                      <w:r w:rsidRPr="00AD5293">
                        <w:rPr>
                          <w:rFonts w:ascii="Arial Narrow" w:hAnsi="Arial Narrow" w:cs="Arial"/>
                          <w:sz w:val="20"/>
                          <w:szCs w:val="20"/>
                        </w:rPr>
                        <w:t>Community Mental Health Services (CMHS) in the UK developed during the deinstitutionalisation movement of the 1950s to 1970s, a period marked by a major shift away from long</w:t>
                      </w:r>
                      <w:r w:rsidRPr="00AD5293">
                        <w:rPr>
                          <w:rFonts w:ascii="Cambria Math" w:hAnsi="Cambria Math" w:cs="Cambria Math"/>
                          <w:sz w:val="20"/>
                          <w:szCs w:val="20"/>
                        </w:rPr>
                        <w:t>‑</w:t>
                      </w:r>
                      <w:r w:rsidRPr="00AD5293">
                        <w:rPr>
                          <w:rFonts w:ascii="Arial Narrow" w:hAnsi="Arial Narrow" w:cs="Arial"/>
                          <w:sz w:val="20"/>
                          <w:szCs w:val="20"/>
                        </w:rPr>
                        <w:t>term care in large psychiatric hospitals. For many years, people with mental illness spent long periods in these institutions, which were widely viewed as restrictive,</w:t>
                      </w:r>
                      <w:r w:rsidRPr="00AD5293">
                        <w:rPr>
                          <w:rFonts w:ascii="Arial Narrow" w:hAnsi="Arial Narrow"/>
                          <w:sz w:val="20"/>
                          <w:szCs w:val="20"/>
                        </w:rPr>
                        <w:t xml:space="preserve"> </w:t>
                      </w:r>
                      <w:r w:rsidRPr="00AD5293">
                        <w:rPr>
                          <w:rFonts w:ascii="Arial Narrow" w:hAnsi="Arial Narrow" w:cs="Arial"/>
                          <w:sz w:val="20"/>
                          <w:szCs w:val="20"/>
                        </w:rPr>
                        <w:t>isolating, and disconnected from everyday life. As attitudes evolved, professionals and policymakers increasingly recognised that many individuals could live safely and</w:t>
                      </w:r>
                      <w:r w:rsidRPr="00AD5293">
                        <w:rPr>
                          <w:rFonts w:ascii="Arial Narrow" w:hAnsi="Arial Narrow"/>
                          <w:sz w:val="20"/>
                          <w:szCs w:val="20"/>
                        </w:rPr>
                        <w:t xml:space="preserve"> </w:t>
                      </w:r>
                      <w:r w:rsidRPr="00AD5293">
                        <w:rPr>
                          <w:rFonts w:ascii="Arial Narrow" w:hAnsi="Arial Narrow" w:cs="Arial"/>
                          <w:sz w:val="20"/>
                          <w:szCs w:val="20"/>
                        </w:rPr>
                        <w:t>comfortably in the community when provided with appropriate support (Rahman, 2025). This shift in thinking led to significant legislative reforms that strengthened patient rights and promoted community</w:t>
                      </w:r>
                      <w:r w:rsidRPr="00AD5293">
                        <w:rPr>
                          <w:rFonts w:ascii="Cambria Math" w:hAnsi="Cambria Math" w:cs="Cambria Math"/>
                          <w:sz w:val="20"/>
                          <w:szCs w:val="20"/>
                        </w:rPr>
                        <w:t>‑</w:t>
                      </w:r>
                      <w:r w:rsidRPr="00AD5293">
                        <w:rPr>
                          <w:rFonts w:ascii="Arial Narrow" w:hAnsi="Arial Narrow" w:cs="Arial"/>
                          <w:sz w:val="20"/>
                          <w:szCs w:val="20"/>
                        </w:rPr>
                        <w:t>based care. The Mental Health Act of 1983 expanded legal protections for service users and introduced clearer treatment guidelines, while the NHS and Community Care Act of 1990 further encouraged the move away from institutional care. These reforms aimed to improve dignity, access, and person</w:t>
                      </w:r>
                      <w:r w:rsidRPr="00AD5293">
                        <w:rPr>
                          <w:rFonts w:ascii="Cambria Math" w:hAnsi="Cambria Math" w:cs="Cambria Math"/>
                          <w:sz w:val="20"/>
                          <w:szCs w:val="20"/>
                        </w:rPr>
                        <w:t>‑</w:t>
                      </w:r>
                      <w:r w:rsidRPr="00AD5293">
                        <w:rPr>
                          <w:rFonts w:ascii="Arial Narrow" w:hAnsi="Arial Narrow" w:cs="Arial"/>
                          <w:sz w:val="20"/>
                          <w:szCs w:val="20"/>
                        </w:rPr>
                        <w:t>centred practice across mental health services. Over time, CMHS expanded to include Community Mental Health Teams, crisis resolution teams, and early intervention services, reflecting a broader commitment to holistic and recovery</w:t>
                      </w:r>
                      <w:r w:rsidRPr="00AD5293">
                        <w:rPr>
                          <w:rFonts w:ascii="Cambria Math" w:hAnsi="Cambria Math" w:cs="Cambria Math"/>
                          <w:sz w:val="20"/>
                          <w:szCs w:val="20"/>
                        </w:rPr>
                        <w:t>‑</w:t>
                      </w:r>
                      <w:r w:rsidRPr="00AD5293">
                        <w:rPr>
                          <w:rFonts w:ascii="Arial Narrow" w:hAnsi="Arial Narrow" w:cs="Arial"/>
                          <w:sz w:val="20"/>
                          <w:szCs w:val="20"/>
                        </w:rPr>
                        <w:t>focused care. This transition marked a major transformation in UK mental health provision, replacing institutional dependency with community</w:t>
                      </w:r>
                      <w:r w:rsidRPr="00AD5293">
                        <w:rPr>
                          <w:rFonts w:ascii="Cambria Math" w:hAnsi="Cambria Math" w:cs="Cambria Math"/>
                          <w:sz w:val="20"/>
                          <w:szCs w:val="20"/>
                        </w:rPr>
                        <w:t>‑</w:t>
                      </w:r>
                      <w:r w:rsidRPr="00AD5293">
                        <w:rPr>
                          <w:rFonts w:ascii="Arial Narrow" w:hAnsi="Arial Narrow" w:cs="Arial"/>
                          <w:sz w:val="20"/>
                          <w:szCs w:val="20"/>
                        </w:rPr>
                        <w:t>based support delivered closer to people’s homes and social networks.</w:t>
                      </w:r>
                    </w:p>
                  </w:txbxContent>
                </v:textbox>
                <w10:wrap type="square" anchorx="page"/>
              </v:shape>
            </w:pict>
          </mc:Fallback>
        </mc:AlternateContent>
      </w:r>
      <w:r w:rsidR="00805FCB">
        <w:rPr>
          <w:noProof/>
        </w:rPr>
        <mc:AlternateContent>
          <mc:Choice Requires="wps">
            <w:drawing>
              <wp:anchor distT="45720" distB="45720" distL="114300" distR="114300" simplePos="0" relativeHeight="251644928" behindDoc="1" locked="0" layoutInCell="1" allowOverlap="1" wp14:anchorId="21A64788" wp14:editId="3984C3FC">
                <wp:simplePos x="0" y="0"/>
                <wp:positionH relativeFrom="margin">
                  <wp:posOffset>4557395</wp:posOffset>
                </wp:positionH>
                <wp:positionV relativeFrom="paragraph">
                  <wp:posOffset>1156970</wp:posOffset>
                </wp:positionV>
                <wp:extent cx="4737100" cy="3738245"/>
                <wp:effectExtent l="19050" t="19050" r="25400" b="14605"/>
                <wp:wrapTight wrapText="bothSides">
                  <wp:wrapPolygon edited="0">
                    <wp:start x="-87" y="-110"/>
                    <wp:lineTo x="-87" y="21574"/>
                    <wp:lineTo x="21629" y="21574"/>
                    <wp:lineTo x="21629" y="-110"/>
                    <wp:lineTo x="-87" y="-11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7100" cy="3738245"/>
                        </a:xfrm>
                        <a:prstGeom prst="rect">
                          <a:avLst/>
                        </a:prstGeom>
                        <a:solidFill>
                          <a:srgbClr val="FFFFFF"/>
                        </a:solidFill>
                        <a:ln w="44450">
                          <a:solidFill>
                            <a:srgbClr val="000000"/>
                          </a:solidFill>
                          <a:miter lim="800000"/>
                          <a:headEnd/>
                          <a:tailEnd/>
                        </a:ln>
                        <a:effectLst>
                          <a:softEdge rad="25400"/>
                        </a:effectLst>
                      </wps:spPr>
                      <wps:txbx>
                        <w:txbxContent>
                          <w:p w14:paraId="2A6CE679" w14:textId="0B027C6C" w:rsidR="00BE6BE0" w:rsidRDefault="00B92C76" w:rsidP="00BE6BE0">
                            <w:r w:rsidRPr="00B92C76">
                              <w:rPr>
                                <w:b/>
                                <w:bCs/>
                                <w:color w:val="385623" w:themeColor="accent6" w:themeShade="80"/>
                              </w:rPr>
                              <w:t>Fig.1 - Wellbeing Awareness Days 2026: Your Complete Workplace Calendar</w:t>
                            </w:r>
                          </w:p>
                          <w:p w14:paraId="3AA0A596" w14:textId="081C81CD" w:rsidR="00B92C76" w:rsidRDefault="00B92C76" w:rsidP="00BE6BE0">
                            <w:r w:rsidRPr="00B92C76">
                              <w:rPr>
                                <w:noProof/>
                              </w:rPr>
                              <w:drawing>
                                <wp:inline distT="0" distB="0" distL="0" distR="0" wp14:anchorId="75F188DE" wp14:editId="387159B0">
                                  <wp:extent cx="4514850" cy="3190875"/>
                                  <wp:effectExtent l="0" t="0" r="0" b="9525"/>
                                  <wp:docPr id="10298970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013" cy="323975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358.85pt;margin-top:91.1pt;width:373pt;height:294.3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" strokeweight="3.5pt">
                <v:textbox>
                  <w:txbxContent>
                    <w:p w14:paraId="2A6CE679" w14:textId="0B027C6C" w:rsidR="00BE6BE0" w:rsidRDefault="00B92C76" w:rsidP="00BE6BE0">
                      <w:r w:rsidRPr="00B92C76">
                        <w:rPr>
                          <w:b/>
                          <w:bCs/>
                          <w:color w:val="385623" w:themeColor="accent6" w:themeShade="80"/>
                        </w:rPr>
                        <w:t>Fig.1 - Wellbeing Awareness Days 2026: Your Complete Workplace Calendar</w:t>
                      </w:r>
                    </w:p>
                    <w:p w14:paraId="3AA0A596" w14:textId="081C81CD" w:rsidR="00B92C76" w:rsidRDefault="00B92C76" w:rsidP="00BE6BE0">
                      <w:r w:rsidRPr="00B92C76">
                        <w:rPr>
                          <w:noProof/>
                        </w:rPr>
                        <w:drawing>
                          <wp:inline distT="0" distB="0" distL="0" distR="0" wp14:anchorId="75F188DE" wp14:editId="387159B0">
                            <wp:extent cx="4514850" cy="3190875"/>
                            <wp:effectExtent l="0" t="0" r="0" b="9525"/>
                            <wp:docPr id="10298970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013" cy="3239756"/>
                                    </a:xfrm>
                                    <a:prstGeom prst="rect">
                                      <a:avLst/>
                                    </a:prstGeom>
                                    <a:noFill/>
                                    <a:ln>
                                      <a:noFill/>
                                    </a:ln>
                                  </pic:spPr>
                                </pic:pic>
                              </a:graphicData>
                            </a:graphic>
                          </wp:inline>
                        </w:drawing>
                      </w:r>
                    </w:p>
                  </w:txbxContent>
                </v:textbox>
                <w10:wrap type="tight" anchorx="margin"/>
              </v:shape>
            </w:pict>
          </mc:Fallback>
        </mc:AlternateContent>
      </w:r>
      <w:r w:rsidR="00805FCB">
        <w:rPr>
          <w:noProof/>
        </w:rPr>
        <mc:AlternateContent>
          <mc:Choice Requires="wps">
            <w:drawing>
              <wp:anchor distT="45720" distB="45720" distL="114300" distR="114300" simplePos="0" relativeHeight="251675648" behindDoc="1" locked="0" layoutInCell="1" allowOverlap="1" wp14:anchorId="1182A892" wp14:editId="0837CBAA">
                <wp:simplePos x="0" y="0"/>
                <wp:positionH relativeFrom="page">
                  <wp:posOffset>4629150</wp:posOffset>
                </wp:positionH>
                <wp:positionV relativeFrom="paragraph">
                  <wp:posOffset>4919345</wp:posOffset>
                </wp:positionV>
                <wp:extent cx="4552950" cy="3766820"/>
                <wp:effectExtent l="19050" t="19050" r="38100" b="43180"/>
                <wp:wrapThrough wrapText="bothSides">
                  <wp:wrapPolygon edited="0">
                    <wp:start x="-90" y="-109"/>
                    <wp:lineTo x="-90" y="21738"/>
                    <wp:lineTo x="21690" y="21738"/>
                    <wp:lineTo x="21690" y="-109"/>
                    <wp:lineTo x="-90" y="-109"/>
                  </wp:wrapPolygon>
                </wp:wrapThrough>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3766820"/>
                        </a:xfrm>
                        <a:prstGeom prst="rect">
                          <a:avLst/>
                        </a:prstGeom>
                        <a:solidFill>
                          <a:srgbClr val="FFFFFF"/>
                        </a:solidFill>
                        <a:ln w="47625">
                          <a:solidFill>
                            <a:srgbClr val="000000"/>
                          </a:solidFill>
                          <a:miter lim="800000"/>
                          <a:headEnd/>
                          <a:tailEnd/>
                        </a:ln>
                        <a:effectLst>
                          <a:softEdge rad="25400"/>
                        </a:effectLst>
                      </wps:spPr>
                      <wps:txbx>
                        <w:txbxContent>
                          <w:p w14:paraId="02EE69C1" w14:textId="2784AF8B" w:rsidR="00BE6BE0" w:rsidRDefault="00A23A9B" w:rsidP="00BE6BE0">
                            <w:r w:rsidRPr="00A23A9B">
                              <w:rPr>
                                <w:b/>
                                <w:bCs/>
                                <w:color w:val="385623" w:themeColor="accent6" w:themeShade="80"/>
                              </w:rPr>
                              <w:t xml:space="preserve">Two challenges faced by the service </w:t>
                            </w:r>
                          </w:p>
                          <w:p w14:paraId="767FBB07" w14:textId="77777777" w:rsidR="00A661EA" w:rsidRDefault="00A23A9B" w:rsidP="00A661EA">
                            <w:pPr>
                              <w:spacing w:line="240" w:lineRule="auto"/>
                              <w:rPr>
                                <w:rFonts w:ascii="Arial Narrow" w:hAnsi="Arial Narrow" w:cs="Arial"/>
                                <w:sz w:val="20"/>
                                <w:szCs w:val="20"/>
                              </w:rPr>
                            </w:pPr>
                            <w:r w:rsidRPr="00AD5293">
                              <w:rPr>
                                <w:rFonts w:ascii="Arial Narrow" w:hAnsi="Arial Narrow" w:cs="Arial"/>
                                <w:sz w:val="20"/>
                                <w:szCs w:val="20"/>
                              </w:rPr>
                              <w:t>Community Mental Health Services (CMHS) in the UK continue to face several significant challenges that affect their ability to deliver timely and effective support. One major issue is the persistent lack of adequate resources and funding. Demand for mental health support has risen rapidly in recent years, yet workforce capacity and financial investment have not increased at the same pace. This imbalance places considerable pressure on staff, often resulting in long waiting times, reduced service availability, and increased workloads for mental health professionals (Martinelli et al., 2025).</w:t>
                            </w:r>
                          </w:p>
                          <w:p w14:paraId="7FECBB8E" w14:textId="7801C216" w:rsidR="00A23A9B" w:rsidRPr="00AD5293" w:rsidRDefault="00A23A9B" w:rsidP="00A661EA">
                            <w:pPr>
                              <w:spacing w:line="240" w:lineRule="auto"/>
                              <w:rPr>
                                <w:rFonts w:ascii="Arial Narrow" w:hAnsi="Arial Narrow" w:cs="Arial"/>
                                <w:sz w:val="20"/>
                                <w:szCs w:val="20"/>
                              </w:rPr>
                            </w:pPr>
                            <w:r w:rsidRPr="00AD5293">
                              <w:rPr>
                                <w:rFonts w:ascii="Arial Narrow" w:hAnsi="Arial Narrow" w:cs="Arial"/>
                                <w:sz w:val="20"/>
                                <w:szCs w:val="20"/>
                              </w:rPr>
                              <w:t xml:space="preserve"> A second major challenge is the ongoing workforce shortage, as services struggle to recruit and retain qualified practitioners. High levels of stress, burnout, and emotional strain contribute to staff leaving the profession, which further intensifies pressure on remaining teams. Additional barriers also affect service users, including mental health stigma, which can discourage individuals from seeking help early. Geographical inequalities remain a concern, particularly in rural areas where specialist services are limited and harder to access (Chen, 2025). Although digital consultations have improved accessibility, they cannot fully replace the value of face</w:t>
                            </w:r>
                            <w:r w:rsidRPr="00AD5293">
                              <w:rPr>
                                <w:rFonts w:ascii="Cambria Math" w:hAnsi="Cambria Math" w:cs="Cambria Math"/>
                                <w:sz w:val="20"/>
                                <w:szCs w:val="20"/>
                              </w:rPr>
                              <w:t>‑</w:t>
                            </w:r>
                            <w:r w:rsidRPr="00AD5293">
                              <w:rPr>
                                <w:rFonts w:ascii="Arial Narrow" w:hAnsi="Arial Narrow" w:cs="Arial"/>
                                <w:sz w:val="20"/>
                                <w:szCs w:val="20"/>
                              </w:rPr>
                              <w:t>to</w:t>
                            </w:r>
                            <w:r w:rsidRPr="00AD5293">
                              <w:rPr>
                                <w:rFonts w:ascii="Cambria Math" w:hAnsi="Cambria Math" w:cs="Cambria Math"/>
                                <w:sz w:val="20"/>
                                <w:szCs w:val="20"/>
                              </w:rPr>
                              <w:t>‑</w:t>
                            </w:r>
                            <w:r w:rsidRPr="00AD5293">
                              <w:rPr>
                                <w:rFonts w:ascii="Arial Narrow" w:hAnsi="Arial Narrow" w:cs="Arial"/>
                                <w:sz w:val="20"/>
                                <w:szCs w:val="20"/>
                              </w:rPr>
                              <w:t>face support. Furthermore, inconsistent coordination between health and social care services can create gaps in care, making it difficult for individuals to receive seamless, continuous support.</w:t>
                            </w:r>
                          </w:p>
                          <w:p w14:paraId="427BB50F" w14:textId="77777777" w:rsidR="00B92C76" w:rsidRDefault="00B92C76" w:rsidP="00BE6BE0"/>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364.5pt;margin-top:387.35pt;width:358.5pt;height:296.6pt;z-index:-2516408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" strokeweight="3.75pt">
                <v:textbox>
                  <w:txbxContent>
                    <w:p w14:paraId="02EE69C1" w14:textId="2784AF8B" w:rsidR="00BE6BE0" w:rsidRDefault="00A23A9B" w:rsidP="00BE6BE0">
                      <w:r w:rsidRPr="00A23A9B">
                        <w:rPr>
                          <w:b/>
                          <w:bCs/>
                          <w:color w:val="385623" w:themeColor="accent6" w:themeShade="80"/>
                        </w:rPr>
                        <w:t xml:space="preserve">Two challenges faced by the service </w:t>
                      </w:r>
                    </w:p>
                    <w:p w14:paraId="767FBB07" w14:textId="77777777" w:rsidR="00A661EA" w:rsidRDefault="00A23A9B" w:rsidP="00A661EA">
                      <w:pPr>
                        <w:spacing w:line="240" w:lineRule="auto"/>
                        <w:rPr>
                          <w:rFonts w:ascii="Arial Narrow" w:hAnsi="Arial Narrow" w:cs="Arial"/>
                          <w:sz w:val="20"/>
                          <w:szCs w:val="20"/>
                        </w:rPr>
                      </w:pPr>
                      <w:r w:rsidRPr="00AD5293">
                        <w:rPr>
                          <w:rFonts w:ascii="Arial Narrow" w:hAnsi="Arial Narrow" w:cs="Arial"/>
                          <w:sz w:val="20"/>
                          <w:szCs w:val="20"/>
                        </w:rPr>
                        <w:t>Community Mental Health Services (CMHS) in the UK continue to face several significant challenges that affect their ability to deliver timely and effective support. One major issue is the persistent lack of adequate resources and funding. Demand for mental health support has risen rapidly in recent years, yet workforce capacity and financial investment have not increased at the same pace. This imbalance places considerable pressure on staff, often resulting in long waiting times, reduced service availability, and increased workloads for mental health professionals (Martinelli et al., 2025).</w:t>
                      </w:r>
                    </w:p>
                    <w:p w14:paraId="7FECBB8E" w14:textId="7801C216" w:rsidR="00A23A9B" w:rsidRPr="00AD5293" w:rsidRDefault="00A23A9B" w:rsidP="00A661EA">
                      <w:pPr>
                        <w:spacing w:line="240" w:lineRule="auto"/>
                        <w:rPr>
                          <w:rFonts w:ascii="Arial Narrow" w:hAnsi="Arial Narrow" w:cs="Arial"/>
                          <w:sz w:val="20"/>
                          <w:szCs w:val="20"/>
                        </w:rPr>
                      </w:pPr>
                      <w:r w:rsidRPr="00AD5293">
                        <w:rPr>
                          <w:rFonts w:ascii="Arial Narrow" w:hAnsi="Arial Narrow" w:cs="Arial"/>
                          <w:sz w:val="20"/>
                          <w:szCs w:val="20"/>
                        </w:rPr>
                        <w:t xml:space="preserve"> A second major challenge is the ongoing workforce shortage, as services struggle to recruit and retain qualified practitioners. High levels of stress, burnout, and emotional strain contribute to staff leaving the profession, which further intensifies pressure on remaining teams. Additional barriers also affect service users, including mental health stigma, which can discourage individuals from seeking help early. Geographical inequalities remain a concern, particularly in rural areas where specialist services are limited and harder to access (Chen, 2025). Although digital consultations have improved accessibility, they cannot fully replace the value of face</w:t>
                      </w:r>
                      <w:r w:rsidRPr="00AD5293">
                        <w:rPr>
                          <w:rFonts w:ascii="Cambria Math" w:hAnsi="Cambria Math" w:cs="Cambria Math"/>
                          <w:sz w:val="20"/>
                          <w:szCs w:val="20"/>
                        </w:rPr>
                        <w:t>‑</w:t>
                      </w:r>
                      <w:r w:rsidRPr="00AD5293">
                        <w:rPr>
                          <w:rFonts w:ascii="Arial Narrow" w:hAnsi="Arial Narrow" w:cs="Arial"/>
                          <w:sz w:val="20"/>
                          <w:szCs w:val="20"/>
                        </w:rPr>
                        <w:t>to</w:t>
                      </w:r>
                      <w:r w:rsidRPr="00AD5293">
                        <w:rPr>
                          <w:rFonts w:ascii="Cambria Math" w:hAnsi="Cambria Math" w:cs="Cambria Math"/>
                          <w:sz w:val="20"/>
                          <w:szCs w:val="20"/>
                        </w:rPr>
                        <w:t>‑</w:t>
                      </w:r>
                      <w:r w:rsidRPr="00AD5293">
                        <w:rPr>
                          <w:rFonts w:ascii="Arial Narrow" w:hAnsi="Arial Narrow" w:cs="Arial"/>
                          <w:sz w:val="20"/>
                          <w:szCs w:val="20"/>
                        </w:rPr>
                        <w:t>face support. Furthermore, inconsistent coordination between health and social care services can create gaps in care, making it difficult for individuals to receive seamless, continuous support.</w:t>
                      </w:r>
                    </w:p>
                    <w:p w14:paraId="427BB50F" w14:textId="77777777" w:rsidR="00B92C76" w:rsidRDefault="00B92C76" w:rsidP="00BE6BE0"/>
                    <w:p w14:paraId="0F5BD23B" w14:textId="77777777" w:rsidR="00BE6BE0" w:rsidRDefault="00BE6BE0" w:rsidP="00BE6BE0"/>
                    <w:p w14:paraId="509CCEFE" w14:textId="77777777" w:rsidR="00BE6BE0" w:rsidRDefault="00BE6BE0" w:rsidP="00BE6BE0"/>
                  </w:txbxContent>
                </v:textbox>
                <w10:wrap type="through" anchorx="page"/>
              </v:shape>
            </w:pict>
          </mc:Fallback>
        </mc:AlternateContent>
      </w:r>
      <w:r w:rsidR="00805FCB">
        <w:rPr>
          <w:noProof/>
        </w:rPr>
        <mc:AlternateContent>
          <mc:Choice Requires="wps">
            <w:drawing>
              <wp:anchor distT="45720" distB="45720" distL="114300" distR="114300" simplePos="0" relativeHeight="251671552" behindDoc="1" locked="0" layoutInCell="1" allowOverlap="1" wp14:anchorId="5D749413" wp14:editId="4149462C">
                <wp:simplePos x="0" y="0"/>
                <wp:positionH relativeFrom="page">
                  <wp:align>left</wp:align>
                </wp:positionH>
                <wp:positionV relativeFrom="paragraph">
                  <wp:posOffset>4895215</wp:posOffset>
                </wp:positionV>
                <wp:extent cx="4562475" cy="3818890"/>
                <wp:effectExtent l="19050" t="19050" r="47625" b="29210"/>
                <wp:wrapTight wrapText="bothSides">
                  <wp:wrapPolygon edited="0">
                    <wp:start x="-90" y="-108"/>
                    <wp:lineTo x="-90" y="21657"/>
                    <wp:lineTo x="21735" y="21657"/>
                    <wp:lineTo x="21735" y="-108"/>
                    <wp:lineTo x="-90" y="-108"/>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2475" cy="3818890"/>
                        </a:xfrm>
                        <a:prstGeom prst="rect">
                          <a:avLst/>
                        </a:prstGeom>
                        <a:solidFill>
                          <a:srgbClr val="FFFFFF"/>
                        </a:solidFill>
                        <a:ln w="47625">
                          <a:solidFill>
                            <a:srgbClr val="000000"/>
                          </a:solidFill>
                          <a:miter lim="800000"/>
                          <a:headEnd/>
                          <a:tailEnd/>
                        </a:ln>
                        <a:effectLst>
                          <a:softEdge rad="25400"/>
                        </a:effectLst>
                      </wps:spPr>
                      <wps:txbx>
                        <w:txbxContent>
                          <w:p w14:paraId="42887553" w14:textId="1A49BB57" w:rsidR="00BE6BE0" w:rsidRDefault="00A23A9B" w:rsidP="00BE6BE0">
                            <w:r w:rsidRPr="00A23A9B">
                              <w:rPr>
                                <w:b/>
                                <w:bCs/>
                                <w:color w:val="385623" w:themeColor="accent6" w:themeShade="80"/>
                              </w:rPr>
                              <w:t xml:space="preserve">Current functioning of the service </w:t>
                            </w:r>
                          </w:p>
                          <w:p w14:paraId="5E088C30" w14:textId="559CE1C4" w:rsidR="00A23A9B" w:rsidRPr="00AD5293" w:rsidRDefault="00A23A9B" w:rsidP="00A661EA">
                            <w:pPr>
                              <w:spacing w:line="240" w:lineRule="auto"/>
                              <w:rPr>
                                <w:rFonts w:ascii="Arial Narrow" w:hAnsi="Arial Narrow"/>
                                <w:sz w:val="20"/>
                                <w:szCs w:val="20"/>
                              </w:rPr>
                            </w:pPr>
                            <w:r w:rsidRPr="00AD5293">
                              <w:rPr>
                                <w:rFonts w:ascii="Arial Narrow" w:hAnsi="Arial Narrow" w:cs="Arial"/>
                                <w:sz w:val="20"/>
                                <w:szCs w:val="20"/>
                              </w:rPr>
                              <w:t>Community Mental Health Services (CMHS) in the UK now operate through multidisciplinary teams that work together to deliver coordinated and person</w:t>
                            </w:r>
                            <w:r w:rsidRPr="00AD5293">
                              <w:rPr>
                                <w:rFonts w:ascii="Cambria Math" w:hAnsi="Cambria Math" w:cs="Cambria Math"/>
                                <w:sz w:val="20"/>
                                <w:szCs w:val="20"/>
                              </w:rPr>
                              <w:t>‑</w:t>
                            </w:r>
                            <w:r w:rsidRPr="00AD5293">
                              <w:rPr>
                                <w:rFonts w:ascii="Arial Narrow" w:hAnsi="Arial Narrow" w:cs="Arial"/>
                                <w:sz w:val="20"/>
                                <w:szCs w:val="20"/>
                              </w:rPr>
                              <w:t>centred support to service users. These teams typically include psychiatrists, mental health nurses, psychologists, social workers, occupational therapists, and support staff, each contributing specialist knowledge to ensure that care is holistic and responsive to individual needs (Al</w:t>
                            </w:r>
                            <w:r w:rsidRPr="00AD5293">
                              <w:rPr>
                                <w:rFonts w:ascii="Cambria Math" w:hAnsi="Cambria Math" w:cs="Cambria Math"/>
                                <w:sz w:val="20"/>
                                <w:szCs w:val="20"/>
                              </w:rPr>
                              <w:t>‑</w:t>
                            </w:r>
                            <w:proofErr w:type="spellStart"/>
                            <w:r w:rsidRPr="00AD5293">
                              <w:rPr>
                                <w:rFonts w:ascii="Arial Narrow" w:hAnsi="Arial Narrow" w:cs="Arial"/>
                                <w:sz w:val="20"/>
                                <w:szCs w:val="20"/>
                              </w:rPr>
                              <w:t>Huseini</w:t>
                            </w:r>
                            <w:proofErr w:type="spellEnd"/>
                            <w:r w:rsidRPr="00AD5293">
                              <w:rPr>
                                <w:rFonts w:ascii="Arial Narrow" w:hAnsi="Arial Narrow" w:cs="Arial"/>
                                <w:sz w:val="20"/>
                                <w:szCs w:val="20"/>
                              </w:rPr>
                              <w:t xml:space="preserve"> &amp; Al </w:t>
                            </w:r>
                            <w:proofErr w:type="spellStart"/>
                            <w:r w:rsidRPr="00AD5293">
                              <w:rPr>
                                <w:rFonts w:ascii="Arial Narrow" w:hAnsi="Arial Narrow" w:cs="Arial"/>
                                <w:sz w:val="20"/>
                                <w:szCs w:val="20"/>
                              </w:rPr>
                              <w:t>Maqbali</w:t>
                            </w:r>
                            <w:proofErr w:type="spellEnd"/>
                            <w:r w:rsidRPr="00AD5293">
                              <w:rPr>
                                <w:rFonts w:ascii="Arial Narrow" w:hAnsi="Arial Narrow" w:cs="Arial"/>
                                <w:sz w:val="20"/>
                                <w:szCs w:val="20"/>
                              </w:rPr>
                              <w:t>, 2025). Their collaborative approach enables the development of personalised care plans that reflect the service user’s goals, circumstances, and level of required intervention. CMHS also provide services through a range of delivery methods to increase accessibility and flexibility. Many individuals attend appointments at local community mental health clinics, while others receive home</w:t>
                            </w:r>
                            <w:r w:rsidRPr="00AD5293">
                              <w:rPr>
                                <w:rFonts w:ascii="Cambria Math" w:hAnsi="Cambria Math" w:cs="Cambria Math"/>
                                <w:sz w:val="20"/>
                                <w:szCs w:val="20"/>
                              </w:rPr>
                              <w:t>‑</w:t>
                            </w:r>
                            <w:r w:rsidRPr="00AD5293">
                              <w:rPr>
                                <w:rFonts w:ascii="Arial Narrow" w:hAnsi="Arial Narrow" w:cs="Arial"/>
                                <w:sz w:val="20"/>
                                <w:szCs w:val="20"/>
                              </w:rPr>
                              <w:t>based support when travelling is difficult or when more intensive care is needed. Since the COVID</w:t>
                            </w:r>
                            <w:r w:rsidRPr="00AD5293">
                              <w:rPr>
                                <w:rFonts w:ascii="Cambria Math" w:hAnsi="Cambria Math" w:cs="Cambria Math"/>
                                <w:sz w:val="20"/>
                                <w:szCs w:val="20"/>
                              </w:rPr>
                              <w:t>‑</w:t>
                            </w:r>
                            <w:r w:rsidRPr="00AD5293">
                              <w:rPr>
                                <w:rFonts w:ascii="Arial Narrow" w:hAnsi="Arial Narrow" w:cs="Arial"/>
                                <w:sz w:val="20"/>
                                <w:szCs w:val="20"/>
                              </w:rPr>
                              <w:t>19 pandemic, online and telephone consultations have become increasingly common, offering additional options for those who prefer remote contact. The service focuses on early intervention, long</w:t>
                            </w:r>
                            <w:r w:rsidRPr="00AD5293">
                              <w:rPr>
                                <w:rFonts w:ascii="Cambria Math" w:hAnsi="Cambria Math" w:cs="Cambria Math"/>
                                <w:sz w:val="20"/>
                                <w:szCs w:val="20"/>
                              </w:rPr>
                              <w:t>‑</w:t>
                            </w:r>
                            <w:r w:rsidRPr="00AD5293">
                              <w:rPr>
                                <w:rFonts w:ascii="Arial Narrow" w:hAnsi="Arial Narrow" w:cs="Arial"/>
                                <w:sz w:val="20"/>
                                <w:szCs w:val="20"/>
                              </w:rPr>
                              <w:t>term condition management, and psychosocial rehabilitation, helping individuals maintain stability and improve their wellbeing. CMHS also supports families and</w:t>
                            </w:r>
                            <w:r w:rsidRPr="00AD5293">
                              <w:rPr>
                                <w:rFonts w:ascii="Arial Narrow" w:hAnsi="Arial Narrow"/>
                                <w:sz w:val="20"/>
                                <w:szCs w:val="20"/>
                              </w:rPr>
                              <w:t xml:space="preserve"> </w:t>
                            </w:r>
                            <w:r w:rsidRPr="00AD5293">
                              <w:rPr>
                                <w:rFonts w:ascii="Arial Narrow" w:hAnsi="Arial Narrow" w:cs="Arial"/>
                                <w:sz w:val="20"/>
                                <w:szCs w:val="20"/>
                              </w:rPr>
                              <w:t>carers and promotes mental health awareness within the community. Overall, the service aims to provide person</w:t>
                            </w:r>
                            <w:r w:rsidRPr="00AD5293">
                              <w:rPr>
                                <w:rFonts w:ascii="Cambria Math" w:hAnsi="Cambria Math" w:cs="Cambria Math"/>
                                <w:sz w:val="20"/>
                                <w:szCs w:val="20"/>
                              </w:rPr>
                              <w:t>‑</w:t>
                            </w:r>
                            <w:r w:rsidRPr="00AD5293">
                              <w:rPr>
                                <w:rFonts w:ascii="Arial Narrow" w:hAnsi="Arial Narrow" w:cs="Arial"/>
                                <w:sz w:val="20"/>
                                <w:szCs w:val="20"/>
                              </w:rPr>
                              <w:t>centred care that fosters recovery, independence, and the ability to live a self</w:t>
                            </w:r>
                            <w:r w:rsidRPr="00AD5293">
                              <w:rPr>
                                <w:rFonts w:ascii="Cambria Math" w:hAnsi="Cambria Math" w:cs="Cambria Math"/>
                                <w:sz w:val="20"/>
                                <w:szCs w:val="20"/>
                              </w:rPr>
                              <w:t>‑</w:t>
                            </w:r>
                            <w:r w:rsidRPr="00AD5293">
                              <w:rPr>
                                <w:rFonts w:ascii="Arial Narrow" w:hAnsi="Arial Narrow" w:cs="Arial"/>
                                <w:sz w:val="20"/>
                                <w:szCs w:val="20"/>
                              </w:rPr>
                              <w:t>sufficient life.</w:t>
                            </w: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0" type="#_x0000_t202" style="position:absolute;margin-left:0;margin-top:385.45pt;width:359.25pt;height:300.7pt;z-index:-25164492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" strokeweight="3.75pt">
                <v:textbox>
                  <w:txbxContent>
                    <w:p w14:paraId="42887553" w14:textId="1A49BB57" w:rsidR="00BE6BE0" w:rsidRDefault="00A23A9B" w:rsidP="00BE6BE0">
                      <w:r w:rsidRPr="00A23A9B">
                        <w:rPr>
                          <w:b/>
                          <w:bCs/>
                          <w:color w:val="385623" w:themeColor="accent6" w:themeShade="80"/>
                        </w:rPr>
                        <w:t xml:space="preserve">Current functioning of the service </w:t>
                      </w:r>
                    </w:p>
                    <w:p w14:paraId="5E088C30" w14:textId="559CE1C4" w:rsidR="00A23A9B" w:rsidRPr="00AD5293" w:rsidRDefault="00A23A9B" w:rsidP="00A661EA">
                      <w:pPr>
                        <w:spacing w:line="240" w:lineRule="auto"/>
                        <w:rPr>
                          <w:rFonts w:ascii="Arial Narrow" w:hAnsi="Arial Narrow"/>
                          <w:sz w:val="20"/>
                          <w:szCs w:val="20"/>
                        </w:rPr>
                      </w:pPr>
                      <w:r w:rsidRPr="00AD5293">
                        <w:rPr>
                          <w:rFonts w:ascii="Arial Narrow" w:hAnsi="Arial Narrow" w:cs="Arial"/>
                          <w:sz w:val="20"/>
                          <w:szCs w:val="20"/>
                        </w:rPr>
                        <w:t>Community Mental Health Services (CMHS) in the UK now operate through multidisciplinary teams that work together to deliver coordinated and person</w:t>
                      </w:r>
                      <w:r w:rsidRPr="00AD5293">
                        <w:rPr>
                          <w:rFonts w:ascii="Cambria Math" w:hAnsi="Cambria Math" w:cs="Cambria Math"/>
                          <w:sz w:val="20"/>
                          <w:szCs w:val="20"/>
                        </w:rPr>
                        <w:t>‑</w:t>
                      </w:r>
                      <w:r w:rsidRPr="00AD5293">
                        <w:rPr>
                          <w:rFonts w:ascii="Arial Narrow" w:hAnsi="Arial Narrow" w:cs="Arial"/>
                          <w:sz w:val="20"/>
                          <w:szCs w:val="20"/>
                        </w:rPr>
                        <w:t>centred support to service users. These teams typically include psychiatrists, mental health nurses, psychologists, social workers, occupational therapists, and support staff, each contributing specialist knowledge to ensure that care is holistic and responsive to individual needs (Al</w:t>
                      </w:r>
                      <w:r w:rsidRPr="00AD5293">
                        <w:rPr>
                          <w:rFonts w:ascii="Cambria Math" w:hAnsi="Cambria Math" w:cs="Cambria Math"/>
                          <w:sz w:val="20"/>
                          <w:szCs w:val="20"/>
                        </w:rPr>
                        <w:t>‑</w:t>
                      </w:r>
                      <w:proofErr w:type="spellStart"/>
                      <w:r w:rsidRPr="00AD5293">
                        <w:rPr>
                          <w:rFonts w:ascii="Arial Narrow" w:hAnsi="Arial Narrow" w:cs="Arial"/>
                          <w:sz w:val="20"/>
                          <w:szCs w:val="20"/>
                        </w:rPr>
                        <w:t>Huseini</w:t>
                      </w:r>
                      <w:proofErr w:type="spellEnd"/>
                      <w:r w:rsidRPr="00AD5293">
                        <w:rPr>
                          <w:rFonts w:ascii="Arial Narrow" w:hAnsi="Arial Narrow" w:cs="Arial"/>
                          <w:sz w:val="20"/>
                          <w:szCs w:val="20"/>
                        </w:rPr>
                        <w:t xml:space="preserve"> &amp; Al </w:t>
                      </w:r>
                      <w:proofErr w:type="spellStart"/>
                      <w:r w:rsidRPr="00AD5293">
                        <w:rPr>
                          <w:rFonts w:ascii="Arial Narrow" w:hAnsi="Arial Narrow" w:cs="Arial"/>
                          <w:sz w:val="20"/>
                          <w:szCs w:val="20"/>
                        </w:rPr>
                        <w:t>Maqbali</w:t>
                      </w:r>
                      <w:proofErr w:type="spellEnd"/>
                      <w:r w:rsidRPr="00AD5293">
                        <w:rPr>
                          <w:rFonts w:ascii="Arial Narrow" w:hAnsi="Arial Narrow" w:cs="Arial"/>
                          <w:sz w:val="20"/>
                          <w:szCs w:val="20"/>
                        </w:rPr>
                        <w:t>, 2025). Their collaborative approach enables the development of personalised care plans that reflect the service user’s goals, circumstances, and level of required intervention. CMHS also provide services through a range of delivery methods to increase accessibility and flexibility. Many individuals attend appointments at local community mental health clinics, while others receive home</w:t>
                      </w:r>
                      <w:r w:rsidRPr="00AD5293">
                        <w:rPr>
                          <w:rFonts w:ascii="Cambria Math" w:hAnsi="Cambria Math" w:cs="Cambria Math"/>
                          <w:sz w:val="20"/>
                          <w:szCs w:val="20"/>
                        </w:rPr>
                        <w:t>‑</w:t>
                      </w:r>
                      <w:r w:rsidRPr="00AD5293">
                        <w:rPr>
                          <w:rFonts w:ascii="Arial Narrow" w:hAnsi="Arial Narrow" w:cs="Arial"/>
                          <w:sz w:val="20"/>
                          <w:szCs w:val="20"/>
                        </w:rPr>
                        <w:t>based support when travelling is difficult or when more intensive care is needed. Since the COVID</w:t>
                      </w:r>
                      <w:r w:rsidRPr="00AD5293">
                        <w:rPr>
                          <w:rFonts w:ascii="Cambria Math" w:hAnsi="Cambria Math" w:cs="Cambria Math"/>
                          <w:sz w:val="20"/>
                          <w:szCs w:val="20"/>
                        </w:rPr>
                        <w:t>‑</w:t>
                      </w:r>
                      <w:r w:rsidRPr="00AD5293">
                        <w:rPr>
                          <w:rFonts w:ascii="Arial Narrow" w:hAnsi="Arial Narrow" w:cs="Arial"/>
                          <w:sz w:val="20"/>
                          <w:szCs w:val="20"/>
                        </w:rPr>
                        <w:t>19 pandemic, online and telephone consultations have become increasingly common, offering additional options for those who prefer remote contact. The service focuses on early intervention, long</w:t>
                      </w:r>
                      <w:r w:rsidRPr="00AD5293">
                        <w:rPr>
                          <w:rFonts w:ascii="Cambria Math" w:hAnsi="Cambria Math" w:cs="Cambria Math"/>
                          <w:sz w:val="20"/>
                          <w:szCs w:val="20"/>
                        </w:rPr>
                        <w:t>‑</w:t>
                      </w:r>
                      <w:r w:rsidRPr="00AD5293">
                        <w:rPr>
                          <w:rFonts w:ascii="Arial Narrow" w:hAnsi="Arial Narrow" w:cs="Arial"/>
                          <w:sz w:val="20"/>
                          <w:szCs w:val="20"/>
                        </w:rPr>
                        <w:t>term condition management, and psychosocial rehabilitation, helping individuals maintain stability and improve their wellbeing. CMHS also supports families and</w:t>
                      </w:r>
                      <w:r w:rsidRPr="00AD5293">
                        <w:rPr>
                          <w:rFonts w:ascii="Arial Narrow" w:hAnsi="Arial Narrow"/>
                          <w:sz w:val="20"/>
                          <w:szCs w:val="20"/>
                        </w:rPr>
                        <w:t xml:space="preserve"> </w:t>
                      </w:r>
                      <w:r w:rsidRPr="00AD5293">
                        <w:rPr>
                          <w:rFonts w:ascii="Arial Narrow" w:hAnsi="Arial Narrow" w:cs="Arial"/>
                          <w:sz w:val="20"/>
                          <w:szCs w:val="20"/>
                        </w:rPr>
                        <w:t>carers and promotes mental health awareness within the community. Overall, the service aims to provide person</w:t>
                      </w:r>
                      <w:r w:rsidRPr="00AD5293">
                        <w:rPr>
                          <w:rFonts w:ascii="Cambria Math" w:hAnsi="Cambria Math" w:cs="Cambria Math"/>
                          <w:sz w:val="20"/>
                          <w:szCs w:val="20"/>
                        </w:rPr>
                        <w:t>‑</w:t>
                      </w:r>
                      <w:r w:rsidRPr="00AD5293">
                        <w:rPr>
                          <w:rFonts w:ascii="Arial Narrow" w:hAnsi="Arial Narrow" w:cs="Arial"/>
                          <w:sz w:val="20"/>
                          <w:szCs w:val="20"/>
                        </w:rPr>
                        <w:t>centred care that fosters recovery, independence, and the ability to live a self</w:t>
                      </w:r>
                      <w:r w:rsidRPr="00AD5293">
                        <w:rPr>
                          <w:rFonts w:ascii="Cambria Math" w:hAnsi="Cambria Math" w:cs="Cambria Math"/>
                          <w:sz w:val="20"/>
                          <w:szCs w:val="20"/>
                        </w:rPr>
                        <w:t>‑</w:t>
                      </w:r>
                      <w:r w:rsidRPr="00AD5293">
                        <w:rPr>
                          <w:rFonts w:ascii="Arial Narrow" w:hAnsi="Arial Narrow" w:cs="Arial"/>
                          <w:sz w:val="20"/>
                          <w:szCs w:val="20"/>
                        </w:rPr>
                        <w:t>sufficient life.</w:t>
                      </w:r>
                    </w:p>
                    <w:p w14:paraId="0809CF7E" w14:textId="5B15A86F" w:rsidR="00BE6BE0" w:rsidRDefault="00BE6BE0" w:rsidP="00BE6BE0"/>
                    <w:p w14:paraId="7B69BC2F" w14:textId="77777777" w:rsidR="00BE6BE0" w:rsidRDefault="00BE6BE0" w:rsidP="00BE6BE0"/>
                  </w:txbxContent>
                </v:textbox>
                <w10:wrap type="tight" anchorx="page"/>
              </v:shape>
            </w:pict>
          </mc:Fallback>
        </mc:AlternateContent>
      </w:r>
      <w:r w:rsidR="00A661EA">
        <w:rPr>
          <w:noProof/>
        </w:rPr>
        <mc:AlternateContent>
          <mc:Choice Requires="wps">
            <w:drawing>
              <wp:anchor distT="45720" distB="45720" distL="114300" distR="114300" simplePos="0" relativeHeight="251663360" behindDoc="1" locked="0" layoutInCell="1" allowOverlap="1" wp14:anchorId="04CAE92E" wp14:editId="41B7E700">
                <wp:simplePos x="0" y="0"/>
                <wp:positionH relativeFrom="page">
                  <wp:align>left</wp:align>
                </wp:positionH>
                <wp:positionV relativeFrom="paragraph">
                  <wp:posOffset>1166495</wp:posOffset>
                </wp:positionV>
                <wp:extent cx="5386070" cy="3733800"/>
                <wp:effectExtent l="19050" t="19050" r="43180" b="38100"/>
                <wp:wrapTight wrapText="bothSides">
                  <wp:wrapPolygon edited="0">
                    <wp:start x="-76" y="-110"/>
                    <wp:lineTo x="-76" y="21710"/>
                    <wp:lineTo x="21697" y="21710"/>
                    <wp:lineTo x="21697" y="-110"/>
                    <wp:lineTo x="-76" y="-11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6388" cy="3733800"/>
                        </a:xfrm>
                        <a:prstGeom prst="rect">
                          <a:avLst/>
                        </a:prstGeom>
                        <a:solidFill>
                          <a:srgbClr val="FFFFFF"/>
                        </a:solidFill>
                        <a:ln w="47625">
                          <a:solidFill>
                            <a:schemeClr val="accent2"/>
                          </a:solidFill>
                          <a:miter lim="800000"/>
                          <a:headEnd/>
                          <a:tailEnd/>
                        </a:ln>
                        <a:effectLst>
                          <a:softEdge rad="25400"/>
                        </a:effectLst>
                      </wps:spPr>
                      <wps:txbx>
                        <w:txbxContent>
                          <w:p w14:paraId="497CE061" w14:textId="77777777" w:rsidR="00B92C76" w:rsidRPr="00B92C76" w:rsidRDefault="00B92C76" w:rsidP="00A661EA">
                            <w:pPr>
                              <w:spacing w:line="240" w:lineRule="auto"/>
                              <w:rPr>
                                <w:b/>
                                <w:bCs/>
                                <w:color w:val="385623" w:themeColor="accent6" w:themeShade="80"/>
                              </w:rPr>
                            </w:pPr>
                            <w:r w:rsidRPr="00B92C76">
                              <w:rPr>
                                <w:b/>
                                <w:bCs/>
                                <w:color w:val="385623" w:themeColor="accent6" w:themeShade="80"/>
                              </w:rPr>
                              <w:t>Introduction</w:t>
                            </w:r>
                          </w:p>
                          <w:p w14:paraId="44A2397F" w14:textId="1EC73367" w:rsidR="00BE6BE0" w:rsidRPr="00AD5293" w:rsidRDefault="00B92C76" w:rsidP="00A661EA">
                            <w:pPr>
                              <w:spacing w:line="240" w:lineRule="auto"/>
                              <w:rPr>
                                <w:rFonts w:ascii="Arial Narrow" w:hAnsi="Arial Narrow"/>
                                <w:sz w:val="20"/>
                                <w:szCs w:val="20"/>
                              </w:rPr>
                            </w:pPr>
                            <w:r w:rsidRPr="00AD5293">
                              <w:rPr>
                                <w:rFonts w:ascii="Arial Narrow" w:hAnsi="Arial Narrow" w:cs="Arial"/>
                                <w:sz w:val="20"/>
                                <w:szCs w:val="20"/>
                              </w:rPr>
                              <w:t>Community Mental Health Services (CMHS) in the UK pro</w:t>
                            </w:r>
                            <w:r w:rsidR="00286840" w:rsidRPr="00AD5293">
                              <w:rPr>
                                <w:rFonts w:ascii="Arial Narrow" w:hAnsi="Arial Narrow" w:cs="Arial"/>
                                <w:sz w:val="20"/>
                                <w:szCs w:val="20"/>
                              </w:rPr>
                              <w:softHyphen/>
                            </w:r>
                            <w:r w:rsidRPr="00AD5293">
                              <w:rPr>
                                <w:rFonts w:ascii="Arial Narrow" w:hAnsi="Arial Narrow" w:cs="Arial"/>
                                <w:sz w:val="20"/>
                                <w:szCs w:val="20"/>
                              </w:rPr>
                              <w:t>vide support to individuals experiencing mental health diffi</w:t>
                            </w:r>
                            <w:r w:rsidR="00286840" w:rsidRPr="00AD5293">
                              <w:rPr>
                                <w:rFonts w:ascii="Arial Narrow" w:hAnsi="Arial Narrow" w:cs="Arial"/>
                                <w:sz w:val="20"/>
                                <w:szCs w:val="20"/>
                              </w:rPr>
                              <w:softHyphen/>
                            </w:r>
                            <w:r w:rsidRPr="00AD5293">
                              <w:rPr>
                                <w:rFonts w:ascii="Arial Narrow" w:hAnsi="Arial Narrow" w:cs="Arial"/>
                                <w:sz w:val="20"/>
                                <w:szCs w:val="20"/>
                              </w:rPr>
                              <w:t>culties within their communities. Evolving from large psy</w:t>
                            </w:r>
                            <w:r w:rsidR="00286840" w:rsidRPr="00AD5293">
                              <w:rPr>
                                <w:rFonts w:ascii="Arial Narrow" w:hAnsi="Arial Narrow" w:cs="Arial"/>
                                <w:sz w:val="20"/>
                                <w:szCs w:val="20"/>
                              </w:rPr>
                              <w:softHyphen/>
                            </w:r>
                            <w:r w:rsidRPr="00AD5293">
                              <w:rPr>
                                <w:rFonts w:ascii="Arial Narrow" w:hAnsi="Arial Narrow" w:cs="Arial"/>
                                <w:sz w:val="20"/>
                                <w:szCs w:val="20"/>
                              </w:rPr>
                              <w:t>chiatric hospitals to community</w:t>
                            </w:r>
                            <w:r w:rsidRPr="00AD5293">
                              <w:rPr>
                                <w:rFonts w:ascii="Cambria Math" w:hAnsi="Cambria Math" w:cs="Cambria Math"/>
                                <w:sz w:val="20"/>
                                <w:szCs w:val="20"/>
                              </w:rPr>
                              <w:t>‑</w:t>
                            </w:r>
                            <w:r w:rsidRPr="00AD5293">
                              <w:rPr>
                                <w:rFonts w:ascii="Arial Narrow" w:hAnsi="Arial Narrow" w:cs="Arial"/>
                                <w:sz w:val="20"/>
                                <w:szCs w:val="20"/>
                              </w:rPr>
                              <w:t>based care (McSherry et al., 2025), CMHS recognises the influence of social and environmental factors. This poster outlines its development, current practice, and ongoing challenges</w:t>
                            </w:r>
                            <w:r w:rsidRPr="00AD5293">
                              <w:rPr>
                                <w:rFonts w:ascii="Arial Narrow" w:hAnsi="Arial Narrow"/>
                                <w:sz w:val="20"/>
                                <w:szCs w:val="20"/>
                              </w:rPr>
                              <w:t>.</w:t>
                            </w:r>
                          </w:p>
                          <w:p w14:paraId="7F5CF300" w14:textId="237193D5" w:rsidR="00B92C76" w:rsidRPr="00AD5293" w:rsidRDefault="00B92C76" w:rsidP="00A661EA">
                            <w:pPr>
                              <w:spacing w:line="240" w:lineRule="auto"/>
                              <w:rPr>
                                <w:rFonts w:ascii="Arial Narrow" w:hAnsi="Arial Narrow"/>
                                <w:sz w:val="20"/>
                                <w:szCs w:val="20"/>
                              </w:rPr>
                            </w:pPr>
                            <w:r w:rsidRPr="00AD5293">
                              <w:rPr>
                                <w:rFonts w:ascii="Arial Narrow" w:hAnsi="Arial Narrow"/>
                                <w:sz w:val="20"/>
                                <w:szCs w:val="20"/>
                              </w:rPr>
                              <w:t>Explanation of the chosen healthcare service</w:t>
                            </w:r>
                          </w:p>
                          <w:p w14:paraId="7B86F80C" w14:textId="7972E449" w:rsidR="00B92C76" w:rsidRPr="00AD5293" w:rsidRDefault="00B92C76" w:rsidP="00A661EA">
                            <w:pPr>
                              <w:spacing w:line="240" w:lineRule="auto"/>
                              <w:rPr>
                                <w:rFonts w:ascii="Arial Narrow" w:hAnsi="Arial Narrow" w:cs="Arial"/>
                                <w:sz w:val="20"/>
                                <w:szCs w:val="20"/>
                              </w:rPr>
                            </w:pPr>
                            <w:r w:rsidRPr="00AD5293">
                              <w:rPr>
                                <w:rFonts w:ascii="Arial Narrow" w:hAnsi="Arial Narrow" w:cs="Arial"/>
                                <w:sz w:val="20"/>
                                <w:szCs w:val="20"/>
                              </w:rPr>
                              <w:t>Community Mental Health Services (CMHS) in the UK provide assessment, treatment, and long</w:t>
                            </w:r>
                            <w:r w:rsidRPr="00AD5293">
                              <w:rPr>
                                <w:rFonts w:ascii="Cambria Math" w:hAnsi="Cambria Math" w:cs="Cambria Math"/>
                                <w:sz w:val="20"/>
                                <w:szCs w:val="20"/>
                              </w:rPr>
                              <w:t>‑</w:t>
                            </w:r>
                            <w:r w:rsidRPr="00AD5293">
                              <w:rPr>
                                <w:rFonts w:ascii="Arial Narrow" w:hAnsi="Arial Narrow" w:cs="Arial"/>
                                <w:sz w:val="20"/>
                                <w:szCs w:val="20"/>
                              </w:rPr>
                              <w:t>term support for individuals experiencing mental health difficulties within their own communities, enabling people to manage their mental health in familiar, non</w:t>
                            </w:r>
                            <w:r w:rsidRPr="00AD5293">
                              <w:rPr>
                                <w:rFonts w:ascii="Cambria Math" w:hAnsi="Cambria Math" w:cs="Cambria Math"/>
                                <w:sz w:val="20"/>
                                <w:szCs w:val="20"/>
                              </w:rPr>
                              <w:t>‑</w:t>
                            </w:r>
                            <w:r w:rsidRPr="00AD5293">
                              <w:rPr>
                                <w:rFonts w:ascii="Arial Narrow" w:hAnsi="Arial Narrow" w:cs="Arial"/>
                                <w:sz w:val="20"/>
                                <w:szCs w:val="20"/>
                              </w:rPr>
                              <w:t>clinical environments rather than relying on hospital</w:t>
                            </w:r>
                            <w:r w:rsidRPr="00AD5293">
                              <w:rPr>
                                <w:rFonts w:ascii="Cambria Math" w:hAnsi="Cambria Math" w:cs="Cambria Math"/>
                                <w:sz w:val="20"/>
                                <w:szCs w:val="20"/>
                              </w:rPr>
                              <w:t>‑</w:t>
                            </w:r>
                            <w:r w:rsidRPr="00AD5293">
                              <w:rPr>
                                <w:rFonts w:ascii="Arial Narrow" w:hAnsi="Arial Narrow" w:cs="Arial"/>
                                <w:sz w:val="20"/>
                                <w:szCs w:val="20"/>
                              </w:rPr>
                              <w:t>based care. These services offer a broad range of interventions, including counselling and psychological therapies, psychiatric assessment and diagnosis, medication management, crisis intervention, and support with daily living and social functioning. The CMHS model places strong emphasis on prevention, early intervention, and recovery rather than prolonged hospitalisation, recognising that timely support can prevent deterioration, encourage early help</w:t>
                            </w:r>
                            <w:r w:rsidRPr="00AD5293">
                              <w:rPr>
                                <w:rFonts w:ascii="Cambria Math" w:hAnsi="Cambria Math" w:cs="Cambria Math"/>
                                <w:sz w:val="20"/>
                                <w:szCs w:val="20"/>
                              </w:rPr>
                              <w:t>‑</w:t>
                            </w:r>
                            <w:r w:rsidRPr="00AD5293">
                              <w:rPr>
                                <w:rFonts w:ascii="Arial Narrow" w:hAnsi="Arial Narrow" w:cs="Arial"/>
                                <w:sz w:val="20"/>
                                <w:szCs w:val="20"/>
                              </w:rPr>
                              <w:t>seeking, and reduce the likelihood of crisis escalation (</w:t>
                            </w:r>
                            <w:proofErr w:type="spellStart"/>
                            <w:r w:rsidRPr="00AD5293">
                              <w:rPr>
                                <w:rFonts w:ascii="Arial Narrow" w:hAnsi="Arial Narrow" w:cs="Arial"/>
                                <w:sz w:val="20"/>
                                <w:szCs w:val="20"/>
                              </w:rPr>
                              <w:t>Qutishat</w:t>
                            </w:r>
                            <w:proofErr w:type="spellEnd"/>
                            <w:r w:rsidRPr="00AD5293">
                              <w:rPr>
                                <w:rFonts w:ascii="Arial Narrow" w:hAnsi="Arial Narrow" w:cs="Arial"/>
                                <w:sz w:val="20"/>
                                <w:szCs w:val="20"/>
                              </w:rPr>
                              <w:t xml:space="preserve"> et al., 2025). In the UK, CMHS is delivered collaboratively by the National Health Service (NHS), local authorities, and voluntary or charitable organisations, ensuring a wide and accessible network of support. The service adopts a holistic approach that acknowledges the psychological, social, and biological influences on mental health, with multidisciplinary professionals tailoring care to individual needs. By promoting wellbeing, independence, and social inclusion, CMHS helps individuals remain active participants in their communities. Ultimately, by providing support close to home, CMHS reduces hospital admissions, maintains continuity of care, and strengthens long</w:t>
                            </w:r>
                            <w:r w:rsidRPr="00AD5293">
                              <w:rPr>
                                <w:rFonts w:ascii="Cambria Math" w:hAnsi="Cambria Math" w:cs="Cambria Math"/>
                                <w:sz w:val="20"/>
                                <w:szCs w:val="20"/>
                              </w:rPr>
                              <w:t>‑</w:t>
                            </w:r>
                            <w:r w:rsidRPr="00AD5293">
                              <w:rPr>
                                <w:rFonts w:ascii="Arial Narrow" w:hAnsi="Arial Narrow" w:cs="Arial"/>
                                <w:sz w:val="20"/>
                                <w:szCs w:val="20"/>
                              </w:rPr>
                              <w:t>term recovery outcomes, representing a comprehensive, community</w:t>
                            </w:r>
                            <w:r w:rsidRPr="00AD5293">
                              <w:rPr>
                                <w:rFonts w:ascii="Cambria Math" w:hAnsi="Cambria Math" w:cs="Cambria Math"/>
                                <w:sz w:val="20"/>
                                <w:szCs w:val="20"/>
                              </w:rPr>
                              <w:t>‑</w:t>
                            </w:r>
                            <w:r w:rsidRPr="00AD5293">
                              <w:rPr>
                                <w:rFonts w:ascii="Arial Narrow" w:hAnsi="Arial Narrow" w:cs="Arial"/>
                                <w:sz w:val="20"/>
                                <w:szCs w:val="20"/>
                              </w:rPr>
                              <w:t>centred approach to mental health care in the UK.</w:t>
                            </w:r>
                          </w:p>
                          <w:p w14:paraId="74C3F1A4" w14:textId="77777777" w:rsidR="00B92C76" w:rsidRDefault="00B92C76"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1" type="#_x0000_t202" style="position:absolute;margin-left:0;margin-top:91.85pt;width:424.1pt;height:294pt;z-index:-25165312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" strokecolor="#ed7d31 [3205]" strokeweight="3.75pt">
                <v:textbox>
                  <w:txbxContent>
                    <w:p w14:paraId="497CE061" w14:textId="77777777" w:rsidR="00B92C76" w:rsidRPr="00B92C76" w:rsidRDefault="00B92C76" w:rsidP="00A661EA">
                      <w:pPr>
                        <w:spacing w:line="240" w:lineRule="auto"/>
                        <w:rPr>
                          <w:b/>
                          <w:bCs/>
                          <w:color w:val="385623" w:themeColor="accent6" w:themeShade="80"/>
                        </w:rPr>
                      </w:pPr>
                      <w:r w:rsidRPr="00B92C76">
                        <w:rPr>
                          <w:b/>
                          <w:bCs/>
                          <w:color w:val="385623" w:themeColor="accent6" w:themeShade="80"/>
                        </w:rPr>
                        <w:t>Introduction</w:t>
                      </w:r>
                    </w:p>
                    <w:p w14:paraId="44A2397F" w14:textId="1EC73367" w:rsidR="00BE6BE0" w:rsidRPr="00AD5293" w:rsidRDefault="00B92C76" w:rsidP="00A661EA">
                      <w:pPr>
                        <w:spacing w:line="240" w:lineRule="auto"/>
                        <w:rPr>
                          <w:rFonts w:ascii="Arial Narrow" w:hAnsi="Arial Narrow"/>
                          <w:sz w:val="20"/>
                          <w:szCs w:val="20"/>
                        </w:rPr>
                      </w:pPr>
                      <w:r w:rsidRPr="00AD5293">
                        <w:rPr>
                          <w:rFonts w:ascii="Arial Narrow" w:hAnsi="Arial Narrow" w:cs="Arial"/>
                          <w:sz w:val="20"/>
                          <w:szCs w:val="20"/>
                        </w:rPr>
                        <w:t>Community Mental Health Services (CMHS) in the UK pro</w:t>
                      </w:r>
                      <w:r w:rsidR="00286840" w:rsidRPr="00AD5293">
                        <w:rPr>
                          <w:rFonts w:ascii="Arial Narrow" w:hAnsi="Arial Narrow" w:cs="Arial"/>
                          <w:sz w:val="20"/>
                          <w:szCs w:val="20"/>
                        </w:rPr>
                        <w:softHyphen/>
                      </w:r>
                      <w:r w:rsidRPr="00AD5293">
                        <w:rPr>
                          <w:rFonts w:ascii="Arial Narrow" w:hAnsi="Arial Narrow" w:cs="Arial"/>
                          <w:sz w:val="20"/>
                          <w:szCs w:val="20"/>
                        </w:rPr>
                        <w:t>vide support to individuals experiencing mental health diffi</w:t>
                      </w:r>
                      <w:r w:rsidR="00286840" w:rsidRPr="00AD5293">
                        <w:rPr>
                          <w:rFonts w:ascii="Arial Narrow" w:hAnsi="Arial Narrow" w:cs="Arial"/>
                          <w:sz w:val="20"/>
                          <w:szCs w:val="20"/>
                        </w:rPr>
                        <w:softHyphen/>
                      </w:r>
                      <w:r w:rsidRPr="00AD5293">
                        <w:rPr>
                          <w:rFonts w:ascii="Arial Narrow" w:hAnsi="Arial Narrow" w:cs="Arial"/>
                          <w:sz w:val="20"/>
                          <w:szCs w:val="20"/>
                        </w:rPr>
                        <w:t>culties within their communities. Evolving from large psy</w:t>
                      </w:r>
                      <w:r w:rsidR="00286840" w:rsidRPr="00AD5293">
                        <w:rPr>
                          <w:rFonts w:ascii="Arial Narrow" w:hAnsi="Arial Narrow" w:cs="Arial"/>
                          <w:sz w:val="20"/>
                          <w:szCs w:val="20"/>
                        </w:rPr>
                        <w:softHyphen/>
                      </w:r>
                      <w:r w:rsidRPr="00AD5293">
                        <w:rPr>
                          <w:rFonts w:ascii="Arial Narrow" w:hAnsi="Arial Narrow" w:cs="Arial"/>
                          <w:sz w:val="20"/>
                          <w:szCs w:val="20"/>
                        </w:rPr>
                        <w:t>chiatric hospitals to community</w:t>
                      </w:r>
                      <w:r w:rsidRPr="00AD5293">
                        <w:rPr>
                          <w:rFonts w:ascii="Cambria Math" w:hAnsi="Cambria Math" w:cs="Cambria Math"/>
                          <w:sz w:val="20"/>
                          <w:szCs w:val="20"/>
                        </w:rPr>
                        <w:t>‑</w:t>
                      </w:r>
                      <w:r w:rsidRPr="00AD5293">
                        <w:rPr>
                          <w:rFonts w:ascii="Arial Narrow" w:hAnsi="Arial Narrow" w:cs="Arial"/>
                          <w:sz w:val="20"/>
                          <w:szCs w:val="20"/>
                        </w:rPr>
                        <w:t>based care (McSherry et al., 2025), CMHS recognises the influence of social and environmental factors. This poster outlines its development, current practice, and ongoing challenges</w:t>
                      </w:r>
                      <w:r w:rsidRPr="00AD5293">
                        <w:rPr>
                          <w:rFonts w:ascii="Arial Narrow" w:hAnsi="Arial Narrow"/>
                          <w:sz w:val="20"/>
                          <w:szCs w:val="20"/>
                        </w:rPr>
                        <w:t>.</w:t>
                      </w:r>
                    </w:p>
                    <w:p w14:paraId="7F5CF300" w14:textId="237193D5" w:rsidR="00B92C76" w:rsidRPr="00AD5293" w:rsidRDefault="00B92C76" w:rsidP="00A661EA">
                      <w:pPr>
                        <w:spacing w:line="240" w:lineRule="auto"/>
                        <w:rPr>
                          <w:rFonts w:ascii="Arial Narrow" w:hAnsi="Arial Narrow"/>
                          <w:sz w:val="20"/>
                          <w:szCs w:val="20"/>
                        </w:rPr>
                      </w:pPr>
                      <w:r w:rsidRPr="00AD5293">
                        <w:rPr>
                          <w:rFonts w:ascii="Arial Narrow" w:hAnsi="Arial Narrow"/>
                          <w:sz w:val="20"/>
                          <w:szCs w:val="20"/>
                        </w:rPr>
                        <w:t>Explanation of the chosen healthcare service</w:t>
                      </w:r>
                    </w:p>
                    <w:p w14:paraId="7B86F80C" w14:textId="7972E449" w:rsidR="00B92C76" w:rsidRPr="00AD5293" w:rsidRDefault="00B92C76" w:rsidP="00A661EA">
                      <w:pPr>
                        <w:spacing w:line="240" w:lineRule="auto"/>
                        <w:rPr>
                          <w:rFonts w:ascii="Arial Narrow" w:hAnsi="Arial Narrow" w:cs="Arial"/>
                          <w:sz w:val="20"/>
                          <w:szCs w:val="20"/>
                        </w:rPr>
                      </w:pPr>
                      <w:r w:rsidRPr="00AD5293">
                        <w:rPr>
                          <w:rFonts w:ascii="Arial Narrow" w:hAnsi="Arial Narrow" w:cs="Arial"/>
                          <w:sz w:val="20"/>
                          <w:szCs w:val="20"/>
                        </w:rPr>
                        <w:t>Community Mental Health Services (CMHS) in the UK provide assessment, treatment, and long</w:t>
                      </w:r>
                      <w:r w:rsidRPr="00AD5293">
                        <w:rPr>
                          <w:rFonts w:ascii="Cambria Math" w:hAnsi="Cambria Math" w:cs="Cambria Math"/>
                          <w:sz w:val="20"/>
                          <w:szCs w:val="20"/>
                        </w:rPr>
                        <w:t>‑</w:t>
                      </w:r>
                      <w:r w:rsidRPr="00AD5293">
                        <w:rPr>
                          <w:rFonts w:ascii="Arial Narrow" w:hAnsi="Arial Narrow" w:cs="Arial"/>
                          <w:sz w:val="20"/>
                          <w:szCs w:val="20"/>
                        </w:rPr>
                        <w:t>term support for individuals experiencing mental health difficulties within their own communities, enabling people to manage their mental health in familiar, non</w:t>
                      </w:r>
                      <w:r w:rsidRPr="00AD5293">
                        <w:rPr>
                          <w:rFonts w:ascii="Cambria Math" w:hAnsi="Cambria Math" w:cs="Cambria Math"/>
                          <w:sz w:val="20"/>
                          <w:szCs w:val="20"/>
                        </w:rPr>
                        <w:t>‑</w:t>
                      </w:r>
                      <w:r w:rsidRPr="00AD5293">
                        <w:rPr>
                          <w:rFonts w:ascii="Arial Narrow" w:hAnsi="Arial Narrow" w:cs="Arial"/>
                          <w:sz w:val="20"/>
                          <w:szCs w:val="20"/>
                        </w:rPr>
                        <w:t>clinical environments rather than relying on hospital</w:t>
                      </w:r>
                      <w:r w:rsidRPr="00AD5293">
                        <w:rPr>
                          <w:rFonts w:ascii="Cambria Math" w:hAnsi="Cambria Math" w:cs="Cambria Math"/>
                          <w:sz w:val="20"/>
                          <w:szCs w:val="20"/>
                        </w:rPr>
                        <w:t>‑</w:t>
                      </w:r>
                      <w:r w:rsidRPr="00AD5293">
                        <w:rPr>
                          <w:rFonts w:ascii="Arial Narrow" w:hAnsi="Arial Narrow" w:cs="Arial"/>
                          <w:sz w:val="20"/>
                          <w:szCs w:val="20"/>
                        </w:rPr>
                        <w:t>based care. These services offer a broad range of interventions, including counselling and psychological therapies, psychiatric assessment and diagnosis, medication management, crisis intervention, and support with daily living and social functioning. The CMHS model places strong emphasis on prevention, early intervention, and recovery rather than prolonged hospitalisation, recognising that timely support can prevent deterioration, encourage early help</w:t>
                      </w:r>
                      <w:r w:rsidRPr="00AD5293">
                        <w:rPr>
                          <w:rFonts w:ascii="Cambria Math" w:hAnsi="Cambria Math" w:cs="Cambria Math"/>
                          <w:sz w:val="20"/>
                          <w:szCs w:val="20"/>
                        </w:rPr>
                        <w:t>‑</w:t>
                      </w:r>
                      <w:r w:rsidRPr="00AD5293">
                        <w:rPr>
                          <w:rFonts w:ascii="Arial Narrow" w:hAnsi="Arial Narrow" w:cs="Arial"/>
                          <w:sz w:val="20"/>
                          <w:szCs w:val="20"/>
                        </w:rPr>
                        <w:t>seeking, and reduce the likelihood of crisis escalation (</w:t>
                      </w:r>
                      <w:proofErr w:type="spellStart"/>
                      <w:r w:rsidRPr="00AD5293">
                        <w:rPr>
                          <w:rFonts w:ascii="Arial Narrow" w:hAnsi="Arial Narrow" w:cs="Arial"/>
                          <w:sz w:val="20"/>
                          <w:szCs w:val="20"/>
                        </w:rPr>
                        <w:t>Qutishat</w:t>
                      </w:r>
                      <w:proofErr w:type="spellEnd"/>
                      <w:r w:rsidRPr="00AD5293">
                        <w:rPr>
                          <w:rFonts w:ascii="Arial Narrow" w:hAnsi="Arial Narrow" w:cs="Arial"/>
                          <w:sz w:val="20"/>
                          <w:szCs w:val="20"/>
                        </w:rPr>
                        <w:t xml:space="preserve"> et al., 2025). In the UK, CMHS is delivered collaboratively by the National Health Service (NHS), local authorities, and voluntary or charitable organisations, ensuring a wide and accessible network of support. The service adopts a holistic approach that acknowledges the psychological, social, and biological influences on mental health, with multidisciplinary professionals tailoring care to individual needs. By promoting wellbeing, independence, and social inclusion, CMHS helps individuals remain active participants in their communities. Ultimately, by providing support close to home, CMHS reduces hospital admissions, maintains continuity of care, and strengthens long</w:t>
                      </w:r>
                      <w:r w:rsidRPr="00AD5293">
                        <w:rPr>
                          <w:rFonts w:ascii="Cambria Math" w:hAnsi="Cambria Math" w:cs="Cambria Math"/>
                          <w:sz w:val="20"/>
                          <w:szCs w:val="20"/>
                        </w:rPr>
                        <w:t>‑</w:t>
                      </w:r>
                      <w:r w:rsidRPr="00AD5293">
                        <w:rPr>
                          <w:rFonts w:ascii="Arial Narrow" w:hAnsi="Arial Narrow" w:cs="Arial"/>
                          <w:sz w:val="20"/>
                          <w:szCs w:val="20"/>
                        </w:rPr>
                        <w:t>term recovery outcomes, representing a comprehensive, community</w:t>
                      </w:r>
                      <w:r w:rsidRPr="00AD5293">
                        <w:rPr>
                          <w:rFonts w:ascii="Cambria Math" w:hAnsi="Cambria Math" w:cs="Cambria Math"/>
                          <w:sz w:val="20"/>
                          <w:szCs w:val="20"/>
                        </w:rPr>
                        <w:t>‑</w:t>
                      </w:r>
                      <w:r w:rsidRPr="00AD5293">
                        <w:rPr>
                          <w:rFonts w:ascii="Arial Narrow" w:hAnsi="Arial Narrow" w:cs="Arial"/>
                          <w:sz w:val="20"/>
                          <w:szCs w:val="20"/>
                        </w:rPr>
                        <w:t>centred approach to mental health care in the UK.</w:t>
                      </w:r>
                    </w:p>
                    <w:p w14:paraId="74C3F1A4" w14:textId="77777777" w:rsidR="00B92C76" w:rsidRDefault="00B92C76" w:rsidP="00BE6BE0"/>
                  </w:txbxContent>
                </v:textbox>
                <w10:wrap type="tight" anchorx="page"/>
              </v:shape>
            </w:pict>
          </mc:Fallback>
        </mc:AlternateContent>
      </w:r>
      <w:r w:rsidR="00C71DB9">
        <w:rPr>
          <w:noProof/>
        </w:rPr>
        <mc:AlternateContent>
          <mc:Choice Requires="wps">
            <w:drawing>
              <wp:anchor distT="45720" distB="45720" distL="114300" distR="114300" simplePos="0" relativeHeight="251661312" behindDoc="1" locked="0" layoutInCell="1" allowOverlap="1" wp14:anchorId="3E780AA8" wp14:editId="65471ECA">
                <wp:simplePos x="0" y="0"/>
                <wp:positionH relativeFrom="margin">
                  <wp:posOffset>1819275</wp:posOffset>
                </wp:positionH>
                <wp:positionV relativeFrom="paragraph">
                  <wp:posOffset>4445</wp:posOffset>
                </wp:positionV>
                <wp:extent cx="7705725" cy="1153160"/>
                <wp:effectExtent l="0" t="0" r="28575" b="27940"/>
                <wp:wrapTight wrapText="bothSides">
                  <wp:wrapPolygon edited="0">
                    <wp:start x="0" y="0"/>
                    <wp:lineTo x="0" y="21767"/>
                    <wp:lineTo x="21627" y="21767"/>
                    <wp:lineTo x="21627"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5725" cy="1153160"/>
                        </a:xfrm>
                        <a:prstGeom prst="rect">
                          <a:avLst/>
                        </a:prstGeom>
                        <a:solidFill>
                          <a:srgbClr val="FFFFFF"/>
                        </a:solidFill>
                        <a:ln w="9525">
                          <a:solidFill>
                            <a:srgbClr val="000000"/>
                          </a:solidFill>
                          <a:miter lim="800000"/>
                          <a:headEnd/>
                          <a:tailEnd/>
                        </a:ln>
                        <a:effectLst>
                          <a:softEdge rad="50800"/>
                        </a:effectLst>
                      </wps:spPr>
                      <wps:txbx>
                        <w:txbxContent>
                          <w:p w14:paraId="4B29F551" w14:textId="18BD9431" w:rsidR="00BE6BE0" w:rsidRPr="00EF21B5" w:rsidRDefault="00B92C76" w:rsidP="00BE6BE0">
                            <w:pPr>
                              <w:shd w:val="clear" w:color="auto" w:fill="F4B083" w:themeFill="accent2" w:themeFillTint="99"/>
                              <w:jc w:val="center"/>
                              <w:rPr>
                                <w:sz w:val="28"/>
                                <w:szCs w:val="28"/>
                              </w:rPr>
                            </w:pPr>
                            <w:r w:rsidRPr="00B92C76">
                              <w:rPr>
                                <w:noProof/>
                              </w:rPr>
                              <w:drawing>
                                <wp:inline distT="0" distB="0" distL="0" distR="0" wp14:anchorId="1B14D76F" wp14:editId="1A8E0920">
                                  <wp:extent cx="6344920" cy="332105"/>
                                  <wp:effectExtent l="0" t="0" r="0" b="0"/>
                                  <wp:docPr id="16328085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44920" cy="332105"/>
                                          </a:xfrm>
                                          <a:prstGeom prst="rect">
                                            <a:avLst/>
                                          </a:prstGeom>
                                          <a:noFill/>
                                          <a:ln>
                                            <a:noFill/>
                                          </a:ln>
                                        </pic:spPr>
                                      </pic:pic>
                                    </a:graphicData>
                                  </a:graphic>
                                </wp:inline>
                              </w:drawing>
                            </w:r>
                            <w:r w:rsidRPr="00B92C76">
                              <w:rPr>
                                <w:sz w:val="28"/>
                                <w:szCs w:val="28"/>
                              </w:rPr>
                              <w:t xml:space="preserve"> </w:t>
                            </w:r>
                            <w:r w:rsidRPr="00B92C76">
                              <w:rPr>
                                <w:noProof/>
                              </w:rPr>
                              <w:drawing>
                                <wp:inline distT="0" distB="0" distL="0" distR="0" wp14:anchorId="0AFF37FF" wp14:editId="6CAF2E31">
                                  <wp:extent cx="6082665" cy="334626"/>
                                  <wp:effectExtent l="0" t="0" r="0" b="0"/>
                                  <wp:docPr id="16893167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03431" cy="357774"/>
                                          </a:xfrm>
                                          <a:prstGeom prst="rect">
                                            <a:avLst/>
                                          </a:prstGeom>
                                          <a:noFill/>
                                          <a:ln>
                                            <a:noFill/>
                                          </a:ln>
                                        </pic:spPr>
                                      </pic:pic>
                                    </a:graphicData>
                                  </a:graphic>
                                </wp:inline>
                              </w:drawing>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143.25pt;margin-top:.35pt;width:606.75pt;height:90.8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">
                <v:textbox>
                  <w:txbxContent>
                    <w:p w14:paraId="4B29F551" w14:textId="18BD9431" w:rsidR="00BE6BE0" w:rsidRPr="00EF21B5" w:rsidRDefault="00B92C76" w:rsidP="00BE6BE0">
                      <w:pPr>
                        <w:shd w:val="clear" w:color="auto" w:fill="F4B083" w:themeFill="accent2" w:themeFillTint="99"/>
                        <w:jc w:val="center"/>
                        <w:rPr>
                          <w:sz w:val="28"/>
                          <w:szCs w:val="28"/>
                        </w:rPr>
                      </w:pPr>
                      <w:r w:rsidRPr="00B92C76">
                        <w:rPr>
                          <w:noProof/>
                        </w:rPr>
                        <w:drawing>
                          <wp:inline distT="0" distB="0" distL="0" distR="0" wp14:anchorId="1B14D76F" wp14:editId="1A8E0920">
                            <wp:extent cx="6344920" cy="332105"/>
                            <wp:effectExtent l="0" t="0" r="0" b="0"/>
                            <wp:docPr id="16328085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44920" cy="332105"/>
                                    </a:xfrm>
                                    <a:prstGeom prst="rect">
                                      <a:avLst/>
                                    </a:prstGeom>
                                    <a:noFill/>
                                    <a:ln>
                                      <a:noFill/>
                                    </a:ln>
                                  </pic:spPr>
                                </pic:pic>
                              </a:graphicData>
                            </a:graphic>
                          </wp:inline>
                        </w:drawing>
                      </w:r>
                      <w:r w:rsidRPr="00B92C76">
                        <w:rPr>
                          <w:sz w:val="28"/>
                          <w:szCs w:val="28"/>
                        </w:rPr>
                        <w:t xml:space="preserve"> </w:t>
                      </w:r>
                      <w:r w:rsidRPr="00B92C76">
                        <w:rPr>
                          <w:noProof/>
                        </w:rPr>
                        <w:drawing>
                          <wp:inline distT="0" distB="0" distL="0" distR="0" wp14:anchorId="0AFF37FF" wp14:editId="6CAF2E31">
                            <wp:extent cx="6082665" cy="334626"/>
                            <wp:effectExtent l="0" t="0" r="0" b="0"/>
                            <wp:docPr id="16893167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03431" cy="357774"/>
                                    </a:xfrm>
                                    <a:prstGeom prst="rect">
                                      <a:avLst/>
                                    </a:prstGeom>
                                    <a:noFill/>
                                    <a:ln>
                                      <a:noFill/>
                                    </a:ln>
                                  </pic:spPr>
                                </pic:pic>
                              </a:graphicData>
                            </a:graphic>
                          </wp:inline>
                        </w:drawing>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tight" anchorx="margin"/>
              </v:shape>
            </w:pict>
          </mc:Fallback>
        </mc:AlternateContent>
      </w:r>
      <w:r w:rsidR="00AD5293">
        <w:rPr>
          <w:noProof/>
        </w:rPr>
        <mc:AlternateContent>
          <mc:Choice Requires="wps">
            <w:drawing>
              <wp:anchor distT="0" distB="0" distL="114300" distR="114300" simplePos="0" relativeHeight="251659264" behindDoc="1" locked="0" layoutInCell="1" allowOverlap="1" wp14:anchorId="777A8668" wp14:editId="4E2E3780">
                <wp:simplePos x="0" y="0"/>
                <wp:positionH relativeFrom="page">
                  <wp:align>right</wp:align>
                </wp:positionH>
                <wp:positionV relativeFrom="paragraph">
                  <wp:posOffset>-723900</wp:posOffset>
                </wp:positionV>
                <wp:extent cx="16725265" cy="9429750"/>
                <wp:effectExtent l="0" t="0" r="19685" b="19050"/>
                <wp:wrapNone/>
                <wp:docPr id="1" name="Rectangle 1"/>
                <wp:cNvGraphicFramePr/>
                <a:graphic xmlns:a="http://schemas.openxmlformats.org/drawingml/2006/main">
                  <a:graphicData uri="http://schemas.microsoft.com/office/word/2010/wordprocessingShape">
                    <wps:wsp>
                      <wps:cNvSpPr/>
                      <wps:spPr>
                        <a:xfrm>
                          <a:off x="0" y="0"/>
                          <a:ext cx="16725265" cy="942975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85D17" id="Rectangle 1" o:spid="_x0000_s1026" style="position:absolute;margin-left:1265.75pt;margin-top:-57pt;width:1316.95pt;height:742.5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" fillcolor="gray [1629]" strokecolor="#92d050" strokeweight="1pt">
                <v:fill opacity="30069f"/>
                <w10:wrap anchorx="page"/>
              </v:rect>
            </w:pict>
          </mc:Fallback>
        </mc:AlternateContent>
      </w:r>
    </w:p>
    <w:p w14:paraId="0E45E27E" w14:textId="3C616DB1" w:rsidR="00AD7236" w:rsidRPr="00AD7236" w:rsidRDefault="00AD7236" w:rsidP="00AD7236">
      <w:pPr>
        <w:rPr>
          <w:rFonts w:ascii="Arial" w:hAnsi="Arial" w:cs="Arial"/>
          <w:sz w:val="28"/>
          <w:szCs w:val="28"/>
        </w:rPr>
      </w:pPr>
      <w:r>
        <w:rPr>
          <w:rFonts w:ascii="Arial" w:hAnsi="Arial" w:cs="Arial"/>
          <w:b/>
          <w:bCs/>
          <w:sz w:val="28"/>
          <w:szCs w:val="28"/>
        </w:rPr>
        <w:lastRenderedPageBreak/>
        <w:t>ELEMENT 2</w:t>
      </w:r>
    </w:p>
    <w:p w14:paraId="7B3E38BC" w14:textId="77777777" w:rsidR="00AD7236" w:rsidRDefault="00AD7236" w:rsidP="00EA294A">
      <w:pPr>
        <w:jc w:val="center"/>
        <w:rPr>
          <w:rFonts w:ascii="Arial" w:hAnsi="Arial" w:cs="Arial"/>
          <w:b/>
          <w:bCs/>
          <w:sz w:val="28"/>
          <w:szCs w:val="28"/>
        </w:rPr>
      </w:pPr>
    </w:p>
    <w:p w14:paraId="64C68654" w14:textId="00BA0429" w:rsidR="003A000F" w:rsidRPr="00EA294A" w:rsidRDefault="000A2D7E" w:rsidP="00EA294A">
      <w:pPr>
        <w:jc w:val="center"/>
        <w:rPr>
          <w:rFonts w:ascii="Arial" w:hAnsi="Arial" w:cs="Arial"/>
          <w:b/>
          <w:bCs/>
          <w:sz w:val="28"/>
          <w:szCs w:val="28"/>
        </w:rPr>
      </w:pPr>
      <w:r w:rsidRPr="00EA294A">
        <w:rPr>
          <w:rFonts w:ascii="Arial" w:hAnsi="Arial" w:cs="Arial"/>
          <w:b/>
          <w:bCs/>
          <w:sz w:val="28"/>
          <w:szCs w:val="28"/>
        </w:rPr>
        <w:t>Community antenatal midwifery services</w:t>
      </w:r>
    </w:p>
    <w:p w14:paraId="62844935" w14:textId="77777777" w:rsidR="00805FCB" w:rsidRDefault="00805FCB" w:rsidP="00A661EA">
      <w:pPr>
        <w:spacing w:line="360" w:lineRule="auto"/>
        <w:rPr>
          <w:rFonts w:ascii="Arial" w:hAnsi="Arial" w:cs="Arial"/>
          <w:b/>
          <w:bCs/>
          <w:sz w:val="24"/>
          <w:szCs w:val="24"/>
        </w:rPr>
      </w:pPr>
    </w:p>
    <w:p w14:paraId="4499862B" w14:textId="77777777" w:rsidR="00205ADB" w:rsidRPr="00205ADB" w:rsidRDefault="00205ADB" w:rsidP="00205ADB">
      <w:pPr>
        <w:spacing w:line="360" w:lineRule="auto"/>
        <w:rPr>
          <w:rFonts w:ascii="Arial" w:hAnsi="Arial" w:cs="Arial"/>
          <w:b/>
          <w:bCs/>
          <w:sz w:val="24"/>
          <w:szCs w:val="24"/>
        </w:rPr>
      </w:pPr>
      <w:r w:rsidRPr="00205ADB">
        <w:rPr>
          <w:rFonts w:ascii="Arial" w:hAnsi="Arial" w:cs="Arial"/>
          <w:b/>
          <w:bCs/>
          <w:sz w:val="24"/>
          <w:szCs w:val="24"/>
        </w:rPr>
        <w:t>Introduction</w:t>
      </w:r>
    </w:p>
    <w:p w14:paraId="50BD011A"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Community antenatal midwifery services are a vital component of maternity care in the United Kingdom, offering accessible, preventative and personalised support to pregnant women within their local communities. These services include routine health monitoring, emotional support, health education and referrals to specialist care when required. Home</w:t>
      </w:r>
      <w:r w:rsidRPr="00205ADB">
        <w:rPr>
          <w:rFonts w:ascii="Cambria Math" w:hAnsi="Cambria Math" w:cs="Cambria Math"/>
          <w:sz w:val="24"/>
          <w:szCs w:val="24"/>
        </w:rPr>
        <w:t>‑</w:t>
      </w:r>
      <w:r w:rsidRPr="00205ADB">
        <w:rPr>
          <w:rFonts w:ascii="Arial" w:hAnsi="Arial" w:cs="Arial"/>
          <w:sz w:val="24"/>
          <w:szCs w:val="24"/>
        </w:rPr>
        <w:t>based provision is particularly valuable, as it enables midwives to identify potential complications early and increases access for women who may face barriers to attending hospital appointments, such as limited transport or financial constraints (Wiseman et al., 2022). By fostering trusting relationships between midwives and service users, community</w:t>
      </w:r>
      <w:r w:rsidRPr="00205ADB">
        <w:rPr>
          <w:rFonts w:ascii="Cambria Math" w:hAnsi="Cambria Math" w:cs="Cambria Math"/>
          <w:sz w:val="24"/>
          <w:szCs w:val="24"/>
        </w:rPr>
        <w:t>‑</w:t>
      </w:r>
      <w:r w:rsidRPr="00205ADB">
        <w:rPr>
          <w:rFonts w:ascii="Arial" w:hAnsi="Arial" w:cs="Arial"/>
          <w:sz w:val="24"/>
          <w:szCs w:val="24"/>
        </w:rPr>
        <w:t>based care strengthens communication and encourages women to engage more confidently with their pregnancy journey. This essay investigates the historical origins of community antenatal midwifery services, critically evaluates how the service functions today and discusses its significance in enhancing the quality of life for service users.</w:t>
      </w:r>
    </w:p>
    <w:p w14:paraId="1B78B95F" w14:textId="77777777" w:rsidR="00205ADB" w:rsidRPr="00205ADB" w:rsidRDefault="00205ADB" w:rsidP="00205ADB">
      <w:pPr>
        <w:spacing w:line="360" w:lineRule="auto"/>
        <w:rPr>
          <w:rFonts w:ascii="Arial" w:hAnsi="Arial" w:cs="Arial"/>
          <w:b/>
          <w:bCs/>
          <w:sz w:val="24"/>
          <w:szCs w:val="24"/>
        </w:rPr>
      </w:pPr>
      <w:r w:rsidRPr="00205ADB">
        <w:rPr>
          <w:rFonts w:ascii="Arial" w:hAnsi="Arial" w:cs="Arial"/>
          <w:b/>
          <w:bCs/>
          <w:sz w:val="24"/>
          <w:szCs w:val="24"/>
        </w:rPr>
        <w:t>1. Investigating the Origins and Historical Context</w:t>
      </w:r>
    </w:p>
    <w:p w14:paraId="016C3FAB"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The origins of community antenatal midwifery services can be traced to the early twentieth century, a period characterised by high maternal and infant mortality rates (McCourt et al., 2025). During this time, health professionals increasingly recognised that many pregnancy</w:t>
      </w:r>
      <w:r w:rsidRPr="00205ADB">
        <w:rPr>
          <w:rFonts w:ascii="Cambria Math" w:hAnsi="Cambria Math" w:cs="Cambria Math"/>
          <w:sz w:val="24"/>
          <w:szCs w:val="24"/>
        </w:rPr>
        <w:t>‑</w:t>
      </w:r>
      <w:r w:rsidRPr="00205ADB">
        <w:rPr>
          <w:rFonts w:ascii="Arial" w:hAnsi="Arial" w:cs="Arial"/>
          <w:sz w:val="24"/>
          <w:szCs w:val="24"/>
        </w:rPr>
        <w:t>related complications could be prevented through routine monitoring and improved health education. Early community</w:t>
      </w:r>
      <w:r w:rsidRPr="00205ADB">
        <w:rPr>
          <w:rFonts w:ascii="Cambria Math" w:hAnsi="Cambria Math" w:cs="Cambria Math"/>
          <w:sz w:val="24"/>
          <w:szCs w:val="24"/>
        </w:rPr>
        <w:t>‑</w:t>
      </w:r>
      <w:r w:rsidRPr="00205ADB">
        <w:rPr>
          <w:rFonts w:ascii="Arial" w:hAnsi="Arial" w:cs="Arial"/>
          <w:sz w:val="24"/>
          <w:szCs w:val="24"/>
        </w:rPr>
        <w:t>based services involved midwives and health visitors visiting women in their homes to provide advice on hygiene, nutrition and birth preparation. These early interventions laid the foundation for a more structured and preventative approach to maternity care.</w:t>
      </w:r>
    </w:p>
    <w:p w14:paraId="30D3218B"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 xml:space="preserve">A major turning point occurred in 1948 with the establishment of the National Health Service (NHS), which formalised maternity services and expanded access to antenatal care across the UK. This development ensured that community midwifery became a core component of the national healthcare system, promoting equity and </w:t>
      </w:r>
      <w:r w:rsidRPr="00205ADB">
        <w:rPr>
          <w:rFonts w:ascii="Arial" w:hAnsi="Arial" w:cs="Arial"/>
          <w:sz w:val="24"/>
          <w:szCs w:val="24"/>
        </w:rPr>
        <w:lastRenderedPageBreak/>
        <w:t>improving outcomes for mothers and babies. Over subsequent decades, community antenatal services evolved into a comprehensive model that emphasises prevention, early intervention and continuity of care, reflecting broader public health priorities and growing recognition of women’s rights in maternity care.</w:t>
      </w:r>
    </w:p>
    <w:p w14:paraId="48D6303A" w14:textId="77777777" w:rsidR="00205ADB" w:rsidRPr="00205ADB" w:rsidRDefault="00205ADB" w:rsidP="00205ADB">
      <w:pPr>
        <w:spacing w:line="360" w:lineRule="auto"/>
        <w:rPr>
          <w:rFonts w:ascii="Arial" w:hAnsi="Arial" w:cs="Arial"/>
          <w:b/>
          <w:bCs/>
          <w:sz w:val="24"/>
          <w:szCs w:val="24"/>
        </w:rPr>
      </w:pPr>
      <w:r w:rsidRPr="00205ADB">
        <w:rPr>
          <w:rFonts w:ascii="Arial" w:hAnsi="Arial" w:cs="Arial"/>
          <w:b/>
          <w:bCs/>
          <w:sz w:val="24"/>
          <w:szCs w:val="24"/>
        </w:rPr>
        <w:t>2. Critical Evaluation of How the Service Functions Today</w:t>
      </w:r>
    </w:p>
    <w:p w14:paraId="5C0507C2"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 xml:space="preserve">In contemporary practice, community midwifery services operate through a combination of clinic appointments, home visits and, increasingly, digital consultations. Midwives monitor maternal and </w:t>
      </w:r>
      <w:proofErr w:type="spellStart"/>
      <w:r w:rsidRPr="00205ADB">
        <w:rPr>
          <w:rFonts w:ascii="Arial" w:hAnsi="Arial" w:cs="Arial"/>
          <w:sz w:val="24"/>
          <w:szCs w:val="24"/>
        </w:rPr>
        <w:t>fetal</w:t>
      </w:r>
      <w:proofErr w:type="spellEnd"/>
      <w:r w:rsidRPr="00205ADB">
        <w:rPr>
          <w:rFonts w:ascii="Arial" w:hAnsi="Arial" w:cs="Arial"/>
          <w:sz w:val="24"/>
          <w:szCs w:val="24"/>
        </w:rPr>
        <w:t xml:space="preserve"> wellbeing, provide health education, offer emotional support and make referrals to specialist services when risks are identified. Collaboration is central to modern maternity care, with midwives working closely alongside general practitioners, obstetricians and social care teams to deliver holistic and coordinated support.</w:t>
      </w:r>
    </w:p>
    <w:p w14:paraId="4807882D"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Continuity of care remains one of the service’s greatest strengths, as many women value having a consistent midwife throughout their pregnancy. This continuity enhances trust, improves communication and supports more personalised care. However, inequalities persist. Women in rural or socio</w:t>
      </w:r>
      <w:r w:rsidRPr="00205ADB">
        <w:rPr>
          <w:rFonts w:ascii="Cambria Math" w:hAnsi="Cambria Math" w:cs="Cambria Math"/>
          <w:sz w:val="24"/>
          <w:szCs w:val="24"/>
        </w:rPr>
        <w:t>‑</w:t>
      </w:r>
      <w:r w:rsidRPr="00205ADB">
        <w:rPr>
          <w:rFonts w:ascii="Arial" w:hAnsi="Arial" w:cs="Arial"/>
          <w:sz w:val="24"/>
          <w:szCs w:val="24"/>
        </w:rPr>
        <w:t>economically disadvantaged areas may still face barriers to accessing timely antenatal support, while increasing reliance on digital consultations risks widening inequalities for women with limited digital access or confidence. Workforce pressures, including staffing shortages and rising caseloads, also place significant strain on midwives and may affect the consistency and responsiveness of care.</w:t>
      </w:r>
    </w:p>
    <w:p w14:paraId="6D1A19DE" w14:textId="77777777" w:rsidR="00205ADB" w:rsidRPr="00205ADB" w:rsidRDefault="00205ADB" w:rsidP="00205ADB">
      <w:pPr>
        <w:spacing w:line="360" w:lineRule="auto"/>
        <w:rPr>
          <w:rFonts w:ascii="Arial" w:hAnsi="Arial" w:cs="Arial"/>
          <w:b/>
          <w:bCs/>
          <w:sz w:val="24"/>
          <w:szCs w:val="24"/>
        </w:rPr>
      </w:pPr>
      <w:r w:rsidRPr="00205ADB">
        <w:rPr>
          <w:rFonts w:ascii="Arial" w:hAnsi="Arial" w:cs="Arial"/>
          <w:b/>
          <w:bCs/>
          <w:sz w:val="24"/>
          <w:szCs w:val="24"/>
        </w:rPr>
        <w:t>Pros and Cons of Current Community Antenatal Midwifery Services</w:t>
      </w:r>
    </w:p>
    <w:p w14:paraId="1D5F55CF" w14:textId="77777777" w:rsidR="00205ADB" w:rsidRPr="00205ADB" w:rsidRDefault="00205ADB" w:rsidP="00205ADB">
      <w:pPr>
        <w:spacing w:line="360" w:lineRule="auto"/>
        <w:rPr>
          <w:rFonts w:ascii="Arial" w:hAnsi="Arial" w:cs="Arial"/>
          <w:b/>
          <w:bCs/>
          <w:sz w:val="24"/>
          <w:szCs w:val="24"/>
        </w:rPr>
      </w:pPr>
      <w:r w:rsidRPr="00205ADB">
        <w:rPr>
          <w:rFonts w:ascii="Arial" w:hAnsi="Arial" w:cs="Arial"/>
          <w:b/>
          <w:bCs/>
          <w:sz w:val="24"/>
          <w:szCs w:val="24"/>
        </w:rPr>
        <w:t>Pros</w:t>
      </w:r>
    </w:p>
    <w:p w14:paraId="6D6B98EC"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 xml:space="preserve">• </w:t>
      </w:r>
      <w:r w:rsidRPr="00205ADB">
        <w:rPr>
          <w:rFonts w:ascii="Arial" w:hAnsi="Arial" w:cs="Arial"/>
          <w:sz w:val="24"/>
          <w:szCs w:val="24"/>
        </w:rPr>
        <w:tab/>
        <w:t>Continuity of care strengthens trust and supports personalised care.</w:t>
      </w:r>
    </w:p>
    <w:p w14:paraId="53D694D0"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 xml:space="preserve">• </w:t>
      </w:r>
      <w:r w:rsidRPr="00205ADB">
        <w:rPr>
          <w:rFonts w:ascii="Arial" w:hAnsi="Arial" w:cs="Arial"/>
          <w:sz w:val="24"/>
          <w:szCs w:val="24"/>
        </w:rPr>
        <w:tab/>
        <w:t>Home visits and local clinics reduce barriers for women with transport or financial challenges.</w:t>
      </w:r>
    </w:p>
    <w:p w14:paraId="6A17CBCC"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 xml:space="preserve">• </w:t>
      </w:r>
      <w:r w:rsidRPr="00205ADB">
        <w:rPr>
          <w:rFonts w:ascii="Arial" w:hAnsi="Arial" w:cs="Arial"/>
          <w:sz w:val="24"/>
          <w:szCs w:val="24"/>
        </w:rPr>
        <w:tab/>
        <w:t>Holistic support integrates physical, emotional and social needs.</w:t>
      </w:r>
    </w:p>
    <w:p w14:paraId="2DF241F4"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 xml:space="preserve">• </w:t>
      </w:r>
      <w:r w:rsidRPr="00205ADB">
        <w:rPr>
          <w:rFonts w:ascii="Arial" w:hAnsi="Arial" w:cs="Arial"/>
          <w:sz w:val="24"/>
          <w:szCs w:val="24"/>
        </w:rPr>
        <w:tab/>
        <w:t>Early identification of risks reduces complications and improves outcomes.</w:t>
      </w:r>
    </w:p>
    <w:p w14:paraId="41D8F63F"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 xml:space="preserve">• </w:t>
      </w:r>
      <w:r w:rsidRPr="00205ADB">
        <w:rPr>
          <w:rFonts w:ascii="Arial" w:hAnsi="Arial" w:cs="Arial"/>
          <w:sz w:val="24"/>
          <w:szCs w:val="24"/>
        </w:rPr>
        <w:tab/>
        <w:t>Health education empowers women to make informed decisions.</w:t>
      </w:r>
    </w:p>
    <w:p w14:paraId="3B6BA91A" w14:textId="466427A0" w:rsidR="00205ADB" w:rsidRPr="00205ADB" w:rsidRDefault="00205ADB" w:rsidP="00205ADB">
      <w:pPr>
        <w:spacing w:line="360" w:lineRule="auto"/>
        <w:rPr>
          <w:rFonts w:ascii="Arial" w:hAnsi="Arial" w:cs="Arial"/>
          <w:b/>
          <w:bCs/>
          <w:sz w:val="24"/>
          <w:szCs w:val="24"/>
        </w:rPr>
      </w:pPr>
      <w:r w:rsidRPr="00205ADB">
        <w:rPr>
          <w:rFonts w:ascii="Arial" w:hAnsi="Arial" w:cs="Arial"/>
          <w:b/>
          <w:bCs/>
          <w:sz w:val="24"/>
          <w:szCs w:val="24"/>
        </w:rPr>
        <w:lastRenderedPageBreak/>
        <w:t>Cons</w:t>
      </w:r>
    </w:p>
    <w:p w14:paraId="2C431899"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 xml:space="preserve">• </w:t>
      </w:r>
      <w:r w:rsidRPr="00205ADB">
        <w:rPr>
          <w:rFonts w:ascii="Arial" w:hAnsi="Arial" w:cs="Arial"/>
          <w:sz w:val="24"/>
          <w:szCs w:val="24"/>
        </w:rPr>
        <w:tab/>
        <w:t>Staffing shortages and high caseloads can reduce care quality.</w:t>
      </w:r>
    </w:p>
    <w:p w14:paraId="25136A5E"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 xml:space="preserve">• </w:t>
      </w:r>
      <w:r w:rsidRPr="00205ADB">
        <w:rPr>
          <w:rFonts w:ascii="Arial" w:hAnsi="Arial" w:cs="Arial"/>
          <w:sz w:val="24"/>
          <w:szCs w:val="24"/>
        </w:rPr>
        <w:tab/>
        <w:t>Rural and deprived areas may experience reduced access to consistent antenatal support.</w:t>
      </w:r>
    </w:p>
    <w:p w14:paraId="74E4683E"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 xml:space="preserve">• </w:t>
      </w:r>
      <w:r w:rsidRPr="00205ADB">
        <w:rPr>
          <w:rFonts w:ascii="Arial" w:hAnsi="Arial" w:cs="Arial"/>
          <w:sz w:val="24"/>
          <w:szCs w:val="24"/>
        </w:rPr>
        <w:tab/>
        <w:t>Digital exclusion affects women with limited internet access or confidence.</w:t>
      </w:r>
    </w:p>
    <w:p w14:paraId="79801964"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 xml:space="preserve">• </w:t>
      </w:r>
      <w:r w:rsidRPr="00205ADB">
        <w:rPr>
          <w:rFonts w:ascii="Arial" w:hAnsi="Arial" w:cs="Arial"/>
          <w:sz w:val="24"/>
          <w:szCs w:val="24"/>
        </w:rPr>
        <w:tab/>
        <w:t>Service pressures may limit appointment time and emotional support.</w:t>
      </w:r>
    </w:p>
    <w:p w14:paraId="3A776342" w14:textId="77777777" w:rsidR="00205ADB" w:rsidRPr="00205ADB" w:rsidRDefault="00205ADB" w:rsidP="00205ADB">
      <w:pPr>
        <w:spacing w:line="360" w:lineRule="auto"/>
        <w:rPr>
          <w:rFonts w:ascii="Arial" w:hAnsi="Arial" w:cs="Arial"/>
          <w:b/>
          <w:bCs/>
          <w:sz w:val="24"/>
          <w:szCs w:val="24"/>
        </w:rPr>
      </w:pPr>
      <w:r w:rsidRPr="00205ADB">
        <w:rPr>
          <w:rFonts w:ascii="Arial" w:hAnsi="Arial" w:cs="Arial"/>
          <w:b/>
          <w:bCs/>
          <w:sz w:val="24"/>
          <w:szCs w:val="24"/>
        </w:rPr>
        <w:t>3. Significance in Enhancing Quality of Life</w:t>
      </w:r>
    </w:p>
    <w:p w14:paraId="1127AB27"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Community antenatal midwifery services contribute significantly to improving the quality of life for pregnant women, their families and the wider community. Regular contact with a midwife provides reassurance, reduces anxiety and supports emotional wellbeing. Women receive clear guidance on essential topics such as nutrition, physical activity, birth planning, breastfeeding and infant care (Watson et al., 2025). This information empowers them to make informed decisions and adopt positive health behaviours.</w:t>
      </w:r>
    </w:p>
    <w:p w14:paraId="39DDB848" w14:textId="77777777" w:rsidR="00205ADB" w:rsidRPr="00205ADB" w:rsidRDefault="00205ADB" w:rsidP="00205ADB">
      <w:pPr>
        <w:spacing w:line="360" w:lineRule="auto"/>
        <w:rPr>
          <w:rFonts w:ascii="Arial" w:hAnsi="Arial" w:cs="Arial"/>
          <w:sz w:val="24"/>
          <w:szCs w:val="24"/>
        </w:rPr>
      </w:pPr>
      <w:r w:rsidRPr="00205ADB">
        <w:rPr>
          <w:rFonts w:ascii="Arial" w:hAnsi="Arial" w:cs="Arial"/>
          <w:sz w:val="24"/>
          <w:szCs w:val="24"/>
        </w:rPr>
        <w:t>Midwives also play a crucial role in identifying early signs of mental health concerns, ensuring that women receive appropriate support before issues escalate. Families benefit from improved support during pregnancy and the postnatal period, while the healthcare system benefits from reduced complications and more efficient use of resources. Despite ongoing challenges, community antenatal midwifery services remain essential in promoting maternal wellbeing, strengthening family support networks and contributing to safer pregnancy outcomes.</w:t>
      </w:r>
    </w:p>
    <w:p w14:paraId="5C05A186" w14:textId="77777777" w:rsidR="00205ADB" w:rsidRPr="00205ADB" w:rsidRDefault="00205ADB" w:rsidP="00205ADB">
      <w:pPr>
        <w:spacing w:line="360" w:lineRule="auto"/>
        <w:rPr>
          <w:rFonts w:ascii="Arial" w:hAnsi="Arial" w:cs="Arial"/>
          <w:b/>
          <w:bCs/>
          <w:sz w:val="24"/>
          <w:szCs w:val="24"/>
        </w:rPr>
      </w:pPr>
      <w:r w:rsidRPr="00205ADB">
        <w:rPr>
          <w:rFonts w:ascii="Arial" w:hAnsi="Arial" w:cs="Arial"/>
          <w:b/>
          <w:bCs/>
          <w:sz w:val="24"/>
          <w:szCs w:val="24"/>
        </w:rPr>
        <w:t>Conclusion</w:t>
      </w:r>
    </w:p>
    <w:p w14:paraId="36D97813" w14:textId="5F127DBA" w:rsidR="00A96B2E" w:rsidRPr="00205ADB" w:rsidRDefault="00205ADB" w:rsidP="00205ADB">
      <w:pPr>
        <w:spacing w:line="360" w:lineRule="auto"/>
        <w:rPr>
          <w:rFonts w:ascii="Arial" w:hAnsi="Arial" w:cs="Arial"/>
          <w:sz w:val="24"/>
          <w:szCs w:val="24"/>
        </w:rPr>
      </w:pPr>
      <w:r w:rsidRPr="00205ADB">
        <w:rPr>
          <w:rFonts w:ascii="Arial" w:hAnsi="Arial" w:cs="Arial"/>
          <w:sz w:val="24"/>
          <w:szCs w:val="24"/>
        </w:rPr>
        <w:t>In conclusion, community antenatal midwifery services have developed from early home</w:t>
      </w:r>
      <w:r w:rsidRPr="00205ADB">
        <w:rPr>
          <w:rFonts w:ascii="Cambria Math" w:hAnsi="Cambria Math" w:cs="Cambria Math"/>
          <w:sz w:val="24"/>
          <w:szCs w:val="24"/>
        </w:rPr>
        <w:t>‑</w:t>
      </w:r>
      <w:r w:rsidRPr="00205ADB">
        <w:rPr>
          <w:rFonts w:ascii="Arial" w:hAnsi="Arial" w:cs="Arial"/>
          <w:sz w:val="24"/>
          <w:szCs w:val="24"/>
        </w:rPr>
        <w:t>based interventions into a comprehensive, preventative and person</w:t>
      </w:r>
      <w:r w:rsidRPr="00205ADB">
        <w:rPr>
          <w:rFonts w:ascii="Cambria Math" w:hAnsi="Cambria Math" w:cs="Cambria Math"/>
          <w:sz w:val="24"/>
          <w:szCs w:val="24"/>
        </w:rPr>
        <w:t>‑</w:t>
      </w:r>
      <w:r w:rsidRPr="00205ADB">
        <w:rPr>
          <w:rFonts w:ascii="Arial" w:hAnsi="Arial" w:cs="Arial"/>
          <w:sz w:val="24"/>
          <w:szCs w:val="24"/>
        </w:rPr>
        <w:t>centred model of maternity care. Their historical evolution reflects wider public health priorities and the growing recognition of women’s rights and needs during pregnancy. Today, the service provides flexible, collaborative and continuity</w:t>
      </w:r>
      <w:r w:rsidRPr="00205ADB">
        <w:rPr>
          <w:rFonts w:ascii="Cambria Math" w:hAnsi="Cambria Math" w:cs="Cambria Math"/>
          <w:sz w:val="24"/>
          <w:szCs w:val="24"/>
        </w:rPr>
        <w:t>‑</w:t>
      </w:r>
      <w:r w:rsidRPr="00205ADB">
        <w:rPr>
          <w:rFonts w:ascii="Arial" w:hAnsi="Arial" w:cs="Arial"/>
          <w:sz w:val="24"/>
          <w:szCs w:val="24"/>
        </w:rPr>
        <w:t xml:space="preserve">focused care, although inequalities, staffing pressures and digital access issues continue to present challenges. Despite these limitations, community antenatal midwifery services play a crucial role in enhancing the quality of life for pregnant women by </w:t>
      </w:r>
      <w:r w:rsidRPr="00205ADB">
        <w:rPr>
          <w:rFonts w:ascii="Arial" w:hAnsi="Arial" w:cs="Arial"/>
          <w:sz w:val="24"/>
          <w:szCs w:val="24"/>
        </w:rPr>
        <w:lastRenderedPageBreak/>
        <w:t>promoting emotional wellbeing, empowering informed decision</w:t>
      </w:r>
      <w:r w:rsidRPr="00205ADB">
        <w:rPr>
          <w:rFonts w:ascii="Cambria Math" w:hAnsi="Cambria Math" w:cs="Cambria Math"/>
          <w:sz w:val="24"/>
          <w:szCs w:val="24"/>
        </w:rPr>
        <w:t>‑</w:t>
      </w:r>
      <w:r w:rsidRPr="00205ADB">
        <w:rPr>
          <w:rFonts w:ascii="Arial" w:hAnsi="Arial" w:cs="Arial"/>
          <w:sz w:val="24"/>
          <w:szCs w:val="24"/>
        </w:rPr>
        <w:t>making and supporting safer pregnancy outcomes. Continued investment and targeted improvements are essential to ensure that all women can benefit from high</w:t>
      </w:r>
      <w:r w:rsidRPr="00205ADB">
        <w:rPr>
          <w:rFonts w:ascii="Cambria Math" w:hAnsi="Cambria Math" w:cs="Cambria Math"/>
          <w:sz w:val="24"/>
          <w:szCs w:val="24"/>
        </w:rPr>
        <w:t>‑</w:t>
      </w:r>
      <w:r w:rsidRPr="00205ADB">
        <w:rPr>
          <w:rFonts w:ascii="Arial" w:hAnsi="Arial" w:cs="Arial"/>
          <w:sz w:val="24"/>
          <w:szCs w:val="24"/>
        </w:rPr>
        <w:t>quality, equitable antenatal care across the UK.</w:t>
      </w:r>
    </w:p>
    <w:p w14:paraId="2D3DE86E" w14:textId="77777777" w:rsidR="007D7B52" w:rsidRDefault="007D7B52" w:rsidP="00A661EA">
      <w:pPr>
        <w:spacing w:line="360" w:lineRule="auto"/>
        <w:rPr>
          <w:rFonts w:ascii="Arial" w:hAnsi="Arial" w:cs="Arial"/>
          <w:b/>
          <w:bCs/>
          <w:sz w:val="24"/>
          <w:szCs w:val="24"/>
        </w:rPr>
      </w:pPr>
    </w:p>
    <w:p w14:paraId="219F4FC9" w14:textId="77777777" w:rsidR="007D7B52" w:rsidRDefault="007D7B52" w:rsidP="00A661EA">
      <w:pPr>
        <w:spacing w:line="360" w:lineRule="auto"/>
        <w:rPr>
          <w:rFonts w:ascii="Arial" w:hAnsi="Arial" w:cs="Arial"/>
          <w:b/>
          <w:bCs/>
          <w:sz w:val="24"/>
          <w:szCs w:val="24"/>
        </w:rPr>
      </w:pPr>
    </w:p>
    <w:p w14:paraId="4A619DE0" w14:textId="77777777" w:rsidR="007D7B52" w:rsidRDefault="007D7B52" w:rsidP="00A661EA">
      <w:pPr>
        <w:spacing w:line="360" w:lineRule="auto"/>
        <w:rPr>
          <w:rFonts w:ascii="Arial" w:hAnsi="Arial" w:cs="Arial"/>
          <w:b/>
          <w:bCs/>
          <w:sz w:val="24"/>
          <w:szCs w:val="24"/>
        </w:rPr>
      </w:pPr>
    </w:p>
    <w:p w14:paraId="7AD12318" w14:textId="77777777" w:rsidR="007D7B52" w:rsidRDefault="007D7B52" w:rsidP="00A661EA">
      <w:pPr>
        <w:spacing w:line="360" w:lineRule="auto"/>
        <w:rPr>
          <w:rFonts w:ascii="Arial" w:hAnsi="Arial" w:cs="Arial"/>
          <w:b/>
          <w:bCs/>
          <w:sz w:val="24"/>
          <w:szCs w:val="24"/>
        </w:rPr>
      </w:pPr>
    </w:p>
    <w:p w14:paraId="5A3192B4" w14:textId="77777777" w:rsidR="007D7B52" w:rsidRDefault="007D7B52" w:rsidP="00A661EA">
      <w:pPr>
        <w:spacing w:line="360" w:lineRule="auto"/>
        <w:rPr>
          <w:rFonts w:ascii="Arial" w:hAnsi="Arial" w:cs="Arial"/>
          <w:b/>
          <w:bCs/>
          <w:sz w:val="24"/>
          <w:szCs w:val="24"/>
        </w:rPr>
      </w:pPr>
    </w:p>
    <w:p w14:paraId="39F3CDD7" w14:textId="77777777" w:rsidR="007D7B52" w:rsidRDefault="007D7B52" w:rsidP="00A661EA">
      <w:pPr>
        <w:spacing w:line="360" w:lineRule="auto"/>
        <w:rPr>
          <w:rFonts w:ascii="Arial" w:hAnsi="Arial" w:cs="Arial"/>
          <w:b/>
          <w:bCs/>
          <w:sz w:val="24"/>
          <w:szCs w:val="24"/>
        </w:rPr>
      </w:pPr>
    </w:p>
    <w:p w14:paraId="19A7FC72" w14:textId="77777777" w:rsidR="007D7B52" w:rsidRDefault="007D7B52" w:rsidP="00A661EA">
      <w:pPr>
        <w:spacing w:line="360" w:lineRule="auto"/>
        <w:rPr>
          <w:rFonts w:ascii="Arial" w:hAnsi="Arial" w:cs="Arial"/>
          <w:b/>
          <w:bCs/>
          <w:sz w:val="24"/>
          <w:szCs w:val="24"/>
        </w:rPr>
      </w:pPr>
    </w:p>
    <w:p w14:paraId="1219B88B" w14:textId="77777777" w:rsidR="007D7B52" w:rsidRDefault="007D7B52" w:rsidP="00A661EA">
      <w:pPr>
        <w:spacing w:line="360" w:lineRule="auto"/>
        <w:rPr>
          <w:rFonts w:ascii="Arial" w:hAnsi="Arial" w:cs="Arial"/>
          <w:b/>
          <w:bCs/>
          <w:sz w:val="24"/>
          <w:szCs w:val="24"/>
        </w:rPr>
      </w:pPr>
    </w:p>
    <w:p w14:paraId="6A45D2B5" w14:textId="77777777" w:rsidR="007D7B52" w:rsidRDefault="007D7B52" w:rsidP="00A661EA">
      <w:pPr>
        <w:spacing w:line="360" w:lineRule="auto"/>
        <w:rPr>
          <w:rFonts w:ascii="Arial" w:hAnsi="Arial" w:cs="Arial"/>
          <w:b/>
          <w:bCs/>
          <w:sz w:val="24"/>
          <w:szCs w:val="24"/>
        </w:rPr>
      </w:pPr>
    </w:p>
    <w:p w14:paraId="14079E0C" w14:textId="77777777" w:rsidR="007D7B52" w:rsidRDefault="007D7B52" w:rsidP="00A661EA">
      <w:pPr>
        <w:spacing w:line="360" w:lineRule="auto"/>
        <w:rPr>
          <w:rFonts w:ascii="Arial" w:hAnsi="Arial" w:cs="Arial"/>
          <w:b/>
          <w:bCs/>
          <w:sz w:val="24"/>
          <w:szCs w:val="24"/>
        </w:rPr>
      </w:pPr>
    </w:p>
    <w:p w14:paraId="52DD898D" w14:textId="77777777" w:rsidR="007D7B52" w:rsidRDefault="007D7B52" w:rsidP="00A661EA">
      <w:pPr>
        <w:spacing w:line="360" w:lineRule="auto"/>
        <w:rPr>
          <w:rFonts w:ascii="Arial" w:hAnsi="Arial" w:cs="Arial"/>
          <w:b/>
          <w:bCs/>
          <w:sz w:val="24"/>
          <w:szCs w:val="24"/>
        </w:rPr>
      </w:pPr>
    </w:p>
    <w:p w14:paraId="568B50D0" w14:textId="77777777" w:rsidR="007D7B52" w:rsidRDefault="007D7B52" w:rsidP="00A661EA">
      <w:pPr>
        <w:spacing w:line="360" w:lineRule="auto"/>
        <w:rPr>
          <w:rFonts w:ascii="Arial" w:hAnsi="Arial" w:cs="Arial"/>
          <w:b/>
          <w:bCs/>
          <w:sz w:val="24"/>
          <w:szCs w:val="24"/>
        </w:rPr>
      </w:pPr>
    </w:p>
    <w:p w14:paraId="043AD4B3" w14:textId="77777777" w:rsidR="007D7B52" w:rsidRDefault="007D7B52" w:rsidP="00A661EA">
      <w:pPr>
        <w:spacing w:line="360" w:lineRule="auto"/>
        <w:rPr>
          <w:rFonts w:ascii="Arial" w:hAnsi="Arial" w:cs="Arial"/>
          <w:b/>
          <w:bCs/>
          <w:sz w:val="24"/>
          <w:szCs w:val="24"/>
        </w:rPr>
      </w:pPr>
    </w:p>
    <w:p w14:paraId="44B515C8" w14:textId="77777777" w:rsidR="007D7B52" w:rsidRDefault="007D7B52" w:rsidP="00A661EA">
      <w:pPr>
        <w:spacing w:line="360" w:lineRule="auto"/>
        <w:rPr>
          <w:rFonts w:ascii="Arial" w:hAnsi="Arial" w:cs="Arial"/>
          <w:b/>
          <w:bCs/>
          <w:sz w:val="24"/>
          <w:szCs w:val="24"/>
        </w:rPr>
      </w:pPr>
    </w:p>
    <w:p w14:paraId="23578436" w14:textId="5FFE955E" w:rsidR="00833470" w:rsidRPr="00A661EA" w:rsidRDefault="00833470" w:rsidP="00A661EA">
      <w:pPr>
        <w:spacing w:line="360" w:lineRule="auto"/>
        <w:rPr>
          <w:rFonts w:ascii="Arial" w:hAnsi="Arial" w:cs="Arial"/>
          <w:b/>
          <w:bCs/>
          <w:sz w:val="24"/>
          <w:szCs w:val="24"/>
        </w:rPr>
      </w:pPr>
      <w:r w:rsidRPr="00A661EA">
        <w:rPr>
          <w:rFonts w:ascii="Arial" w:hAnsi="Arial" w:cs="Arial"/>
          <w:b/>
          <w:bCs/>
          <w:sz w:val="24"/>
          <w:szCs w:val="24"/>
        </w:rPr>
        <w:t>References</w:t>
      </w:r>
    </w:p>
    <w:p w14:paraId="07A056CC" w14:textId="77777777" w:rsidR="00FB177B" w:rsidRPr="00A661EA" w:rsidRDefault="00FB177B" w:rsidP="00A661EA">
      <w:pPr>
        <w:spacing w:line="360" w:lineRule="auto"/>
        <w:rPr>
          <w:rFonts w:ascii="Arial" w:hAnsi="Arial" w:cs="Arial"/>
          <w:sz w:val="24"/>
          <w:szCs w:val="24"/>
        </w:rPr>
      </w:pPr>
      <w:r w:rsidRPr="00A661EA">
        <w:rPr>
          <w:rFonts w:ascii="Arial" w:hAnsi="Arial" w:cs="Arial"/>
          <w:sz w:val="24"/>
          <w:szCs w:val="24"/>
        </w:rPr>
        <w:t xml:space="preserve">McCourt, C., Mehay, A., Wiseman, O., Lazar, J., Ajayi, R., Hamborg, T. &amp; </w:t>
      </w:r>
      <w:proofErr w:type="spellStart"/>
      <w:r w:rsidRPr="00A661EA">
        <w:rPr>
          <w:rFonts w:ascii="Arial" w:hAnsi="Arial" w:cs="Arial"/>
          <w:sz w:val="24"/>
          <w:szCs w:val="24"/>
        </w:rPr>
        <w:t>Hatherall</w:t>
      </w:r>
      <w:proofErr w:type="spellEnd"/>
      <w:r w:rsidRPr="00A661EA">
        <w:rPr>
          <w:rFonts w:ascii="Arial" w:hAnsi="Arial" w:cs="Arial"/>
          <w:sz w:val="24"/>
          <w:szCs w:val="24"/>
        </w:rPr>
        <w:t>, B. (2025) ‘Experiences of group antenatal care in the context of the NHS in England: what are the mechanisms by which it functions in this context?’, Frontiers in Global Women’s Health, 6, 1625785.</w:t>
      </w:r>
    </w:p>
    <w:p w14:paraId="2D2E7BF2" w14:textId="77777777" w:rsidR="00FB177B" w:rsidRPr="00A661EA" w:rsidRDefault="00FB177B" w:rsidP="00A661EA">
      <w:pPr>
        <w:spacing w:line="360" w:lineRule="auto"/>
        <w:rPr>
          <w:rFonts w:ascii="Arial" w:hAnsi="Arial" w:cs="Arial"/>
          <w:sz w:val="24"/>
          <w:szCs w:val="24"/>
        </w:rPr>
      </w:pPr>
      <w:r w:rsidRPr="00A661EA">
        <w:rPr>
          <w:rFonts w:ascii="Arial" w:hAnsi="Arial" w:cs="Arial"/>
          <w:sz w:val="24"/>
          <w:szCs w:val="24"/>
        </w:rPr>
        <w:t xml:space="preserve">Available at:  </w:t>
      </w:r>
      <w:hyperlink r:id="rId24" w:history="1">
        <w:r w:rsidRPr="00A661EA">
          <w:rPr>
            <w:rStyle w:val="Hyperlink"/>
            <w:rFonts w:ascii="Arial" w:hAnsi="Arial" w:cs="Arial"/>
            <w:sz w:val="24"/>
            <w:szCs w:val="24"/>
          </w:rPr>
          <w:t>https://openaccess.city.ac.uk/id/eprint/36107/</w:t>
        </w:r>
      </w:hyperlink>
    </w:p>
    <w:p w14:paraId="6B55B05A" w14:textId="2FB072FA" w:rsidR="00FB177B" w:rsidRPr="00A661EA" w:rsidRDefault="00A661EA" w:rsidP="00A661EA">
      <w:pPr>
        <w:spacing w:line="360" w:lineRule="auto"/>
        <w:rPr>
          <w:rFonts w:ascii="Arial" w:hAnsi="Arial" w:cs="Arial"/>
          <w:sz w:val="24"/>
          <w:szCs w:val="24"/>
        </w:rPr>
      </w:pPr>
      <w:r>
        <w:rPr>
          <w:rFonts w:ascii="Arial" w:hAnsi="Arial" w:cs="Arial"/>
          <w:sz w:val="24"/>
          <w:szCs w:val="24"/>
        </w:rPr>
        <w:t>(</w:t>
      </w:r>
      <w:r w:rsidR="00FB177B" w:rsidRPr="00A661EA">
        <w:rPr>
          <w:rFonts w:ascii="Arial" w:hAnsi="Arial" w:cs="Arial"/>
          <w:sz w:val="24"/>
          <w:szCs w:val="24"/>
        </w:rPr>
        <w:t>Accessed: 11 March 2026</w:t>
      </w:r>
      <w:r>
        <w:rPr>
          <w:rFonts w:ascii="Arial" w:hAnsi="Arial" w:cs="Arial"/>
          <w:sz w:val="24"/>
          <w:szCs w:val="24"/>
        </w:rPr>
        <w:t>).</w:t>
      </w:r>
    </w:p>
    <w:p w14:paraId="0A43EAE6" w14:textId="77777777" w:rsidR="00AB5357" w:rsidRPr="00A661EA" w:rsidRDefault="00AB5357" w:rsidP="00A661EA">
      <w:pPr>
        <w:spacing w:line="360" w:lineRule="auto"/>
        <w:rPr>
          <w:rFonts w:ascii="Arial" w:hAnsi="Arial" w:cs="Arial"/>
          <w:sz w:val="24"/>
          <w:szCs w:val="24"/>
        </w:rPr>
      </w:pPr>
      <w:proofErr w:type="spellStart"/>
      <w:r w:rsidRPr="00A661EA">
        <w:rPr>
          <w:rFonts w:ascii="Arial" w:hAnsi="Arial" w:cs="Arial"/>
          <w:sz w:val="24"/>
          <w:szCs w:val="24"/>
        </w:rPr>
        <w:lastRenderedPageBreak/>
        <w:t>Obionu</w:t>
      </w:r>
      <w:proofErr w:type="spellEnd"/>
      <w:r w:rsidRPr="00A661EA">
        <w:rPr>
          <w:rFonts w:ascii="Arial" w:hAnsi="Arial" w:cs="Arial"/>
          <w:sz w:val="24"/>
          <w:szCs w:val="24"/>
        </w:rPr>
        <w:t xml:space="preserve">, I.M., </w:t>
      </w:r>
      <w:proofErr w:type="spellStart"/>
      <w:r w:rsidRPr="00A661EA">
        <w:rPr>
          <w:rFonts w:ascii="Arial" w:hAnsi="Arial" w:cs="Arial"/>
          <w:sz w:val="24"/>
          <w:szCs w:val="24"/>
        </w:rPr>
        <w:t>Onyedinma</w:t>
      </w:r>
      <w:proofErr w:type="spellEnd"/>
      <w:r w:rsidRPr="00A661EA">
        <w:rPr>
          <w:rFonts w:ascii="Arial" w:hAnsi="Arial" w:cs="Arial"/>
          <w:sz w:val="24"/>
          <w:szCs w:val="24"/>
        </w:rPr>
        <w:t>, C.A., Mielewczyk, F. &amp; Boyle, E. (2023) ‘UK maternity care experiences of ethnic minority and migrant women: Systematic review’, Public Health Nursing, 40(6), pp. 846–856.</w:t>
      </w:r>
    </w:p>
    <w:p w14:paraId="6A973246" w14:textId="77777777" w:rsidR="00AB5357" w:rsidRPr="00A661EA" w:rsidRDefault="00AB5357" w:rsidP="00A661EA">
      <w:pPr>
        <w:spacing w:line="360" w:lineRule="auto"/>
        <w:rPr>
          <w:rFonts w:ascii="Arial" w:hAnsi="Arial" w:cs="Arial"/>
          <w:sz w:val="24"/>
          <w:szCs w:val="24"/>
        </w:rPr>
      </w:pPr>
      <w:r w:rsidRPr="00A661EA">
        <w:rPr>
          <w:rFonts w:ascii="Arial" w:hAnsi="Arial" w:cs="Arial"/>
          <w:sz w:val="24"/>
          <w:szCs w:val="24"/>
        </w:rPr>
        <w:t xml:space="preserve">Available at: </w:t>
      </w:r>
      <w:hyperlink r:id="rId25" w:history="1">
        <w:r w:rsidRPr="00A661EA">
          <w:rPr>
            <w:rStyle w:val="Hyperlink"/>
            <w:rFonts w:ascii="Arial" w:hAnsi="Arial" w:cs="Arial"/>
            <w:sz w:val="24"/>
            <w:szCs w:val="24"/>
          </w:rPr>
          <w:t>https://onlinelibrary.wiley.com/doi/10.1111/phn.13192</w:t>
        </w:r>
      </w:hyperlink>
    </w:p>
    <w:p w14:paraId="11CA5244" w14:textId="5F35D394" w:rsidR="00AB5357" w:rsidRPr="00A661EA" w:rsidRDefault="00805FCB" w:rsidP="00A661EA">
      <w:pPr>
        <w:spacing w:line="360" w:lineRule="auto"/>
        <w:rPr>
          <w:rFonts w:ascii="Arial" w:hAnsi="Arial" w:cs="Arial"/>
          <w:sz w:val="24"/>
          <w:szCs w:val="24"/>
        </w:rPr>
      </w:pPr>
      <w:r>
        <w:rPr>
          <w:rFonts w:ascii="Arial" w:hAnsi="Arial" w:cs="Arial"/>
          <w:sz w:val="24"/>
          <w:szCs w:val="24"/>
        </w:rPr>
        <w:t>(</w:t>
      </w:r>
      <w:r w:rsidR="00AB5357" w:rsidRPr="00A661EA">
        <w:rPr>
          <w:rFonts w:ascii="Arial" w:hAnsi="Arial" w:cs="Arial"/>
          <w:sz w:val="24"/>
          <w:szCs w:val="24"/>
        </w:rPr>
        <w:t>Accessed: 11 March 2026</w:t>
      </w:r>
      <w:r>
        <w:rPr>
          <w:rFonts w:ascii="Arial" w:hAnsi="Arial" w:cs="Arial"/>
          <w:sz w:val="24"/>
          <w:szCs w:val="24"/>
        </w:rPr>
        <w:t>)</w:t>
      </w:r>
      <w:r w:rsidR="00AB5357" w:rsidRPr="00A661EA">
        <w:rPr>
          <w:rFonts w:ascii="Arial" w:hAnsi="Arial" w:cs="Arial"/>
          <w:sz w:val="24"/>
          <w:szCs w:val="24"/>
        </w:rPr>
        <w:t>.</w:t>
      </w:r>
    </w:p>
    <w:p w14:paraId="515B6ACD" w14:textId="701C8940" w:rsidR="00FB177B" w:rsidRPr="00A661EA" w:rsidRDefault="00FB177B" w:rsidP="00A661EA">
      <w:pPr>
        <w:spacing w:line="360" w:lineRule="auto"/>
        <w:rPr>
          <w:rFonts w:ascii="Arial" w:hAnsi="Arial" w:cs="Arial"/>
          <w:sz w:val="24"/>
          <w:szCs w:val="24"/>
        </w:rPr>
      </w:pPr>
      <w:r w:rsidRPr="00A661EA">
        <w:rPr>
          <w:rFonts w:ascii="Arial" w:hAnsi="Arial" w:cs="Arial"/>
          <w:sz w:val="24"/>
          <w:szCs w:val="24"/>
        </w:rPr>
        <w:t xml:space="preserve">Wiseman, O., Emmett, L., </w:t>
      </w:r>
      <w:proofErr w:type="spellStart"/>
      <w:r w:rsidRPr="00A661EA">
        <w:rPr>
          <w:rFonts w:ascii="Arial" w:hAnsi="Arial" w:cs="Arial"/>
          <w:sz w:val="24"/>
          <w:szCs w:val="24"/>
        </w:rPr>
        <w:t>Hickford</w:t>
      </w:r>
      <w:proofErr w:type="spellEnd"/>
      <w:r w:rsidRPr="00A661EA">
        <w:rPr>
          <w:rFonts w:ascii="Arial" w:hAnsi="Arial" w:cs="Arial"/>
          <w:sz w:val="24"/>
          <w:szCs w:val="24"/>
        </w:rPr>
        <w:t>, G., Knight, M., Lazar, J., Yuill, C. &amp; McCourt, C. (2022) ‘The challenges and opportunities for implementing group antenatal care (“Pregnancy Circles”) as part of standard NHS maternity care: A co</w:t>
      </w:r>
      <w:r w:rsidRPr="00A661EA">
        <w:rPr>
          <w:rFonts w:ascii="Cambria Math" w:hAnsi="Cambria Math" w:cs="Cambria Math"/>
          <w:sz w:val="24"/>
          <w:szCs w:val="24"/>
        </w:rPr>
        <w:t>‑</w:t>
      </w:r>
      <w:r w:rsidRPr="00A661EA">
        <w:rPr>
          <w:rFonts w:ascii="Arial" w:hAnsi="Arial" w:cs="Arial"/>
          <w:sz w:val="24"/>
          <w:szCs w:val="24"/>
        </w:rPr>
        <w:t>designed qualitative study’, Midwifery, 109, 103333.</w:t>
      </w:r>
    </w:p>
    <w:p w14:paraId="3B1D08EC" w14:textId="77777777" w:rsidR="00FB177B" w:rsidRPr="00A661EA" w:rsidRDefault="00FB177B" w:rsidP="00A661EA">
      <w:pPr>
        <w:spacing w:line="360" w:lineRule="auto"/>
        <w:rPr>
          <w:rFonts w:ascii="Arial" w:hAnsi="Arial" w:cs="Arial"/>
          <w:sz w:val="24"/>
          <w:szCs w:val="24"/>
        </w:rPr>
      </w:pPr>
      <w:r w:rsidRPr="00A661EA">
        <w:rPr>
          <w:rFonts w:ascii="Arial" w:hAnsi="Arial" w:cs="Arial"/>
          <w:sz w:val="24"/>
          <w:szCs w:val="24"/>
        </w:rPr>
        <w:t xml:space="preserve">Available at:  </w:t>
      </w:r>
      <w:hyperlink r:id="rId26" w:history="1">
        <w:r w:rsidRPr="00A661EA">
          <w:rPr>
            <w:rStyle w:val="Hyperlink"/>
            <w:rFonts w:ascii="Arial" w:hAnsi="Arial" w:cs="Arial"/>
            <w:sz w:val="24"/>
            <w:szCs w:val="24"/>
          </w:rPr>
          <w:t>https://www.citystgeorges.ac.uk/news-and-events/events/2025/may/implementing-group-antenatal-care-in-england-lessons-from-the-integrated-process-evaluation-of-the-pregnancy-circles-trial</w:t>
        </w:r>
      </w:hyperlink>
    </w:p>
    <w:p w14:paraId="63EC2664" w14:textId="18527B0E" w:rsidR="00FB177B" w:rsidRPr="00A661EA" w:rsidRDefault="00805FCB" w:rsidP="00A661EA">
      <w:pPr>
        <w:spacing w:line="360" w:lineRule="auto"/>
        <w:rPr>
          <w:rFonts w:ascii="Arial" w:hAnsi="Arial" w:cs="Arial"/>
          <w:sz w:val="24"/>
          <w:szCs w:val="24"/>
        </w:rPr>
      </w:pPr>
      <w:r>
        <w:rPr>
          <w:rFonts w:ascii="Arial" w:hAnsi="Arial" w:cs="Arial"/>
          <w:sz w:val="24"/>
          <w:szCs w:val="24"/>
        </w:rPr>
        <w:t>(</w:t>
      </w:r>
      <w:r w:rsidR="00FB177B" w:rsidRPr="00A661EA">
        <w:rPr>
          <w:rFonts w:ascii="Arial" w:hAnsi="Arial" w:cs="Arial"/>
          <w:sz w:val="24"/>
          <w:szCs w:val="24"/>
        </w:rPr>
        <w:t>Accessed: 11 March 2026</w:t>
      </w:r>
      <w:r>
        <w:rPr>
          <w:rFonts w:ascii="Arial" w:hAnsi="Arial" w:cs="Arial"/>
          <w:sz w:val="24"/>
          <w:szCs w:val="24"/>
        </w:rPr>
        <w:t>)</w:t>
      </w:r>
      <w:r w:rsidR="00FB177B" w:rsidRPr="00A661EA">
        <w:rPr>
          <w:rFonts w:ascii="Arial" w:hAnsi="Arial" w:cs="Arial"/>
          <w:sz w:val="24"/>
          <w:szCs w:val="24"/>
        </w:rPr>
        <w:t>.</w:t>
      </w:r>
    </w:p>
    <w:p w14:paraId="7589B04D" w14:textId="77777777" w:rsidR="00FB177B" w:rsidRPr="00A661EA" w:rsidRDefault="00FB177B" w:rsidP="00A661EA">
      <w:pPr>
        <w:spacing w:line="360" w:lineRule="auto"/>
        <w:rPr>
          <w:rFonts w:ascii="Arial" w:hAnsi="Arial" w:cs="Arial"/>
          <w:sz w:val="24"/>
          <w:szCs w:val="24"/>
        </w:rPr>
      </w:pPr>
      <w:r w:rsidRPr="00A661EA">
        <w:rPr>
          <w:rFonts w:ascii="Arial" w:hAnsi="Arial" w:cs="Arial"/>
          <w:sz w:val="24"/>
          <w:szCs w:val="24"/>
        </w:rPr>
        <w:t>Watson, K., Barber, C., Farrant, K., McEvoy, B., Mills, T. &amp; Lavender, D.T. (2025) ‘The maternity care experiences of women living in a diverse UK urban city: a survey study’, BMC Pregnancy and Childbirth, 25(1), 744.</w:t>
      </w:r>
    </w:p>
    <w:p w14:paraId="3E3D8258" w14:textId="77777777" w:rsidR="00FB177B" w:rsidRPr="00A661EA" w:rsidRDefault="00FB177B" w:rsidP="00A661EA">
      <w:pPr>
        <w:spacing w:line="360" w:lineRule="auto"/>
        <w:rPr>
          <w:rFonts w:ascii="Arial" w:hAnsi="Arial" w:cs="Arial"/>
          <w:sz w:val="24"/>
          <w:szCs w:val="24"/>
        </w:rPr>
      </w:pPr>
      <w:r w:rsidRPr="00A661EA">
        <w:rPr>
          <w:rFonts w:ascii="Arial" w:hAnsi="Arial" w:cs="Arial"/>
          <w:sz w:val="24"/>
          <w:szCs w:val="24"/>
        </w:rPr>
        <w:t xml:space="preserve">Available at:  </w:t>
      </w:r>
      <w:hyperlink r:id="rId27" w:history="1">
        <w:r w:rsidRPr="00A661EA">
          <w:rPr>
            <w:rStyle w:val="Hyperlink"/>
            <w:rFonts w:ascii="Arial" w:hAnsi="Arial" w:cs="Arial"/>
            <w:sz w:val="24"/>
            <w:szCs w:val="24"/>
          </w:rPr>
          <w:t>https://link.springer.com/article/10.1186/s12884-025-07773-z</w:t>
        </w:r>
      </w:hyperlink>
    </w:p>
    <w:p w14:paraId="58BE33EC" w14:textId="62819B7D" w:rsidR="00FB177B" w:rsidRPr="00805FCB" w:rsidRDefault="00805FCB" w:rsidP="00A661EA">
      <w:pPr>
        <w:spacing w:line="360" w:lineRule="auto"/>
        <w:rPr>
          <w:rFonts w:ascii="Arial" w:hAnsi="Arial" w:cs="Arial"/>
          <w:sz w:val="24"/>
          <w:szCs w:val="24"/>
        </w:rPr>
      </w:pPr>
      <w:r>
        <w:rPr>
          <w:rFonts w:ascii="Arial" w:hAnsi="Arial" w:cs="Arial"/>
          <w:sz w:val="24"/>
          <w:szCs w:val="24"/>
        </w:rPr>
        <w:t>(</w:t>
      </w:r>
      <w:r w:rsidR="00FB177B" w:rsidRPr="00805FCB">
        <w:rPr>
          <w:rFonts w:ascii="Arial" w:hAnsi="Arial" w:cs="Arial"/>
          <w:sz w:val="24"/>
          <w:szCs w:val="24"/>
        </w:rPr>
        <w:t>Accessed: 11 March 2026</w:t>
      </w:r>
      <w:r>
        <w:rPr>
          <w:rFonts w:ascii="Arial" w:hAnsi="Arial" w:cs="Arial"/>
          <w:sz w:val="24"/>
          <w:szCs w:val="24"/>
        </w:rPr>
        <w:t>)</w:t>
      </w:r>
      <w:r w:rsidR="00FB177B" w:rsidRPr="00805FCB">
        <w:rPr>
          <w:rFonts w:ascii="Arial" w:hAnsi="Arial" w:cs="Arial"/>
          <w:sz w:val="24"/>
          <w:szCs w:val="24"/>
        </w:rPr>
        <w:t>.</w:t>
      </w:r>
    </w:p>
    <w:p w14:paraId="600429FE" w14:textId="77777777" w:rsidR="000A2D7E" w:rsidRPr="009A6E05" w:rsidRDefault="000A2D7E" w:rsidP="00833470">
      <w:pPr>
        <w:rPr>
          <w:rFonts w:ascii="Arial" w:hAnsi="Arial" w:cs="Arial"/>
          <w:b/>
          <w:bCs/>
          <w:sz w:val="28"/>
          <w:szCs w:val="28"/>
        </w:rPr>
      </w:pP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7C053" w14:textId="77777777" w:rsidR="000A0619" w:rsidRDefault="000A0619" w:rsidP="00BE6BE0">
      <w:pPr>
        <w:spacing w:after="0" w:line="240" w:lineRule="auto"/>
      </w:pPr>
      <w:r>
        <w:separator/>
      </w:r>
    </w:p>
  </w:endnote>
  <w:endnote w:type="continuationSeparator" w:id="0">
    <w:p w14:paraId="0F1AAFBE" w14:textId="77777777" w:rsidR="000A0619" w:rsidRDefault="000A0619"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41438" w14:textId="77777777" w:rsidR="000A0619" w:rsidRDefault="000A0619" w:rsidP="00BE6BE0">
      <w:pPr>
        <w:spacing w:after="0" w:line="240" w:lineRule="auto"/>
      </w:pPr>
      <w:r>
        <w:separator/>
      </w:r>
    </w:p>
  </w:footnote>
  <w:footnote w:type="continuationSeparator" w:id="0">
    <w:p w14:paraId="21F4688A" w14:textId="77777777" w:rsidR="000A0619" w:rsidRDefault="000A0619"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80150299" name="Picture 118015029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A0619"/>
    <w:rsid w:val="000A2D7E"/>
    <w:rsid w:val="000B22B2"/>
    <w:rsid w:val="000E2AA0"/>
    <w:rsid w:val="001117C4"/>
    <w:rsid w:val="00191EB8"/>
    <w:rsid w:val="001C2CA1"/>
    <w:rsid w:val="00205ADB"/>
    <w:rsid w:val="00226DA9"/>
    <w:rsid w:val="00253FB4"/>
    <w:rsid w:val="0027026A"/>
    <w:rsid w:val="002767BF"/>
    <w:rsid w:val="00286840"/>
    <w:rsid w:val="00287DF3"/>
    <w:rsid w:val="00330F6C"/>
    <w:rsid w:val="003A000F"/>
    <w:rsid w:val="00421F85"/>
    <w:rsid w:val="00434756"/>
    <w:rsid w:val="004363CD"/>
    <w:rsid w:val="00574C47"/>
    <w:rsid w:val="005A283B"/>
    <w:rsid w:val="0068342B"/>
    <w:rsid w:val="006A6816"/>
    <w:rsid w:val="006F1142"/>
    <w:rsid w:val="00763DC5"/>
    <w:rsid w:val="007D7B52"/>
    <w:rsid w:val="00804A7F"/>
    <w:rsid w:val="00805FCB"/>
    <w:rsid w:val="00827D8B"/>
    <w:rsid w:val="00833470"/>
    <w:rsid w:val="008F04A2"/>
    <w:rsid w:val="008F5962"/>
    <w:rsid w:val="00913D77"/>
    <w:rsid w:val="00925D5E"/>
    <w:rsid w:val="009E257B"/>
    <w:rsid w:val="00A23A9B"/>
    <w:rsid w:val="00A6165E"/>
    <w:rsid w:val="00A661EA"/>
    <w:rsid w:val="00A82690"/>
    <w:rsid w:val="00A96B2E"/>
    <w:rsid w:val="00AB5357"/>
    <w:rsid w:val="00AD5293"/>
    <w:rsid w:val="00AD7236"/>
    <w:rsid w:val="00B03455"/>
    <w:rsid w:val="00B642EF"/>
    <w:rsid w:val="00B92C76"/>
    <w:rsid w:val="00B97FE9"/>
    <w:rsid w:val="00BE6BE0"/>
    <w:rsid w:val="00C571E6"/>
    <w:rsid w:val="00C71DB9"/>
    <w:rsid w:val="00C83A82"/>
    <w:rsid w:val="00DE215F"/>
    <w:rsid w:val="00EA294A"/>
    <w:rsid w:val="00ED07D4"/>
    <w:rsid w:val="00ED0D33"/>
    <w:rsid w:val="00EF3E35"/>
    <w:rsid w:val="00F36D02"/>
    <w:rsid w:val="00F64FBC"/>
    <w:rsid w:val="00FB17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330F6C"/>
    <w:rPr>
      <w:color w:val="0563C1" w:themeColor="hyperlink"/>
      <w:u w:val="single"/>
    </w:rPr>
  </w:style>
  <w:style w:type="character" w:styleId="UnresolvedMention">
    <w:name w:val="Unresolved Mention"/>
    <w:basedOn w:val="DefaultParagraphFont"/>
    <w:uiPriority w:val="99"/>
    <w:semiHidden/>
    <w:unhideWhenUsed/>
    <w:rsid w:val="00330F6C"/>
    <w:rPr>
      <w:color w:val="605E5C"/>
      <w:shd w:val="clear" w:color="auto" w:fill="E1DFDD"/>
    </w:rPr>
  </w:style>
  <w:style w:type="paragraph" w:styleId="Revision">
    <w:name w:val="Revision"/>
    <w:hidden/>
    <w:uiPriority w:val="99"/>
    <w:semiHidden/>
    <w:rsid w:val="006F11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mdpi.com/search?q=Feasibility,+acceptability,+and+impact+of+recovery" TargetMode="External"/><Relationship Id="rId18" Type="http://schemas.openxmlformats.org/officeDocument/2006/relationships/hyperlink" Target="https://www.mdpi.com/search?q=Feasibility,+acceptability,+and+impact+of+recovery" TargetMode="External"/><Relationship Id="rId26" Type="http://schemas.openxmlformats.org/officeDocument/2006/relationships/hyperlink" Target="https://www.citystgeorges.ac.uk/news-and-events/events/2025/may/implementing-group-antenatal-care-in-england-lessons-from-the-integrated-process-evaluation-of-the-pregnancy-circles-trial" TargetMode="External"/><Relationship Id="rId3" Type="http://schemas.openxmlformats.org/officeDocument/2006/relationships/settings" Target="settings.xml"/><Relationship Id="rId21" Type="http://schemas.openxmlformats.org/officeDocument/2006/relationships/image" Target="media/image3.wmf"/><Relationship Id="rId7" Type="http://schemas.openxmlformats.org/officeDocument/2006/relationships/image" Target="media/image1.png"/><Relationship Id="rId12" Type="http://schemas.openxmlformats.org/officeDocument/2006/relationships/hyperlink" Target="https://www.sciencedirect.com/" TargetMode="External"/><Relationship Id="rId17" Type="http://schemas.openxmlformats.org/officeDocument/2006/relationships/hyperlink" Target="https://www.sciencedirect.com/" TargetMode="External"/><Relationship Id="rId25" Type="http://schemas.openxmlformats.org/officeDocument/2006/relationships/hyperlink" Target="https://onlinelibrary.wiley.com/doi/10.1111/phn.13192" TargetMode="External"/><Relationship Id="rId2" Type="http://schemas.openxmlformats.org/officeDocument/2006/relationships/styles" Target="styles.xml"/><Relationship Id="rId16" Type="http://schemas.openxmlformats.org/officeDocument/2006/relationships/hyperlink" Target="https://link.springer.com/search?query=mental+health" TargetMode="External"/><Relationship Id="rId20" Type="http://schemas.openxmlformats.org/officeDocument/2006/relationships/hyperlink" Target="https://www.scirp.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search?query=mental+health" TargetMode="External"/><Relationship Id="rId24" Type="http://schemas.openxmlformats.org/officeDocument/2006/relationships/hyperlink" Target="https://openaccess.city.ac.uk/id/eprint/36107/" TargetMode="External"/><Relationship Id="rId5" Type="http://schemas.openxmlformats.org/officeDocument/2006/relationships/footnotes" Target="footnotes.xml"/><Relationship Id="rId15" Type="http://schemas.openxmlformats.org/officeDocument/2006/relationships/hyperlink" Target="https://www.scirp.org/" TargetMode="External"/><Relationship Id="rId23" Type="http://schemas.openxmlformats.org/officeDocument/2006/relationships/image" Target="media/image5.wmf"/><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link.springer.com/journal/12889"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link.springer.com/journal/12889" TargetMode="External"/><Relationship Id="rId22" Type="http://schemas.openxmlformats.org/officeDocument/2006/relationships/image" Target="media/image4.wmf"/><Relationship Id="rId27" Type="http://schemas.openxmlformats.org/officeDocument/2006/relationships/hyperlink" Target="https://link.springer.com/article/10.1186/s12884-025-07773-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1293</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Maria Ion</cp:lastModifiedBy>
  <cp:revision>2</cp:revision>
  <dcterms:created xsi:type="dcterms:W3CDTF">2026-03-15T17:13:00Z</dcterms:created>
  <dcterms:modified xsi:type="dcterms:W3CDTF">2026-03-15T17:13:00Z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de7d5b06-8f51-4154-94a9-ba312fb61a81</vt:lpwstr>
  </property>
</Properties>
</file>