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7D7782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0D1BED">
              <w:rPr>
                <w:b/>
                <w:color w:val="auto"/>
                <w:sz w:val="32"/>
              </w:rPr>
              <w:t>Matthew Edwards</w:t>
            </w:r>
          </w:p>
          <w:p w14:paraId="44290483" w14:textId="77777777" w:rsidR="00FF6BE0" w:rsidRDefault="00FF6BE0" w:rsidP="0022001B">
            <w:pPr>
              <w:overflowPunct/>
              <w:autoSpaceDE/>
              <w:autoSpaceDN/>
              <w:adjustRightInd/>
              <w:ind w:right="-330"/>
              <w:textAlignment w:val="auto"/>
              <w:rPr>
                <w:b/>
                <w:color w:val="auto"/>
                <w:sz w:val="32"/>
              </w:rPr>
            </w:pPr>
          </w:p>
          <w:p w14:paraId="4A4B1989" w14:textId="5F08035D"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F452A9">
              <w:rPr>
                <w:b/>
                <w:color w:val="auto"/>
                <w:sz w:val="32"/>
              </w:rPr>
              <w:t xml:space="preserve"> </w:t>
            </w:r>
            <w:r w:rsidR="000D1BED">
              <w:rPr>
                <w:b/>
                <w:color w:val="auto"/>
                <w:sz w:val="32"/>
              </w:rPr>
              <w:t>1922394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w:t>
      </w:r>
      <w:proofErr w:type="gramStart"/>
      <w:r w:rsidRPr="0037A2D4">
        <w:rPr>
          <w:rFonts w:eastAsia="Arial"/>
          <w:color w:val="000000" w:themeColor="text1"/>
          <w:sz w:val="24"/>
          <w:szCs w:val="24"/>
        </w:rPr>
        <w:t>you’ve</w:t>
      </w:r>
      <w:proofErr w:type="gramEnd"/>
      <w:r w:rsidRPr="0037A2D4">
        <w:rPr>
          <w:rFonts w:eastAsia="Arial"/>
          <w:color w:val="000000" w:themeColor="text1"/>
          <w:sz w:val="24"/>
          <w:szCs w:val="24"/>
        </w:rPr>
        <w:t xml:space="preser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5749D2"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5B7C91E1" w:rsidR="00AA666E" w:rsidRDefault="00025650" w:rsidP="00FF7EBB">
      <w:pPr>
        <w:jc w:val="both"/>
        <w:rPr>
          <w:b/>
          <w:sz w:val="24"/>
          <w:szCs w:val="24"/>
        </w:rPr>
      </w:pPr>
      <w:r w:rsidRPr="00025650">
        <w:rPr>
          <w:b/>
          <w:sz w:val="24"/>
          <w:szCs w:val="24"/>
        </w:rPr>
        <w:t>ANSWER:</w:t>
      </w:r>
    </w:p>
    <w:p w14:paraId="54F556EE" w14:textId="77777777" w:rsidR="000D1BED" w:rsidRPr="00025650" w:rsidRDefault="000D1BED" w:rsidP="00FF7EBB">
      <w:pPr>
        <w:jc w:val="both"/>
        <w:rPr>
          <w:b/>
          <w:sz w:val="24"/>
          <w:szCs w:val="24"/>
        </w:rPr>
      </w:pPr>
    </w:p>
    <w:p w14:paraId="0F5F0193" w14:textId="6EDA56E5" w:rsidR="0089248D" w:rsidRDefault="0089248D" w:rsidP="0089248D">
      <w:pPr>
        <w:jc w:val="both"/>
        <w:rPr>
          <w:rFonts w:asciiTheme="minorHAnsi" w:hAnsiTheme="minorHAnsi" w:cstheme="minorHAnsi"/>
          <w:sz w:val="22"/>
          <w:szCs w:val="22"/>
          <w:lang w:val="en-US"/>
        </w:rPr>
      </w:pPr>
      <w:r w:rsidRPr="000D1BED">
        <w:rPr>
          <w:rFonts w:asciiTheme="minorHAnsi" w:hAnsiTheme="minorHAnsi" w:cstheme="minorHAnsi"/>
          <w:sz w:val="22"/>
          <w:szCs w:val="22"/>
          <w:lang w:val="en-US"/>
        </w:rPr>
        <w:t xml:space="preserve">The start of the officer training course in June to date has been a steep learning curve and has required me to adapt many aspects of my normal life and routine. The process is hugely rewarding and enjoyable, but the combination of theory, practical and adjusting to a different working pattern, has been both physically and mentally exhausting and keeping a good balance between work and home life is challenging. However, I understand the importance of maintaining personal health and happiness and managing the stresses that can occur when going through a process such as this, particularly with regards to ensuring my safe and effective operation in the police service. The coping strategies that I have applied during this time in order to develop resilience and </w:t>
      </w:r>
      <w:proofErr w:type="spellStart"/>
      <w:r w:rsidRPr="000D1BED">
        <w:rPr>
          <w:rFonts w:asciiTheme="minorHAnsi" w:hAnsiTheme="minorHAnsi" w:cstheme="minorHAnsi"/>
          <w:sz w:val="22"/>
          <w:szCs w:val="22"/>
          <w:lang w:val="en-US"/>
        </w:rPr>
        <w:t>minimise</w:t>
      </w:r>
      <w:proofErr w:type="spellEnd"/>
      <w:r w:rsidRPr="000D1BED">
        <w:rPr>
          <w:rFonts w:asciiTheme="minorHAnsi" w:hAnsiTheme="minorHAnsi" w:cstheme="minorHAnsi"/>
          <w:sz w:val="22"/>
          <w:szCs w:val="22"/>
          <w:lang w:val="en-US"/>
        </w:rPr>
        <w:t xml:space="preserve"> stress </w:t>
      </w:r>
      <w:proofErr w:type="spellStart"/>
      <w:r w:rsidRPr="000D1BED">
        <w:rPr>
          <w:rFonts w:asciiTheme="minorHAnsi" w:hAnsiTheme="minorHAnsi" w:cstheme="minorHAnsi"/>
          <w:sz w:val="22"/>
          <w:szCs w:val="22"/>
          <w:lang w:val="en-US"/>
        </w:rPr>
        <w:t>centre</w:t>
      </w:r>
      <w:proofErr w:type="spellEnd"/>
      <w:r w:rsidRPr="000D1BED">
        <w:rPr>
          <w:rFonts w:asciiTheme="minorHAnsi" w:hAnsiTheme="minorHAnsi" w:cstheme="minorHAnsi"/>
          <w:sz w:val="22"/>
          <w:szCs w:val="22"/>
          <w:lang w:val="en-US"/>
        </w:rPr>
        <w:t xml:space="preserve"> around the communication of any problems or worries that I have encountered. I am fortunate in that I have a strong network of family and friends around me for support and who I am comfortable to talk to openly about my situation, and I also know that within the force there is a strong emphasis on providing support for officers and staff via occupational health and outside </w:t>
      </w:r>
      <w:proofErr w:type="spellStart"/>
      <w:r w:rsidRPr="000D1BED">
        <w:rPr>
          <w:rFonts w:asciiTheme="minorHAnsi" w:hAnsiTheme="minorHAnsi" w:cstheme="minorHAnsi"/>
          <w:sz w:val="22"/>
          <w:szCs w:val="22"/>
          <w:lang w:val="en-US"/>
        </w:rPr>
        <w:t>organisations</w:t>
      </w:r>
      <w:proofErr w:type="spellEnd"/>
      <w:r w:rsidRPr="000D1BED">
        <w:rPr>
          <w:rFonts w:asciiTheme="minorHAnsi" w:hAnsiTheme="minorHAnsi" w:cstheme="minorHAnsi"/>
          <w:sz w:val="22"/>
          <w:szCs w:val="22"/>
          <w:lang w:val="en-US"/>
        </w:rPr>
        <w:t xml:space="preserve"> that are easily accessible. The Gwent Police has a dedicated Mental Health Support Network, which is a peer support group that can be accessed internally by any office or staff member. It also has a Mental Health Champion </w:t>
      </w:r>
      <w:proofErr w:type="spellStart"/>
      <w:r w:rsidRPr="000D1BED">
        <w:rPr>
          <w:rFonts w:asciiTheme="minorHAnsi" w:hAnsiTheme="minorHAnsi" w:cstheme="minorHAnsi"/>
          <w:sz w:val="22"/>
          <w:szCs w:val="22"/>
          <w:lang w:val="en-US"/>
        </w:rPr>
        <w:t>programme</w:t>
      </w:r>
      <w:proofErr w:type="spellEnd"/>
      <w:r w:rsidRPr="000D1BED">
        <w:rPr>
          <w:rFonts w:asciiTheme="minorHAnsi" w:hAnsiTheme="minorHAnsi" w:cstheme="minorHAnsi"/>
          <w:sz w:val="22"/>
          <w:szCs w:val="22"/>
          <w:lang w:val="en-US"/>
        </w:rPr>
        <w:t xml:space="preserve"> that, through trained volunteers, provides peer support and guidance to colleagues who may be living with a mental health condition. The Gwent Police Service has also invested in areas such as mental health first aid training, and trauma resilience and management training for frontline police constables and sergeants who may encounter potentially traumatic scenes and events (TRIM). I have been actively encouraged to talk to my colleagues at each stage of the training and this level of support has been hugely reassuring and allowed me to operate at my best. It gives me confidence in the knowledge that if I did experience a traumatic incident or begin to feel a deterioration in my mental health for whatever reason, the support is there, without judgement, should I require it. In addition to communication, I</w:t>
      </w:r>
      <w:r w:rsidR="000D1BED">
        <w:rPr>
          <w:rFonts w:asciiTheme="minorHAnsi" w:hAnsiTheme="minorHAnsi" w:cstheme="minorHAnsi"/>
          <w:sz w:val="22"/>
          <w:szCs w:val="22"/>
          <w:lang w:val="en-US"/>
        </w:rPr>
        <w:t xml:space="preserve"> am</w:t>
      </w:r>
      <w:r w:rsidRPr="000D1BED">
        <w:rPr>
          <w:rFonts w:asciiTheme="minorHAnsi" w:hAnsiTheme="minorHAnsi" w:cstheme="minorHAnsi"/>
          <w:sz w:val="22"/>
          <w:szCs w:val="22"/>
          <w:lang w:val="en-US"/>
        </w:rPr>
        <w:t xml:space="preserve"> a firm believer in the saying ‘healthy body healthy mind’ and that there is a strong relationship between exercise and psychological wellbeing. I am a keen road cyclist and do regular gym sessions, and </w:t>
      </w:r>
      <w:proofErr w:type="gramStart"/>
      <w:r w:rsidRPr="000D1BED">
        <w:rPr>
          <w:rFonts w:asciiTheme="minorHAnsi" w:hAnsiTheme="minorHAnsi" w:cstheme="minorHAnsi"/>
          <w:sz w:val="22"/>
          <w:szCs w:val="22"/>
          <w:lang w:val="en-US"/>
        </w:rPr>
        <w:t>both of these</w:t>
      </w:r>
      <w:proofErr w:type="gramEnd"/>
      <w:r w:rsidRPr="000D1BED">
        <w:rPr>
          <w:rFonts w:asciiTheme="minorHAnsi" w:hAnsiTheme="minorHAnsi" w:cstheme="minorHAnsi"/>
          <w:sz w:val="22"/>
          <w:szCs w:val="22"/>
          <w:lang w:val="en-US"/>
        </w:rPr>
        <w:t xml:space="preserve"> hobbies allow me to reflect on my day, clear my mind and maintain a good level of perspective. This helps to alleviate any negativity in my mood and enables me to mentally and emotionally cope with any situations I encounter on a day-to-day basis. I am confident that if I carry on employing these methods of managing any physical and mental work pressures then I will be able to continue to perform effectively and safely within the police service.</w:t>
      </w:r>
    </w:p>
    <w:p w14:paraId="4944838E" w14:textId="6477BBDF" w:rsidR="000D1BED" w:rsidRDefault="000D1BED" w:rsidP="0089248D">
      <w:pPr>
        <w:jc w:val="both"/>
        <w:rPr>
          <w:rFonts w:asciiTheme="minorHAnsi" w:hAnsiTheme="minorHAnsi" w:cstheme="minorHAnsi"/>
          <w:sz w:val="22"/>
          <w:szCs w:val="22"/>
          <w:lang w:val="en-US"/>
        </w:rPr>
      </w:pPr>
    </w:p>
    <w:p w14:paraId="606F3952" w14:textId="3BF0CDD6" w:rsidR="000D1BED" w:rsidRPr="000D1BED" w:rsidRDefault="000D1BED" w:rsidP="000D1BED">
      <w:pPr>
        <w:jc w:val="right"/>
        <w:rPr>
          <w:rFonts w:asciiTheme="minorHAnsi" w:hAnsiTheme="minorHAnsi" w:cstheme="minorHAnsi"/>
          <w:b/>
          <w:bCs/>
          <w:sz w:val="22"/>
          <w:szCs w:val="22"/>
          <w:lang w:val="en-US"/>
        </w:rPr>
      </w:pPr>
      <w:r w:rsidRPr="000D1BED">
        <w:rPr>
          <w:rFonts w:asciiTheme="minorHAnsi" w:hAnsiTheme="minorHAnsi" w:cstheme="minorHAnsi"/>
          <w:b/>
          <w:bCs/>
          <w:sz w:val="22"/>
          <w:szCs w:val="22"/>
          <w:lang w:val="en-US"/>
        </w:rPr>
        <w:t>[Word count: 486]</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0089248D">
      <w:pPr>
        <w:ind w:left="2880" w:firstLine="720"/>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62FE5CAF">
              <w:rPr>
                <w:sz w:val="24"/>
                <w:szCs w:val="24"/>
              </w:rPr>
              <w:t>e.g.</w:t>
            </w:r>
            <w:proofErr w:type="gramEnd"/>
            <w:r w:rsidRPr="62FE5CAF">
              <w:rPr>
                <w:sz w:val="24"/>
                <w:szCs w:val="24"/>
              </w:rPr>
              <w:t xml:space="preserve">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201570F2" w:rsidR="00450C83" w:rsidRDefault="00450C83" w:rsidP="00450C83">
      <w:pPr>
        <w:jc w:val="both"/>
        <w:rPr>
          <w:b/>
          <w:sz w:val="24"/>
          <w:szCs w:val="24"/>
        </w:rPr>
      </w:pPr>
      <w:r w:rsidRPr="00450C83">
        <w:rPr>
          <w:b/>
          <w:sz w:val="24"/>
          <w:szCs w:val="24"/>
        </w:rPr>
        <w:t>ANSWER:</w:t>
      </w:r>
    </w:p>
    <w:p w14:paraId="719AC476" w14:textId="77777777" w:rsidR="000D1BED" w:rsidRPr="00450C83" w:rsidRDefault="000D1BED" w:rsidP="00450C83">
      <w:pPr>
        <w:jc w:val="both"/>
        <w:rPr>
          <w:b/>
          <w:sz w:val="24"/>
          <w:szCs w:val="24"/>
        </w:rPr>
      </w:pPr>
    </w:p>
    <w:p w14:paraId="1DB07350" w14:textId="77777777" w:rsidR="0089248D" w:rsidRPr="00815C05" w:rsidRDefault="0089248D" w:rsidP="0089248D">
      <w:pPr>
        <w:jc w:val="both"/>
        <w:rPr>
          <w:rFonts w:asciiTheme="minorHAnsi" w:hAnsiTheme="minorHAnsi" w:cstheme="minorHAnsi"/>
          <w:color w:val="auto"/>
          <w:sz w:val="22"/>
          <w:szCs w:val="22"/>
        </w:rPr>
      </w:pPr>
      <w:r w:rsidRPr="00815C05">
        <w:rPr>
          <w:rFonts w:asciiTheme="minorHAnsi" w:hAnsiTheme="minorHAnsi" w:cstheme="minorHAnsi"/>
          <w:color w:val="auto"/>
          <w:sz w:val="22"/>
          <w:szCs w:val="22"/>
        </w:rPr>
        <w:t xml:space="preserve">Whilst on mobile patrol we received a call for us to attend a breach of Covid-19 Regulations. I performed a Police National Computer (PNC) check on the address and ascertained the associated people and occurrences. This helped to gain a better understanding of the sort of environment, people and warning markers that we would be encountering at the address and to better inform our initial approach and contact on arrival. The address and associated people had been known to have large parties where drink/drugs were a factor. This gave us a good footing before we attended the address as to the impact factors that may affect our decision making when on the ground. Once we were at the location, we were able to gather new information and adjusted our approach to the situation accordingly. This would form part of the National Decision Model (NDM) for this incident. While approaching the property it was obvious from the amount of noise, disco lights and number of people visible through the front room window that there was a party taking place in the property. A female came to the door and, although she initially engaged with us, as a result of the agitated crowd behind her, her aggression and her resistance to us entering escalated. We calmly informed the female that we were entering as we had a power of entry under Covid-19 Regulations (College of Policing, 2020a), but our entry was resisted, so we had to use force to gain entry. On entering the property, we found </w:t>
      </w:r>
      <w:proofErr w:type="gramStart"/>
      <w:r w:rsidRPr="00815C05">
        <w:rPr>
          <w:rFonts w:asciiTheme="minorHAnsi" w:hAnsiTheme="minorHAnsi" w:cstheme="minorHAnsi"/>
          <w:color w:val="auto"/>
          <w:sz w:val="22"/>
          <w:szCs w:val="22"/>
        </w:rPr>
        <w:t>a number of</w:t>
      </w:r>
      <w:proofErr w:type="gramEnd"/>
      <w:r w:rsidRPr="00815C05">
        <w:rPr>
          <w:rFonts w:asciiTheme="minorHAnsi" w:hAnsiTheme="minorHAnsi" w:cstheme="minorHAnsi"/>
          <w:color w:val="auto"/>
          <w:sz w:val="22"/>
          <w:szCs w:val="22"/>
        </w:rPr>
        <w:t xml:space="preserve"> people in the very small hallway.</w:t>
      </w:r>
    </w:p>
    <w:p w14:paraId="15447944" w14:textId="77777777" w:rsidR="0089248D" w:rsidRPr="00815C05" w:rsidRDefault="0089248D" w:rsidP="0089248D">
      <w:pPr>
        <w:jc w:val="both"/>
        <w:rPr>
          <w:rFonts w:asciiTheme="minorHAnsi" w:hAnsiTheme="minorHAnsi" w:cstheme="minorHAnsi"/>
          <w:color w:val="auto"/>
          <w:sz w:val="22"/>
          <w:szCs w:val="22"/>
        </w:rPr>
      </w:pPr>
    </w:p>
    <w:p w14:paraId="7EECD7D4" w14:textId="6A5DD2D5" w:rsidR="0089248D" w:rsidRPr="00815C05" w:rsidRDefault="0089248D" w:rsidP="0089248D">
      <w:pPr>
        <w:jc w:val="both"/>
        <w:rPr>
          <w:rFonts w:asciiTheme="minorHAnsi" w:hAnsiTheme="minorHAnsi" w:cstheme="minorHAnsi"/>
          <w:color w:val="auto"/>
          <w:sz w:val="22"/>
          <w:szCs w:val="22"/>
        </w:rPr>
      </w:pPr>
      <w:r w:rsidRPr="00815C05">
        <w:rPr>
          <w:rFonts w:asciiTheme="minorHAnsi" w:hAnsiTheme="minorHAnsi" w:cstheme="minorHAnsi"/>
          <w:color w:val="auto"/>
          <w:sz w:val="22"/>
          <w:szCs w:val="22"/>
        </w:rPr>
        <w:t xml:space="preserve">We communicated with the crowd taking into consideration that a large proportion of effective communication comes from body movement, gestures and facial expressions, and a smaller, but </w:t>
      </w:r>
      <w:r w:rsidRPr="00815C05">
        <w:rPr>
          <w:rFonts w:asciiTheme="minorHAnsi" w:hAnsiTheme="minorHAnsi" w:cstheme="minorHAnsi"/>
          <w:color w:val="auto"/>
          <w:sz w:val="22"/>
          <w:szCs w:val="22"/>
        </w:rPr>
        <w:lastRenderedPageBreak/>
        <w:t xml:space="preserve">equally important proportion, from our speaking tone/volume and speed of delivery (Segal et al., 2020). Sometimes, simply the presence of officers is all that is needed to resolve a situation. However, this is not always the case and there are </w:t>
      </w:r>
      <w:proofErr w:type="gramStart"/>
      <w:r w:rsidRPr="00815C05">
        <w:rPr>
          <w:rFonts w:asciiTheme="minorHAnsi" w:hAnsiTheme="minorHAnsi" w:cstheme="minorHAnsi"/>
          <w:color w:val="auto"/>
          <w:sz w:val="22"/>
          <w:szCs w:val="22"/>
        </w:rPr>
        <w:t>a number of</w:t>
      </w:r>
      <w:proofErr w:type="gramEnd"/>
      <w:r w:rsidRPr="00815C05">
        <w:rPr>
          <w:rFonts w:asciiTheme="minorHAnsi" w:hAnsiTheme="minorHAnsi" w:cstheme="minorHAnsi"/>
          <w:color w:val="auto"/>
          <w:sz w:val="22"/>
          <w:szCs w:val="22"/>
        </w:rPr>
        <w:t xml:space="preserve"> strategies that can be used to try to minimise the risk factors, de-escalate the situation and avoid having to use any force. In this scenario, we had to use tactical communications and our LEAPS (listening, empathising, asking questions, paraphrasing and summarising the facts in our own words) mnemonic to try to de-escalate the situation. Most of the people within the property were compliant and left, but a few resisted and started pushing into us and thrusting mobile phones into our faces. At this point one of my colleagues had taken hold of the female aggressor and was escorting her out of the property. According to the ‘emotional versus rational brain’ theory, everyone processes information with both emotional and rational parts of the brain. We do not always choose the most rational option (Oppong, 2019). The rational brain represents your ability to reason through various options, whilst your emotional brain represents your instincts, impulses and intuition. The emotional brain makes decisions quickly and effortlessly, even though it</w:t>
      </w:r>
      <w:r w:rsidR="000D1BED" w:rsidRPr="00815C05">
        <w:rPr>
          <w:rFonts w:asciiTheme="minorHAnsi" w:hAnsiTheme="minorHAnsi" w:cstheme="minorHAnsi"/>
          <w:color w:val="auto"/>
          <w:sz w:val="22"/>
          <w:szCs w:val="22"/>
        </w:rPr>
        <w:t xml:space="preserve"> i</w:t>
      </w:r>
      <w:r w:rsidRPr="00815C05">
        <w:rPr>
          <w:rFonts w:asciiTheme="minorHAnsi" w:hAnsiTheme="minorHAnsi" w:cstheme="minorHAnsi"/>
          <w:color w:val="auto"/>
          <w:sz w:val="22"/>
          <w:szCs w:val="22"/>
        </w:rPr>
        <w:t>s often irrational</w:t>
      </w:r>
      <w:r w:rsidRPr="00815C05">
        <w:rPr>
          <w:color w:val="auto"/>
          <w:sz w:val="22"/>
          <w:szCs w:val="22"/>
        </w:rPr>
        <w:t xml:space="preserve"> </w:t>
      </w:r>
      <w:r w:rsidRPr="00815C05">
        <w:rPr>
          <w:rFonts w:asciiTheme="minorHAnsi" w:hAnsiTheme="minorHAnsi" w:cstheme="minorHAnsi"/>
          <w:color w:val="auto"/>
          <w:sz w:val="22"/>
          <w:szCs w:val="22"/>
        </w:rPr>
        <w:t xml:space="preserve">(Oppong, 2019). The female was not acting in a rational way and would not listen to any reasoning. This was in part due to her being in a highly emotional state fuelled by alcohol, drugs and the high emotions of her friends who formed the crowd around her. Her emotion was impaired and, as a result, her decision making suffered.  A subject can behave in a variety of ways when officers approach them. This ranges from compliance through verbal and passive resistance, all the way to aggressive and aggravated resistance (West Yorkshire Police, 2011). As the female got level with me, she began screaming and lunged towards me. From our Officer Safety Training (OST) training, the evidence suggests officers are more likely to be assaulted during a conflict situation when the subject is (1) hostile towards the police, (2) intoxicated through drink or drugs or (3) in a high-crime or deprived neighbourhood (College of Policing, 2019). Both 1 and 2 were applicable in this situation. Evidence also suggests that officers may then be more likely to use force in situations when the subject is (1) disrespectful or abusive towards them, (2) possesses a weapon, (3) appears intoxicated or (4) resists arrest (College of Policing, 2019). Both 1 and 3 were applicable in this </w:t>
      </w:r>
      <w:proofErr w:type="gramStart"/>
      <w:r w:rsidRPr="00815C05">
        <w:rPr>
          <w:rFonts w:asciiTheme="minorHAnsi" w:hAnsiTheme="minorHAnsi" w:cstheme="minorHAnsi"/>
          <w:color w:val="auto"/>
          <w:sz w:val="22"/>
          <w:szCs w:val="22"/>
        </w:rPr>
        <w:t>particular situation</w:t>
      </w:r>
      <w:proofErr w:type="gramEnd"/>
      <w:r w:rsidRPr="00815C05">
        <w:rPr>
          <w:rFonts w:asciiTheme="minorHAnsi" w:hAnsiTheme="minorHAnsi" w:cstheme="minorHAnsi"/>
          <w:color w:val="auto"/>
          <w:sz w:val="22"/>
          <w:szCs w:val="22"/>
        </w:rPr>
        <w:t>. In a scenario such as this, there are various warning and danger signs to look out for (College of Policing, 2019). These warnings include abruptly starting or stopping certain behaviour, direct prolonged eye contact, standing tall, entering your personal space</w:t>
      </w:r>
      <w:r w:rsidR="00CB3002" w:rsidRPr="00815C05">
        <w:rPr>
          <w:rFonts w:asciiTheme="minorHAnsi" w:hAnsiTheme="minorHAnsi" w:cstheme="minorHAnsi"/>
          <w:color w:val="auto"/>
          <w:sz w:val="22"/>
          <w:szCs w:val="22"/>
        </w:rPr>
        <w:t xml:space="preserve"> and</w:t>
      </w:r>
      <w:r w:rsidRPr="00815C05">
        <w:rPr>
          <w:rFonts w:asciiTheme="minorHAnsi" w:hAnsiTheme="minorHAnsi" w:cstheme="minorHAnsi"/>
          <w:color w:val="auto"/>
          <w:sz w:val="22"/>
          <w:szCs w:val="22"/>
        </w:rPr>
        <w:t xml:space="preserve"> directing their aggression towards you.  The danger signs that need to be looked out for are hands clenching, lips tightening, head and shoulders dropping and a sudden dip just before attacking. When danger signs are evident it is necessary to create space and move away from the subject, and, if you are able, place barriers between you and the subject and use loud positive verbal commands (College of Policing, 2019). In this incident, many of these signs were present, however, given the confined and crowded space, and the rate at which the situation escalated, moving away from or placing barriers between myself and the female were not possible and she needed to be restrained. I put my right arm across her back, took her to the ground so that she was on her knees and restrained her. I continued to restrain her for approximately 30 seconds so that my colleagues could handcuff her for both her own safety and ours. I told the female to “CALM DOWN AND STOP RESISTING”. Once handcuffed she was lifted to her feet. My colleague then escorted her to the rear of the marked </w:t>
      </w:r>
      <w:r w:rsidR="00CB3002" w:rsidRPr="00815C05">
        <w:rPr>
          <w:rFonts w:asciiTheme="minorHAnsi" w:hAnsiTheme="minorHAnsi" w:cstheme="minorHAnsi"/>
          <w:color w:val="auto"/>
          <w:sz w:val="22"/>
          <w:szCs w:val="22"/>
        </w:rPr>
        <w:t>p</w:t>
      </w:r>
      <w:r w:rsidRPr="00815C05">
        <w:rPr>
          <w:rFonts w:asciiTheme="minorHAnsi" w:hAnsiTheme="minorHAnsi" w:cstheme="minorHAnsi"/>
          <w:color w:val="auto"/>
          <w:sz w:val="22"/>
          <w:szCs w:val="22"/>
        </w:rPr>
        <w:t>olice vehicle and arrested her for a breach of the peace. Once the female was removed from the property, the crowd calmed down and, despite continuing to shout at us, they backed off. We were then able to maintain tactical communication and facilitated the removal of anybody who did not reside at the address, without having to use any further force.</w:t>
      </w:r>
    </w:p>
    <w:p w14:paraId="5F20CDB6" w14:textId="77777777" w:rsidR="0089248D" w:rsidRPr="00815C05" w:rsidRDefault="0089248D" w:rsidP="0089248D">
      <w:pPr>
        <w:jc w:val="both"/>
        <w:rPr>
          <w:rFonts w:asciiTheme="minorHAnsi" w:hAnsiTheme="minorHAnsi" w:cstheme="minorHAnsi"/>
          <w:color w:val="auto"/>
          <w:sz w:val="22"/>
          <w:szCs w:val="22"/>
        </w:rPr>
      </w:pPr>
    </w:p>
    <w:p w14:paraId="088095F6" w14:textId="77777777" w:rsidR="0089248D" w:rsidRPr="00815C05" w:rsidRDefault="0089248D" w:rsidP="0089248D">
      <w:pPr>
        <w:jc w:val="both"/>
        <w:rPr>
          <w:rFonts w:asciiTheme="minorHAnsi" w:hAnsiTheme="minorHAnsi" w:cstheme="minorHAnsi"/>
          <w:color w:val="auto"/>
          <w:sz w:val="22"/>
          <w:szCs w:val="22"/>
        </w:rPr>
      </w:pPr>
      <w:r w:rsidRPr="00815C05">
        <w:rPr>
          <w:rFonts w:asciiTheme="minorHAnsi" w:hAnsiTheme="minorHAnsi" w:cstheme="minorHAnsi"/>
          <w:color w:val="auto"/>
          <w:sz w:val="22"/>
          <w:szCs w:val="22"/>
        </w:rPr>
        <w:t xml:space="preserve">The Betari’s Box model describes how people can get locked into a vicious circle of communication based on how their attitudes and behaviour respond to each other (Mulder, 2018). It models how the attitude and behaviour of one person during an interaction affects the other person they interact with in a cyclical way. The natural outcome of this model is that if there are negative attitudes or behaviour then they will continue to escalate until there is a conflict. Within this incident the escalation affected the attitude of the group and created a ‘crowd’ focussing on the negative attitude of the subject. The </w:t>
      </w:r>
      <w:r w:rsidRPr="00815C05">
        <w:rPr>
          <w:rFonts w:asciiTheme="minorHAnsi" w:hAnsiTheme="minorHAnsi" w:cstheme="minorHAnsi"/>
          <w:color w:val="auto"/>
          <w:sz w:val="22"/>
          <w:szCs w:val="22"/>
        </w:rPr>
        <w:lastRenderedPageBreak/>
        <w:t>model is not an absolute rule and it is possible to break the cycle in various ways. If it becomes apparent that the subject is becoming involved in the cycle, then efforts should be made to remove those who are being affected before the interaction escalates to conflict. The best way is not to ‘break’ the cycle, but to not become involved in it, not to allow negative attitudes to impact on the attitude of the officers. This was achieved in this incident by removing the subject from the environment and myself. The officers involved initially had no further interaction with the main protagonists, who were removed by other officers, and were tasked with removing the rest of the crowd from the property. The ‘Drama Triangle’ model has also been considered for this scenario. This model illustrates a power game that involves three different but tightly bound together roles: Persecutor, Rescuer and Victim (De Wilde, 2003). In policing scenarios, the triangular situation would be Criminal, Police and Victim. Although in every crime there is a victim, in this conflict situation the victim would have been the neighbouring residents of the property, who would not have been directly involved. Therefore, this model would not apply in this instance.</w:t>
      </w:r>
    </w:p>
    <w:p w14:paraId="4805C5D9" w14:textId="77777777" w:rsidR="0089248D" w:rsidRPr="00815C05" w:rsidRDefault="0089248D" w:rsidP="0089248D">
      <w:pPr>
        <w:jc w:val="both"/>
        <w:rPr>
          <w:rFonts w:asciiTheme="minorHAnsi" w:hAnsiTheme="minorHAnsi" w:cstheme="minorHAnsi"/>
          <w:color w:val="auto"/>
          <w:sz w:val="22"/>
          <w:szCs w:val="22"/>
        </w:rPr>
      </w:pPr>
    </w:p>
    <w:p w14:paraId="2083FA9D" w14:textId="0FEBB98B" w:rsidR="0089248D" w:rsidRPr="00815C05" w:rsidRDefault="0089248D" w:rsidP="0089248D">
      <w:pPr>
        <w:jc w:val="both"/>
        <w:rPr>
          <w:rFonts w:asciiTheme="minorHAnsi" w:hAnsiTheme="minorHAnsi" w:cstheme="minorHAnsi"/>
          <w:color w:val="auto"/>
          <w:sz w:val="22"/>
          <w:szCs w:val="22"/>
        </w:rPr>
      </w:pPr>
      <w:r w:rsidRPr="00815C05">
        <w:rPr>
          <w:rFonts w:asciiTheme="minorHAnsi" w:hAnsiTheme="minorHAnsi" w:cstheme="minorHAnsi"/>
          <w:color w:val="auto"/>
          <w:sz w:val="22"/>
          <w:szCs w:val="22"/>
        </w:rPr>
        <w:t xml:space="preserve">What was important in this situation was that, in accordance with conflict management (College of Policing, 2019), our response as police officers was lawful and proportionate in the specific circumstances and that, </w:t>
      </w:r>
      <w:proofErr w:type="gramStart"/>
      <w:r w:rsidRPr="00815C05">
        <w:rPr>
          <w:rFonts w:asciiTheme="minorHAnsi" w:hAnsiTheme="minorHAnsi" w:cstheme="minorHAnsi"/>
          <w:color w:val="auto"/>
          <w:sz w:val="22"/>
          <w:szCs w:val="22"/>
        </w:rPr>
        <w:t>at all times</w:t>
      </w:r>
      <w:proofErr w:type="gramEnd"/>
      <w:r w:rsidRPr="00815C05">
        <w:rPr>
          <w:rFonts w:asciiTheme="minorHAnsi" w:hAnsiTheme="minorHAnsi" w:cstheme="minorHAnsi"/>
          <w:color w:val="auto"/>
          <w:sz w:val="22"/>
          <w:szCs w:val="22"/>
        </w:rPr>
        <w:t>, we acted within the powers and policies that govern a police officer’s use of force (S.3 Criminal Law Act 1967, S.117 PACE 1984, Common Law, Human Rights Act and Code of Ethics) (College of Policing, 2013</w:t>
      </w:r>
      <w:r w:rsidR="00D01A4C" w:rsidRPr="00815C05">
        <w:rPr>
          <w:rFonts w:asciiTheme="minorHAnsi" w:hAnsiTheme="minorHAnsi" w:cstheme="minorHAnsi"/>
          <w:color w:val="auto"/>
          <w:sz w:val="22"/>
          <w:szCs w:val="22"/>
        </w:rPr>
        <w:t>a</w:t>
      </w:r>
      <w:r w:rsidRPr="00815C05">
        <w:rPr>
          <w:rFonts w:asciiTheme="minorHAnsi" w:hAnsiTheme="minorHAnsi" w:cstheme="minorHAnsi"/>
          <w:color w:val="auto"/>
          <w:sz w:val="22"/>
          <w:szCs w:val="22"/>
        </w:rPr>
        <w:t>; 2020b; HM Government, 1998). The primary aim was to control and neutralise any threat in order to maintain the peace and uphold the law as safely as possible for all concerned. The level of force used was minimal, just sufficient to gain control of the subject and then remove her from the crowd. During this incident I was constantly using the NDM as new information became available. I was also referring to</w:t>
      </w:r>
      <w:r w:rsidR="008D503D">
        <w:rPr>
          <w:rFonts w:asciiTheme="minorHAnsi" w:hAnsiTheme="minorHAnsi" w:cstheme="minorHAnsi"/>
          <w:color w:val="auto"/>
          <w:sz w:val="22"/>
          <w:szCs w:val="22"/>
        </w:rPr>
        <w:t xml:space="preserve"> the</w:t>
      </w:r>
      <w:r w:rsidRPr="00815C05">
        <w:rPr>
          <w:rFonts w:asciiTheme="minorHAnsi" w:hAnsiTheme="minorHAnsi" w:cstheme="minorHAnsi"/>
          <w:color w:val="auto"/>
          <w:sz w:val="22"/>
          <w:szCs w:val="22"/>
        </w:rPr>
        <w:t xml:space="preserve"> JPLANE</w:t>
      </w:r>
      <w:r w:rsidR="00815C05">
        <w:rPr>
          <w:rFonts w:asciiTheme="minorHAnsi" w:hAnsiTheme="minorHAnsi" w:cstheme="minorHAnsi"/>
          <w:color w:val="auto"/>
          <w:sz w:val="22"/>
          <w:szCs w:val="22"/>
        </w:rPr>
        <w:t xml:space="preserve"> (justified, proportionate, legal, accountable, necessary and ethical)</w:t>
      </w:r>
      <w:r w:rsidR="008D503D">
        <w:rPr>
          <w:rFonts w:asciiTheme="minorHAnsi" w:hAnsiTheme="minorHAnsi" w:cstheme="minorHAnsi"/>
          <w:color w:val="auto"/>
          <w:sz w:val="22"/>
          <w:szCs w:val="22"/>
        </w:rPr>
        <w:t xml:space="preserve"> mnemonic</w:t>
      </w:r>
      <w:r w:rsidRPr="00815C05">
        <w:rPr>
          <w:rFonts w:asciiTheme="minorHAnsi" w:hAnsiTheme="minorHAnsi" w:cstheme="minorHAnsi"/>
          <w:color w:val="auto"/>
          <w:sz w:val="22"/>
          <w:szCs w:val="22"/>
        </w:rPr>
        <w:t xml:space="preserve"> </w:t>
      </w:r>
      <w:proofErr w:type="gramStart"/>
      <w:r w:rsidRPr="00815C05">
        <w:rPr>
          <w:rFonts w:asciiTheme="minorHAnsi" w:hAnsiTheme="minorHAnsi" w:cstheme="minorHAnsi"/>
          <w:color w:val="auto"/>
          <w:sz w:val="22"/>
          <w:szCs w:val="22"/>
        </w:rPr>
        <w:t>in regards to</w:t>
      </w:r>
      <w:proofErr w:type="gramEnd"/>
      <w:r w:rsidRPr="00815C05">
        <w:rPr>
          <w:rFonts w:asciiTheme="minorHAnsi" w:hAnsiTheme="minorHAnsi" w:cstheme="minorHAnsi"/>
          <w:color w:val="auto"/>
          <w:sz w:val="22"/>
          <w:szCs w:val="22"/>
        </w:rPr>
        <w:t xml:space="preserve"> the Human Rights of everyone who was present. After the incident I reflected on what had happened and what I could have potentially done differently. There was a lot of verbal resistance after the subject had been removed from the property. This was mainly because she had been taken to the floor to effect adequate restraint due to her aggression. This could have potentially been negated had the involved officers removed themselves from the property with her. At the time extra resources were still on route so this was not possible if we were to perform our duties to full effect.</w:t>
      </w:r>
    </w:p>
    <w:p w14:paraId="02321847" w14:textId="075C4773" w:rsidR="0089248D" w:rsidRDefault="0089248D" w:rsidP="0089248D">
      <w:pPr>
        <w:jc w:val="both"/>
        <w:rPr>
          <w:rFonts w:asciiTheme="minorHAnsi" w:hAnsiTheme="minorHAnsi" w:cstheme="minorHAnsi"/>
        </w:rPr>
      </w:pPr>
    </w:p>
    <w:p w14:paraId="453B5936" w14:textId="24AD4A84" w:rsidR="00B96989" w:rsidRPr="000D1BED" w:rsidRDefault="00B96989" w:rsidP="00B96989">
      <w:pPr>
        <w:jc w:val="right"/>
        <w:rPr>
          <w:rFonts w:asciiTheme="minorHAnsi" w:hAnsiTheme="minorHAnsi" w:cstheme="minorHAnsi"/>
          <w:b/>
          <w:bCs/>
          <w:sz w:val="22"/>
          <w:szCs w:val="22"/>
          <w:lang w:val="en-US"/>
        </w:rPr>
      </w:pPr>
      <w:r w:rsidRPr="000D1BED">
        <w:rPr>
          <w:rFonts w:asciiTheme="minorHAnsi" w:hAnsiTheme="minorHAnsi" w:cstheme="minorHAnsi"/>
          <w:b/>
          <w:bCs/>
          <w:sz w:val="22"/>
          <w:szCs w:val="22"/>
          <w:lang w:val="en-US"/>
        </w:rPr>
        <w:t xml:space="preserve">[Word count: </w:t>
      </w:r>
      <w:r w:rsidR="00076992">
        <w:rPr>
          <w:rFonts w:asciiTheme="minorHAnsi" w:hAnsiTheme="minorHAnsi" w:cstheme="minorHAnsi"/>
          <w:b/>
          <w:bCs/>
          <w:sz w:val="22"/>
          <w:szCs w:val="22"/>
          <w:lang w:val="en-US"/>
        </w:rPr>
        <w:t>157</w:t>
      </w:r>
      <w:r w:rsidR="004E7743">
        <w:rPr>
          <w:rFonts w:asciiTheme="minorHAnsi" w:hAnsiTheme="minorHAnsi" w:cstheme="minorHAnsi"/>
          <w:b/>
          <w:bCs/>
          <w:sz w:val="22"/>
          <w:szCs w:val="22"/>
          <w:lang w:val="en-US"/>
        </w:rPr>
        <w:t>6</w:t>
      </w:r>
      <w:r w:rsidRPr="000D1BED">
        <w:rPr>
          <w:rFonts w:asciiTheme="minorHAnsi" w:hAnsiTheme="minorHAnsi" w:cstheme="minorHAnsi"/>
          <w:b/>
          <w:bCs/>
          <w:sz w:val="22"/>
          <w:szCs w:val="22"/>
          <w:lang w:val="en-US"/>
        </w:rPr>
        <w:t>]</w:t>
      </w:r>
    </w:p>
    <w:p w14:paraId="7A2DAC63" w14:textId="77777777" w:rsidR="00B96989" w:rsidRDefault="00B96989" w:rsidP="00B96989">
      <w:pPr>
        <w:jc w:val="right"/>
        <w:rPr>
          <w:rFonts w:asciiTheme="minorHAnsi" w:hAnsiTheme="minorHAnsi" w:cstheme="minorHAnsi"/>
        </w:rPr>
      </w:pPr>
    </w:p>
    <w:p w14:paraId="6A73DBDF" w14:textId="77777777" w:rsidR="00AA666E" w:rsidRPr="00270EEB" w:rsidRDefault="00AA666E" w:rsidP="00FF7EBB">
      <w:pPr>
        <w:jc w:val="both"/>
        <w:rPr>
          <w:sz w:val="24"/>
          <w:szCs w:val="24"/>
        </w:rPr>
      </w:pPr>
    </w:p>
    <w:p w14:paraId="1A730B74" w14:textId="60A21B23" w:rsidR="008B28E7" w:rsidRDefault="008B28E7" w:rsidP="00FF7EBB">
      <w:pPr>
        <w:jc w:val="both"/>
        <w:rPr>
          <w:sz w:val="24"/>
          <w:szCs w:val="24"/>
        </w:rPr>
      </w:pPr>
    </w:p>
    <w:p w14:paraId="45F7FF15" w14:textId="56019BA6" w:rsidR="00DC5345" w:rsidRDefault="00DC5345" w:rsidP="00FF7EBB">
      <w:pPr>
        <w:jc w:val="both"/>
        <w:rPr>
          <w:sz w:val="24"/>
          <w:szCs w:val="24"/>
        </w:rPr>
      </w:pPr>
    </w:p>
    <w:p w14:paraId="16BD1309" w14:textId="6E90110A" w:rsidR="00DC5345" w:rsidRDefault="00DC5345" w:rsidP="00FF7EBB">
      <w:pPr>
        <w:jc w:val="both"/>
        <w:rPr>
          <w:sz w:val="24"/>
          <w:szCs w:val="24"/>
        </w:rPr>
      </w:pPr>
    </w:p>
    <w:p w14:paraId="27EAA57E" w14:textId="6FDBAC29" w:rsidR="00DC5345" w:rsidRDefault="00DC5345" w:rsidP="00FF7EBB">
      <w:pPr>
        <w:jc w:val="both"/>
        <w:rPr>
          <w:sz w:val="24"/>
          <w:szCs w:val="24"/>
        </w:rPr>
      </w:pPr>
    </w:p>
    <w:p w14:paraId="5968957B" w14:textId="1C3B81CD" w:rsidR="00DC5345" w:rsidRDefault="00DC5345" w:rsidP="00FF7EBB">
      <w:pPr>
        <w:jc w:val="both"/>
        <w:rPr>
          <w:sz w:val="24"/>
          <w:szCs w:val="24"/>
        </w:rPr>
      </w:pPr>
    </w:p>
    <w:p w14:paraId="31EF6173" w14:textId="477A59A9" w:rsidR="00DC5345" w:rsidRDefault="00DC5345" w:rsidP="00FF7EBB">
      <w:pPr>
        <w:jc w:val="both"/>
        <w:rPr>
          <w:sz w:val="24"/>
          <w:szCs w:val="24"/>
        </w:rPr>
      </w:pPr>
    </w:p>
    <w:p w14:paraId="3BCE7CEA" w14:textId="7B9AF2A6" w:rsidR="00DC5345" w:rsidRDefault="00DC5345" w:rsidP="00FF7EBB">
      <w:pPr>
        <w:jc w:val="both"/>
        <w:rPr>
          <w:sz w:val="24"/>
          <w:szCs w:val="24"/>
        </w:rPr>
      </w:pPr>
    </w:p>
    <w:p w14:paraId="025BBBC0" w14:textId="143E6887" w:rsidR="00DC5345" w:rsidRDefault="00DC5345" w:rsidP="00FF7EBB">
      <w:pPr>
        <w:jc w:val="both"/>
        <w:rPr>
          <w:sz w:val="24"/>
          <w:szCs w:val="24"/>
        </w:rPr>
      </w:pPr>
    </w:p>
    <w:p w14:paraId="393CCA3A" w14:textId="6C26F2FA" w:rsidR="00DC5345" w:rsidRDefault="00DC5345" w:rsidP="00FF7EBB">
      <w:pPr>
        <w:jc w:val="both"/>
        <w:rPr>
          <w:sz w:val="24"/>
          <w:szCs w:val="24"/>
        </w:rPr>
      </w:pPr>
    </w:p>
    <w:p w14:paraId="2D444DD8" w14:textId="306B1609" w:rsidR="00DC5345" w:rsidRDefault="00DC5345" w:rsidP="00FF7EBB">
      <w:pPr>
        <w:jc w:val="both"/>
        <w:rPr>
          <w:sz w:val="24"/>
          <w:szCs w:val="24"/>
        </w:rPr>
      </w:pPr>
    </w:p>
    <w:p w14:paraId="17392473" w14:textId="063806B4" w:rsidR="00DC5345" w:rsidRDefault="00DC5345" w:rsidP="00FF7EBB">
      <w:pPr>
        <w:jc w:val="both"/>
        <w:rPr>
          <w:sz w:val="24"/>
          <w:szCs w:val="24"/>
        </w:rPr>
      </w:pPr>
    </w:p>
    <w:p w14:paraId="2E65E056" w14:textId="155C1EE2" w:rsidR="00DC5345" w:rsidRDefault="00DC5345" w:rsidP="00FF7EBB">
      <w:pPr>
        <w:jc w:val="both"/>
        <w:rPr>
          <w:sz w:val="24"/>
          <w:szCs w:val="24"/>
        </w:rPr>
      </w:pPr>
    </w:p>
    <w:p w14:paraId="0A197D33" w14:textId="0EE4D0BE" w:rsidR="00DC5345" w:rsidRDefault="00DC5345" w:rsidP="00FF7EBB">
      <w:pPr>
        <w:jc w:val="both"/>
        <w:rPr>
          <w:sz w:val="24"/>
          <w:szCs w:val="24"/>
        </w:rPr>
      </w:pPr>
    </w:p>
    <w:p w14:paraId="7B28B9E0" w14:textId="646FB0B2" w:rsidR="00DC5345" w:rsidRDefault="00DC5345" w:rsidP="00FF7EBB">
      <w:pPr>
        <w:jc w:val="both"/>
        <w:rPr>
          <w:sz w:val="24"/>
          <w:szCs w:val="24"/>
        </w:rPr>
      </w:pPr>
    </w:p>
    <w:p w14:paraId="2BDA9347" w14:textId="7B50D2DF" w:rsidR="00DC5345" w:rsidRDefault="00DC5345" w:rsidP="00FF7EBB">
      <w:pPr>
        <w:jc w:val="both"/>
        <w:rPr>
          <w:sz w:val="24"/>
          <w:szCs w:val="24"/>
        </w:rPr>
      </w:pPr>
    </w:p>
    <w:p w14:paraId="66B6AB2C" w14:textId="08D1A210" w:rsidR="00DC5345" w:rsidRDefault="00DC5345" w:rsidP="00FF7EBB">
      <w:pPr>
        <w:jc w:val="both"/>
        <w:rPr>
          <w:sz w:val="24"/>
          <w:szCs w:val="24"/>
        </w:rPr>
      </w:pPr>
    </w:p>
    <w:p w14:paraId="6D42E294" w14:textId="39FB2C65" w:rsidR="00DC5345" w:rsidRDefault="00DC5345" w:rsidP="00FF7EBB">
      <w:pPr>
        <w:jc w:val="both"/>
        <w:rPr>
          <w:sz w:val="24"/>
          <w:szCs w:val="24"/>
        </w:rPr>
      </w:pPr>
    </w:p>
    <w:p w14:paraId="3E7AABAF" w14:textId="3BC975D5" w:rsidR="00025650" w:rsidRPr="0089248D" w:rsidRDefault="64D01D80" w:rsidP="0089248D">
      <w:pPr>
        <w:ind w:left="2880" w:firstLine="720"/>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2C6E3163" w:rsidR="00711A70" w:rsidRDefault="00711A70" w:rsidP="00711A70">
      <w:pPr>
        <w:jc w:val="both"/>
        <w:rPr>
          <w:b/>
          <w:sz w:val="24"/>
          <w:szCs w:val="24"/>
        </w:rPr>
      </w:pPr>
      <w:r w:rsidRPr="00450C83">
        <w:rPr>
          <w:b/>
          <w:sz w:val="24"/>
          <w:szCs w:val="24"/>
        </w:rPr>
        <w:t>ANSWER:</w:t>
      </w:r>
    </w:p>
    <w:p w14:paraId="1A696E0C" w14:textId="77777777" w:rsidR="00CB3002" w:rsidRPr="00450C83" w:rsidRDefault="00CB3002" w:rsidP="00711A70">
      <w:pPr>
        <w:jc w:val="both"/>
        <w:rPr>
          <w:b/>
          <w:sz w:val="24"/>
          <w:szCs w:val="24"/>
        </w:rPr>
      </w:pPr>
    </w:p>
    <w:p w14:paraId="046785A5" w14:textId="41B10118" w:rsidR="006470DF" w:rsidRPr="00076992" w:rsidRDefault="006470DF" w:rsidP="006470DF">
      <w:pPr>
        <w:jc w:val="both"/>
        <w:rPr>
          <w:rFonts w:asciiTheme="minorHAnsi" w:hAnsiTheme="minorHAnsi" w:cstheme="minorHAnsi"/>
          <w:color w:val="auto"/>
          <w:sz w:val="22"/>
          <w:szCs w:val="22"/>
          <w:lang w:eastAsia="en-US"/>
        </w:rPr>
      </w:pPr>
      <w:r w:rsidRPr="00076992">
        <w:rPr>
          <w:rFonts w:asciiTheme="minorHAnsi" w:hAnsiTheme="minorHAnsi" w:cstheme="minorHAnsi"/>
          <w:color w:val="auto"/>
          <w:sz w:val="22"/>
          <w:szCs w:val="22"/>
          <w:lang w:eastAsia="en-US"/>
        </w:rPr>
        <w:t xml:space="preserve">Whilst on duty a call came in for a burglary that had taken place the previous night. The information indicated that the theft had occurred from external sheds and the perpetrator had not made any attempt to gain access to the property. The victim had explained to control that </w:t>
      </w:r>
      <w:proofErr w:type="gramStart"/>
      <w:r w:rsidRPr="00076992">
        <w:rPr>
          <w:rFonts w:asciiTheme="minorHAnsi" w:hAnsiTheme="minorHAnsi" w:cstheme="minorHAnsi"/>
          <w:color w:val="auto"/>
          <w:sz w:val="22"/>
          <w:szCs w:val="22"/>
          <w:lang w:eastAsia="en-US"/>
        </w:rPr>
        <w:t>a number of</w:t>
      </w:r>
      <w:proofErr w:type="gramEnd"/>
      <w:r w:rsidRPr="00076992">
        <w:rPr>
          <w:rFonts w:asciiTheme="minorHAnsi" w:hAnsiTheme="minorHAnsi" w:cstheme="minorHAnsi"/>
          <w:color w:val="auto"/>
          <w:sz w:val="22"/>
          <w:szCs w:val="22"/>
          <w:lang w:eastAsia="en-US"/>
        </w:rPr>
        <w:t xml:space="preserve"> power tools had been taken, totalling around £500 for the various items. On attendance at the address the victim was very distressed as </w:t>
      </w:r>
      <w:r w:rsidR="00CB3002" w:rsidRPr="00076992">
        <w:rPr>
          <w:rFonts w:asciiTheme="minorHAnsi" w:hAnsiTheme="minorHAnsi" w:cstheme="minorHAnsi"/>
          <w:color w:val="auto"/>
          <w:sz w:val="22"/>
          <w:szCs w:val="22"/>
          <w:lang w:eastAsia="en-US"/>
        </w:rPr>
        <w:t>she</w:t>
      </w:r>
      <w:r w:rsidRPr="00076992">
        <w:rPr>
          <w:rFonts w:asciiTheme="minorHAnsi" w:hAnsiTheme="minorHAnsi" w:cstheme="minorHAnsi"/>
          <w:color w:val="auto"/>
          <w:sz w:val="22"/>
          <w:szCs w:val="22"/>
          <w:lang w:eastAsia="en-US"/>
        </w:rPr>
        <w:t xml:space="preserve"> lived on </w:t>
      </w:r>
      <w:r w:rsidR="00CB3002" w:rsidRPr="00076992">
        <w:rPr>
          <w:rFonts w:asciiTheme="minorHAnsi" w:hAnsiTheme="minorHAnsi" w:cstheme="minorHAnsi"/>
          <w:color w:val="auto"/>
          <w:sz w:val="22"/>
          <w:szCs w:val="22"/>
          <w:lang w:eastAsia="en-US"/>
        </w:rPr>
        <w:t>her</w:t>
      </w:r>
      <w:r w:rsidRPr="00076992">
        <w:rPr>
          <w:rFonts w:asciiTheme="minorHAnsi" w:hAnsiTheme="minorHAnsi" w:cstheme="minorHAnsi"/>
          <w:color w:val="auto"/>
          <w:sz w:val="22"/>
          <w:szCs w:val="22"/>
          <w:lang w:eastAsia="en-US"/>
        </w:rPr>
        <w:t xml:space="preserve"> own and had someone trespassing on </w:t>
      </w:r>
      <w:r w:rsidR="00CB3002" w:rsidRPr="00076992">
        <w:rPr>
          <w:rFonts w:asciiTheme="minorHAnsi" w:hAnsiTheme="minorHAnsi" w:cstheme="minorHAnsi"/>
          <w:color w:val="auto"/>
          <w:sz w:val="22"/>
          <w:szCs w:val="22"/>
          <w:lang w:eastAsia="en-US"/>
        </w:rPr>
        <w:t>her</w:t>
      </w:r>
      <w:r w:rsidRPr="00076992">
        <w:rPr>
          <w:rFonts w:asciiTheme="minorHAnsi" w:hAnsiTheme="minorHAnsi" w:cstheme="minorHAnsi"/>
          <w:color w:val="auto"/>
          <w:sz w:val="22"/>
          <w:szCs w:val="22"/>
          <w:lang w:eastAsia="en-US"/>
        </w:rPr>
        <w:t xml:space="preserve"> property. She felt that the items should have been secure in the sheds. Having looked around the outside area and observed the damage to the garden sheds, we came across three items that were of interest to us. Namely a pair of screwdrivers, a pair of medical grade disposable gloves, located just outside the bottom boundary, and a boot print just inside the doorway of one of the sheds. We established that the screwdrivers that were found on the ground within the garden were not the property of the owners and had not been touched by them. We seized these and bagged them up for possible DNA analysis. The area behind the property boundary had no access apart from to the two properties adjacent to the victim’s house. This led us to believe that the gloves may have been used by the perpetrator, so these were also bagged up for analysis. The boot print was photographed by us and then subsequently an imprint and photos were taken by the crime science investigators (CSI). Elimination DNA samples were taken from the victim and her daughter who were the only ones who had been in the property. Samples were also taken from the two neighbours to eliminate them from the enquiry and any possible link to the gloves we had recovered. CSI also looked through any shoes that were present at the property to eliminate those from the enquiry. </w:t>
      </w:r>
    </w:p>
    <w:p w14:paraId="127EC7DC" w14:textId="77777777" w:rsidR="006470DF" w:rsidRPr="00076992" w:rsidRDefault="006470DF" w:rsidP="006470DF">
      <w:pPr>
        <w:jc w:val="both"/>
        <w:rPr>
          <w:rFonts w:asciiTheme="minorHAnsi" w:hAnsiTheme="minorHAnsi" w:cstheme="minorHAnsi"/>
          <w:color w:val="auto"/>
          <w:sz w:val="22"/>
          <w:szCs w:val="22"/>
          <w:lang w:eastAsia="en-US"/>
        </w:rPr>
      </w:pPr>
    </w:p>
    <w:p w14:paraId="24C61040" w14:textId="77777777" w:rsidR="006470DF" w:rsidRPr="00076992" w:rsidRDefault="006470DF" w:rsidP="006470DF">
      <w:pPr>
        <w:pStyle w:val="Pa12"/>
        <w:spacing w:after="100" w:afterAutospacing="1"/>
        <w:jc w:val="both"/>
        <w:rPr>
          <w:rFonts w:asciiTheme="minorHAnsi" w:hAnsiTheme="minorHAnsi" w:cstheme="minorHAnsi"/>
          <w:sz w:val="22"/>
          <w:szCs w:val="22"/>
        </w:rPr>
      </w:pPr>
      <w:r w:rsidRPr="00076992">
        <w:rPr>
          <w:rFonts w:asciiTheme="minorHAnsi" w:hAnsiTheme="minorHAnsi" w:cstheme="minorHAnsi"/>
          <w:sz w:val="22"/>
          <w:szCs w:val="22"/>
        </w:rPr>
        <w:t xml:space="preserve">While at the address I established a single point of contact for the victim within the police so that she could always deal with the same officer. We explained the process that would happen once we left so </w:t>
      </w:r>
      <w:r w:rsidRPr="00076992">
        <w:rPr>
          <w:rFonts w:asciiTheme="minorHAnsi" w:hAnsiTheme="minorHAnsi" w:cstheme="minorHAnsi"/>
          <w:sz w:val="22"/>
          <w:szCs w:val="22"/>
        </w:rPr>
        <w:lastRenderedPageBreak/>
        <w:t xml:space="preserve">that she knew what would be happening and so that she felt valued and not forgotten about. We also reassured her that she would receive regular updates. Whilst talking to the victim it was imperative to apply the policing values described in the ‘Competency and Values Framework’ (College of Policing, 2016), which are transparency, integrity, impartiality, and public service and we endeavoured to apply these in this scenario. We spoke honestly, openly and without bias with the victim, whilst giving her confidence in the process that was to come. We also went through any support that might be relevant for this incident, as well as other support options that might be useful to her that she may not have thought about or been aware of. Victims can feel vulnerable and may have been through a life changing incident. It is important that we offer the correct care and sign posting to third party agencies where necessary. Referrals can be made to or advice sought from Victim Support, Witness Care Units, the Public Protection Unit (PPU), community safety departments, neighbourhood watch, social housing providers and crime reduction officers/the neighbourhood policing team. In all situations, the age of the victim must be considered as children or elderly victims may be extremely nervous about the process and consent from the victim is acquired when needed. In recognising and addressing these needs we ensured that the victim was dealt with in the most appropriate manner. We made sure that she was aware of where to access crime prevention, safety and security advice. I then made a conscious effort to reassure the victim and assure her of the perceived likelihood of being victimised again. The presence of this single crime may shape how the victim constructs beliefs concerning other potential dangers. All this is </w:t>
      </w:r>
      <w:proofErr w:type="gramStart"/>
      <w:r w:rsidRPr="00076992">
        <w:rPr>
          <w:rFonts w:asciiTheme="minorHAnsi" w:hAnsiTheme="minorHAnsi" w:cstheme="minorHAnsi"/>
          <w:sz w:val="22"/>
          <w:szCs w:val="22"/>
        </w:rPr>
        <w:t>in an effort to</w:t>
      </w:r>
      <w:proofErr w:type="gramEnd"/>
      <w:r w:rsidRPr="00076992">
        <w:rPr>
          <w:rFonts w:asciiTheme="minorHAnsi" w:hAnsiTheme="minorHAnsi" w:cstheme="minorHAnsi"/>
          <w:sz w:val="22"/>
          <w:szCs w:val="22"/>
        </w:rPr>
        <w:t xml:space="preserve"> narrow the reassurance gap (Potter, 2004). The victim was encouraged to fill in a victim personal statement (VPS). The VPS, which is a voluntary process, gives the victim the opportunity to say how the crime has affected them physically, emotionally, psychologically, and financially. A VPS leaflet is always given and can be made at the time or any time after the incident. The VPS places the victim at the centre of policing and makes them feel more involved in the handling of the case. It uses their views to make an informed decision on bail and bail conditions, identifies intimidation and builds public confidence in the criminal justice system (Ministry of Justice, 2013a).</w:t>
      </w:r>
    </w:p>
    <w:p w14:paraId="5D6A2C1C" w14:textId="77777777" w:rsidR="006470DF" w:rsidRPr="00076992" w:rsidRDefault="006470DF" w:rsidP="006470DF">
      <w:pPr>
        <w:jc w:val="both"/>
        <w:rPr>
          <w:rFonts w:asciiTheme="minorHAnsi" w:hAnsiTheme="minorHAnsi" w:cstheme="minorHAnsi"/>
          <w:color w:val="auto"/>
          <w:sz w:val="22"/>
          <w:szCs w:val="22"/>
        </w:rPr>
      </w:pPr>
      <w:r w:rsidRPr="00076992">
        <w:rPr>
          <w:rFonts w:asciiTheme="minorHAnsi" w:hAnsiTheme="minorHAnsi" w:cstheme="minorHAnsi"/>
          <w:color w:val="auto"/>
          <w:sz w:val="22"/>
          <w:szCs w:val="22"/>
          <w:lang w:eastAsia="en-US"/>
        </w:rPr>
        <w:t>The Code of Practice for Victims of Crime (Ministry of Justice, 2015a)</w:t>
      </w:r>
      <w:r w:rsidRPr="00076992">
        <w:rPr>
          <w:rFonts w:asciiTheme="minorHAnsi" w:hAnsiTheme="minorHAnsi" w:cstheme="minorHAnsi"/>
          <w:color w:val="auto"/>
          <w:sz w:val="22"/>
          <w:szCs w:val="22"/>
        </w:rPr>
        <w:t xml:space="preserve"> </w:t>
      </w:r>
      <w:r w:rsidRPr="00076992">
        <w:rPr>
          <w:rFonts w:asciiTheme="minorHAnsi" w:hAnsiTheme="minorHAnsi" w:cstheme="minorHAnsi"/>
          <w:color w:val="auto"/>
          <w:sz w:val="22"/>
          <w:szCs w:val="22"/>
          <w:lang w:eastAsia="en-US"/>
        </w:rPr>
        <w:t xml:space="preserve">forms an essential part of the wider Government strategy to transform the criminal justice system by putting victims first, making the system more responsive and more accessible. The Victims’ Code </w:t>
      </w:r>
      <w:r w:rsidRPr="00076992">
        <w:rPr>
          <w:rFonts w:asciiTheme="minorHAnsi" w:hAnsiTheme="minorHAnsi" w:cstheme="minorHAnsi"/>
          <w:color w:val="auto"/>
          <w:sz w:val="22"/>
          <w:szCs w:val="22"/>
        </w:rPr>
        <w:t>sets out a minimum level of service that criminal justice agencies must provide to victims of crime, including families bereaved by crime, and is a set of guidelines designed to make sure victims of crime are given the best advice and support from the moment they report a crime to the sentencing of an offender. In accordance with the Victims’ Code, during this incident we ensured that the victim of this crime was treated respectfully, sensitively and in a professional manner, without any kind of discrimination. Furthermore, in line with the Victims’ Code, the victim was entitled to receive information about local support services and contact details for these services in their area were provided. Following their consent, we also made sure the victim’s contact details were passed to the appropriate local victims’ service organisation. We wanted to make sure the victim was given the appropriate support to cope with what had happened to her and to recover from it, this included advice on how to protect herself from being victimised in the future. The code represents a minimum level of service and agencies can decide whether they wish to provide a service that goes beyond the minimum level (Ministry of Justice, 2015a)</w:t>
      </w:r>
    </w:p>
    <w:p w14:paraId="4D2B053D" w14:textId="77777777" w:rsidR="006470DF" w:rsidRPr="00076992" w:rsidRDefault="006470DF" w:rsidP="006470DF">
      <w:pPr>
        <w:jc w:val="both"/>
        <w:rPr>
          <w:rFonts w:asciiTheme="minorHAnsi" w:hAnsiTheme="minorHAnsi" w:cstheme="minorHAnsi"/>
          <w:color w:val="auto"/>
          <w:sz w:val="22"/>
          <w:szCs w:val="22"/>
        </w:rPr>
      </w:pPr>
    </w:p>
    <w:p w14:paraId="55885AA0" w14:textId="08F1EC57" w:rsidR="008B28E7" w:rsidRPr="00076992" w:rsidRDefault="006470DF" w:rsidP="00DC5345">
      <w:pPr>
        <w:jc w:val="both"/>
        <w:rPr>
          <w:rFonts w:asciiTheme="minorHAnsi" w:hAnsiTheme="minorHAnsi" w:cstheme="minorHAnsi"/>
          <w:color w:val="auto"/>
          <w:sz w:val="22"/>
          <w:szCs w:val="22"/>
        </w:rPr>
      </w:pPr>
      <w:r w:rsidRPr="00076992">
        <w:rPr>
          <w:rFonts w:asciiTheme="minorHAnsi" w:hAnsiTheme="minorHAnsi" w:cstheme="minorHAnsi"/>
          <w:color w:val="auto"/>
          <w:sz w:val="22"/>
          <w:szCs w:val="22"/>
        </w:rPr>
        <w:t xml:space="preserve">Should the case go to court, the Witness Charter is a commitment made by the criminal justice system to meet the needs of witnesses (Ministry of Justice, 2013b). It is based on 34 standards which set out the level of service that witnesses can expect to receive at every stage of the criminal justice process. The charter applies to all who provide services to witnesses in criminal proceedings, this includes the police, witness care units, the Crown Prosecution Service, Her Majesty’s Courts and Tribunals Service and the Court Based Witness Service (Ministry of Justice, 2013b). The charter helps to achieve the best evidence in criminal proceedings and ensures victims and witnesses are happy and confident to attend court dates. Various things can impact the quality and value of the evidence given. Examples of these </w:t>
      </w:r>
      <w:r w:rsidRPr="00076992">
        <w:rPr>
          <w:rFonts w:asciiTheme="minorHAnsi" w:hAnsiTheme="minorHAnsi" w:cstheme="minorHAnsi"/>
          <w:color w:val="auto"/>
          <w:sz w:val="22"/>
          <w:szCs w:val="22"/>
        </w:rPr>
        <w:lastRenderedPageBreak/>
        <w:t>can be age, mental health, physical disability, and significant impairment of social functioning (Ministry of Justice, 2013b). Indicators that we needed to look out for when taking the statement in this incident, and in any circumstance where a statement is required, included a difficulty in communicating without assistance, difficulty in understanding speech, an inappropriate response to questions, appearing to focus on irrelevant points and getting confused by what is said or happening. None of these were evident in this instance. Other factors can be that the witness is being intimidated, so although they have provided information about the incident, they are unwilling to provide a statement due to the real or perceived threat from the offender (The Crown Prosecution Service, 2017). This can be because they know the offender or because they live within a community that has a history of conflict with the police, therefore causing them issues because they have been seen to help the authorities. The victim must be assured that their details will always remain confidential and that their address and other personal sensitive information will never be made available to suspects or offenders. When and if attending court, we would make the victim aware that they do not have to see the perpetrator if they do not wish to. There are various measures that are available to help with this, from screening the witness from the accused, giving evidence by video link, giving evidence in private, using a recorded interview and in some instances, especially where minors are involved, removal of wigs and gowns in the court room to make it less intimidating to the witness (The Crown Prosecution Service, 2017).</w:t>
      </w:r>
    </w:p>
    <w:p w14:paraId="44048957" w14:textId="7D15B03C" w:rsidR="009F34AB" w:rsidRDefault="009F34AB" w:rsidP="00DC5345">
      <w:pPr>
        <w:jc w:val="both"/>
        <w:rPr>
          <w:rFonts w:asciiTheme="minorHAnsi" w:hAnsiTheme="minorHAnsi" w:cstheme="minorHAnsi"/>
          <w:color w:val="auto"/>
          <w:sz w:val="22"/>
          <w:szCs w:val="22"/>
        </w:rPr>
      </w:pPr>
    </w:p>
    <w:p w14:paraId="4416E1A3" w14:textId="50401613" w:rsidR="009F34AB" w:rsidRPr="009F34AB" w:rsidRDefault="009F34AB" w:rsidP="009F34AB">
      <w:pPr>
        <w:jc w:val="right"/>
        <w:rPr>
          <w:rFonts w:asciiTheme="minorHAnsi" w:hAnsiTheme="minorHAnsi" w:cstheme="minorHAnsi"/>
          <w:b/>
          <w:bCs/>
          <w:color w:val="auto"/>
          <w:sz w:val="22"/>
          <w:szCs w:val="22"/>
        </w:rPr>
      </w:pPr>
      <w:r w:rsidRPr="009F34AB">
        <w:rPr>
          <w:rFonts w:asciiTheme="minorHAnsi" w:hAnsiTheme="minorHAnsi" w:cstheme="minorHAnsi"/>
          <w:b/>
          <w:bCs/>
          <w:color w:val="auto"/>
          <w:sz w:val="22"/>
          <w:szCs w:val="22"/>
        </w:rPr>
        <w:t>[Word count: 1432]</w:t>
      </w:r>
    </w:p>
    <w:p w14:paraId="4804E67F" w14:textId="7F0B7990" w:rsidR="009F34AB" w:rsidRDefault="009F34AB" w:rsidP="00DC5345">
      <w:pPr>
        <w:jc w:val="both"/>
        <w:rPr>
          <w:rFonts w:asciiTheme="minorHAnsi" w:hAnsiTheme="minorHAnsi" w:cstheme="minorHAnsi"/>
          <w:color w:val="auto"/>
          <w:sz w:val="22"/>
          <w:szCs w:val="22"/>
        </w:rPr>
      </w:pPr>
    </w:p>
    <w:p w14:paraId="76438AEF" w14:textId="1835FC52" w:rsidR="009F34AB" w:rsidRDefault="009F34AB" w:rsidP="00DC5345">
      <w:pPr>
        <w:jc w:val="both"/>
        <w:rPr>
          <w:rFonts w:asciiTheme="minorHAnsi" w:hAnsiTheme="minorHAnsi" w:cstheme="minorHAnsi"/>
          <w:color w:val="auto"/>
          <w:sz w:val="22"/>
          <w:szCs w:val="22"/>
        </w:rPr>
      </w:pPr>
    </w:p>
    <w:p w14:paraId="6A1D9540" w14:textId="0BF3B2B0" w:rsidR="009F34AB" w:rsidRDefault="009F34AB" w:rsidP="00DC5345">
      <w:pPr>
        <w:jc w:val="both"/>
        <w:rPr>
          <w:rFonts w:asciiTheme="minorHAnsi" w:hAnsiTheme="minorHAnsi" w:cstheme="minorHAnsi"/>
          <w:color w:val="auto"/>
          <w:sz w:val="22"/>
          <w:szCs w:val="22"/>
        </w:rPr>
      </w:pPr>
    </w:p>
    <w:p w14:paraId="1F1AB5C6" w14:textId="5EBC2A5F" w:rsidR="009F34AB" w:rsidRDefault="009F34AB" w:rsidP="00DC5345">
      <w:pPr>
        <w:jc w:val="both"/>
        <w:rPr>
          <w:rFonts w:asciiTheme="minorHAnsi" w:hAnsiTheme="minorHAnsi" w:cstheme="minorHAnsi"/>
          <w:color w:val="auto"/>
          <w:sz w:val="22"/>
          <w:szCs w:val="22"/>
        </w:rPr>
      </w:pPr>
    </w:p>
    <w:p w14:paraId="73B25640" w14:textId="1BA3C9FE" w:rsidR="009F34AB" w:rsidRDefault="009F34AB" w:rsidP="00DC5345">
      <w:pPr>
        <w:jc w:val="both"/>
        <w:rPr>
          <w:rFonts w:asciiTheme="minorHAnsi" w:hAnsiTheme="minorHAnsi" w:cstheme="minorHAnsi"/>
          <w:color w:val="auto"/>
          <w:sz w:val="22"/>
          <w:szCs w:val="22"/>
        </w:rPr>
      </w:pPr>
    </w:p>
    <w:p w14:paraId="7588C8BF" w14:textId="1B8A3F6D" w:rsidR="009F34AB" w:rsidRDefault="009F34AB" w:rsidP="00DC5345">
      <w:pPr>
        <w:jc w:val="both"/>
        <w:rPr>
          <w:rFonts w:asciiTheme="minorHAnsi" w:hAnsiTheme="minorHAnsi" w:cstheme="minorHAnsi"/>
          <w:color w:val="auto"/>
          <w:sz w:val="22"/>
          <w:szCs w:val="22"/>
        </w:rPr>
      </w:pPr>
    </w:p>
    <w:p w14:paraId="21AFEBC7" w14:textId="74F4E717" w:rsidR="009F34AB" w:rsidRDefault="009F34AB" w:rsidP="00DC5345">
      <w:pPr>
        <w:jc w:val="both"/>
        <w:rPr>
          <w:rFonts w:asciiTheme="minorHAnsi" w:hAnsiTheme="minorHAnsi" w:cstheme="minorHAnsi"/>
          <w:color w:val="auto"/>
          <w:sz w:val="22"/>
          <w:szCs w:val="22"/>
        </w:rPr>
      </w:pPr>
    </w:p>
    <w:p w14:paraId="7252473A" w14:textId="59836F3C" w:rsidR="009F34AB" w:rsidRDefault="009F34AB" w:rsidP="00DC5345">
      <w:pPr>
        <w:jc w:val="both"/>
        <w:rPr>
          <w:rFonts w:asciiTheme="minorHAnsi" w:hAnsiTheme="minorHAnsi" w:cstheme="minorHAnsi"/>
          <w:color w:val="auto"/>
          <w:sz w:val="22"/>
          <w:szCs w:val="22"/>
        </w:rPr>
      </w:pPr>
    </w:p>
    <w:p w14:paraId="224F31AE" w14:textId="5331B4BB" w:rsidR="009F34AB" w:rsidRDefault="009F34AB" w:rsidP="00DC5345">
      <w:pPr>
        <w:jc w:val="both"/>
        <w:rPr>
          <w:rFonts w:asciiTheme="minorHAnsi" w:hAnsiTheme="minorHAnsi" w:cstheme="minorHAnsi"/>
          <w:color w:val="auto"/>
          <w:sz w:val="22"/>
          <w:szCs w:val="22"/>
        </w:rPr>
      </w:pPr>
    </w:p>
    <w:p w14:paraId="34EF3F94" w14:textId="5966DBD8" w:rsidR="009F34AB" w:rsidRDefault="009F34AB" w:rsidP="00DC5345">
      <w:pPr>
        <w:jc w:val="both"/>
        <w:rPr>
          <w:rFonts w:asciiTheme="minorHAnsi" w:hAnsiTheme="minorHAnsi" w:cstheme="minorHAnsi"/>
          <w:color w:val="auto"/>
          <w:sz w:val="22"/>
          <w:szCs w:val="22"/>
        </w:rPr>
      </w:pPr>
    </w:p>
    <w:p w14:paraId="5A0CC775" w14:textId="374CB31D" w:rsidR="009F34AB" w:rsidRDefault="009F34AB" w:rsidP="00DC5345">
      <w:pPr>
        <w:jc w:val="both"/>
        <w:rPr>
          <w:rFonts w:asciiTheme="minorHAnsi" w:hAnsiTheme="minorHAnsi" w:cstheme="minorHAnsi"/>
          <w:color w:val="auto"/>
          <w:sz w:val="22"/>
          <w:szCs w:val="22"/>
        </w:rPr>
      </w:pPr>
    </w:p>
    <w:p w14:paraId="148030AF" w14:textId="14D8788D" w:rsidR="009F34AB" w:rsidRDefault="009F34AB" w:rsidP="00DC5345">
      <w:pPr>
        <w:jc w:val="both"/>
        <w:rPr>
          <w:rFonts w:asciiTheme="minorHAnsi" w:hAnsiTheme="minorHAnsi" w:cstheme="minorHAnsi"/>
          <w:color w:val="auto"/>
          <w:sz w:val="22"/>
          <w:szCs w:val="22"/>
        </w:rPr>
      </w:pPr>
    </w:p>
    <w:p w14:paraId="4F957DEE" w14:textId="350D02F5" w:rsidR="009F34AB" w:rsidRDefault="009F34AB" w:rsidP="00DC5345">
      <w:pPr>
        <w:jc w:val="both"/>
        <w:rPr>
          <w:rFonts w:asciiTheme="minorHAnsi" w:hAnsiTheme="minorHAnsi" w:cstheme="minorHAnsi"/>
          <w:color w:val="auto"/>
          <w:sz w:val="22"/>
          <w:szCs w:val="22"/>
        </w:rPr>
      </w:pPr>
    </w:p>
    <w:p w14:paraId="4F372F45" w14:textId="131D41BC" w:rsidR="009F34AB" w:rsidRDefault="009F34AB" w:rsidP="00DC5345">
      <w:pPr>
        <w:jc w:val="both"/>
        <w:rPr>
          <w:rFonts w:asciiTheme="minorHAnsi" w:hAnsiTheme="minorHAnsi" w:cstheme="minorHAnsi"/>
          <w:color w:val="auto"/>
          <w:sz w:val="22"/>
          <w:szCs w:val="22"/>
        </w:rPr>
      </w:pPr>
    </w:p>
    <w:p w14:paraId="646F90B4" w14:textId="270F2734" w:rsidR="009F34AB" w:rsidRDefault="009F34AB" w:rsidP="00DC5345">
      <w:pPr>
        <w:jc w:val="both"/>
        <w:rPr>
          <w:rFonts w:asciiTheme="minorHAnsi" w:hAnsiTheme="minorHAnsi" w:cstheme="minorHAnsi"/>
          <w:color w:val="auto"/>
          <w:sz w:val="22"/>
          <w:szCs w:val="22"/>
        </w:rPr>
      </w:pPr>
    </w:p>
    <w:p w14:paraId="0B5FB941" w14:textId="7252B167" w:rsidR="009F34AB" w:rsidRDefault="009F34AB" w:rsidP="00DC5345">
      <w:pPr>
        <w:jc w:val="both"/>
        <w:rPr>
          <w:rFonts w:asciiTheme="minorHAnsi" w:hAnsiTheme="minorHAnsi" w:cstheme="minorHAnsi"/>
          <w:color w:val="auto"/>
          <w:sz w:val="22"/>
          <w:szCs w:val="22"/>
        </w:rPr>
      </w:pPr>
    </w:p>
    <w:p w14:paraId="696C9E7F" w14:textId="07096580" w:rsidR="009F34AB" w:rsidRDefault="009F34AB" w:rsidP="00DC5345">
      <w:pPr>
        <w:jc w:val="both"/>
        <w:rPr>
          <w:rFonts w:asciiTheme="minorHAnsi" w:hAnsiTheme="minorHAnsi" w:cstheme="minorHAnsi"/>
          <w:color w:val="auto"/>
          <w:sz w:val="22"/>
          <w:szCs w:val="22"/>
        </w:rPr>
      </w:pPr>
    </w:p>
    <w:p w14:paraId="0E87A08B" w14:textId="04269B17" w:rsidR="009F34AB" w:rsidRDefault="009F34AB" w:rsidP="00DC5345">
      <w:pPr>
        <w:jc w:val="both"/>
        <w:rPr>
          <w:rFonts w:asciiTheme="minorHAnsi" w:hAnsiTheme="minorHAnsi" w:cstheme="minorHAnsi"/>
          <w:color w:val="auto"/>
          <w:sz w:val="22"/>
          <w:szCs w:val="22"/>
        </w:rPr>
      </w:pPr>
    </w:p>
    <w:p w14:paraId="5818635F" w14:textId="3AA91F2F" w:rsidR="009F34AB" w:rsidRDefault="009F34AB" w:rsidP="00DC5345">
      <w:pPr>
        <w:jc w:val="both"/>
        <w:rPr>
          <w:rFonts w:asciiTheme="minorHAnsi" w:hAnsiTheme="minorHAnsi" w:cstheme="minorHAnsi"/>
          <w:color w:val="auto"/>
          <w:sz w:val="22"/>
          <w:szCs w:val="22"/>
        </w:rPr>
      </w:pPr>
    </w:p>
    <w:p w14:paraId="051E2897" w14:textId="7107EC83" w:rsidR="009F34AB" w:rsidRDefault="009F34AB" w:rsidP="00DC5345">
      <w:pPr>
        <w:jc w:val="both"/>
        <w:rPr>
          <w:rFonts w:asciiTheme="minorHAnsi" w:hAnsiTheme="minorHAnsi" w:cstheme="minorHAnsi"/>
          <w:color w:val="auto"/>
          <w:sz w:val="22"/>
          <w:szCs w:val="22"/>
        </w:rPr>
      </w:pPr>
    </w:p>
    <w:p w14:paraId="58095E9D" w14:textId="7A7FA524" w:rsidR="009F34AB" w:rsidRDefault="009F34AB" w:rsidP="00DC5345">
      <w:pPr>
        <w:jc w:val="both"/>
        <w:rPr>
          <w:rFonts w:asciiTheme="minorHAnsi" w:hAnsiTheme="minorHAnsi" w:cstheme="minorHAnsi"/>
          <w:color w:val="auto"/>
          <w:sz w:val="22"/>
          <w:szCs w:val="22"/>
        </w:rPr>
      </w:pPr>
    </w:p>
    <w:p w14:paraId="0DEF5CCD" w14:textId="32C7EEBA" w:rsidR="009F34AB" w:rsidRDefault="009F34AB" w:rsidP="00DC5345">
      <w:pPr>
        <w:jc w:val="both"/>
        <w:rPr>
          <w:rFonts w:asciiTheme="minorHAnsi" w:hAnsiTheme="minorHAnsi" w:cstheme="minorHAnsi"/>
          <w:color w:val="auto"/>
          <w:sz w:val="22"/>
          <w:szCs w:val="22"/>
        </w:rPr>
      </w:pPr>
    </w:p>
    <w:p w14:paraId="3B1E2FA2" w14:textId="1016406F" w:rsidR="009F34AB" w:rsidRDefault="009F34AB" w:rsidP="00DC5345">
      <w:pPr>
        <w:jc w:val="both"/>
        <w:rPr>
          <w:rFonts w:asciiTheme="minorHAnsi" w:hAnsiTheme="minorHAnsi" w:cstheme="minorHAnsi"/>
          <w:color w:val="auto"/>
          <w:sz w:val="22"/>
          <w:szCs w:val="22"/>
        </w:rPr>
      </w:pPr>
    </w:p>
    <w:p w14:paraId="40B288FD" w14:textId="1C3E2143" w:rsidR="009F34AB" w:rsidRDefault="009F34AB" w:rsidP="00DC5345">
      <w:pPr>
        <w:jc w:val="both"/>
        <w:rPr>
          <w:rFonts w:asciiTheme="minorHAnsi" w:hAnsiTheme="minorHAnsi" w:cstheme="minorHAnsi"/>
          <w:color w:val="auto"/>
          <w:sz w:val="22"/>
          <w:szCs w:val="22"/>
        </w:rPr>
      </w:pPr>
    </w:p>
    <w:p w14:paraId="168EC888" w14:textId="7EAFBDED" w:rsidR="009F34AB" w:rsidRDefault="009F34AB" w:rsidP="00DC5345">
      <w:pPr>
        <w:jc w:val="both"/>
        <w:rPr>
          <w:rFonts w:asciiTheme="minorHAnsi" w:hAnsiTheme="minorHAnsi" w:cstheme="minorHAnsi"/>
          <w:color w:val="auto"/>
          <w:sz w:val="22"/>
          <w:szCs w:val="22"/>
        </w:rPr>
      </w:pPr>
    </w:p>
    <w:p w14:paraId="371639F7" w14:textId="6ABA7EC9" w:rsidR="009F34AB" w:rsidRDefault="009F34AB" w:rsidP="00DC5345">
      <w:pPr>
        <w:jc w:val="both"/>
        <w:rPr>
          <w:rFonts w:asciiTheme="minorHAnsi" w:hAnsiTheme="minorHAnsi" w:cstheme="minorHAnsi"/>
          <w:color w:val="auto"/>
          <w:sz w:val="22"/>
          <w:szCs w:val="22"/>
        </w:rPr>
      </w:pPr>
    </w:p>
    <w:p w14:paraId="0F9EDEDB" w14:textId="5CD8385F" w:rsidR="009F34AB" w:rsidRDefault="009F34AB" w:rsidP="00DC5345">
      <w:pPr>
        <w:jc w:val="both"/>
        <w:rPr>
          <w:rFonts w:asciiTheme="minorHAnsi" w:hAnsiTheme="minorHAnsi" w:cstheme="minorHAnsi"/>
          <w:color w:val="auto"/>
          <w:sz w:val="22"/>
          <w:szCs w:val="22"/>
        </w:rPr>
      </w:pPr>
    </w:p>
    <w:p w14:paraId="6DF772EB" w14:textId="49009C7A" w:rsidR="009F34AB" w:rsidRDefault="009F34AB" w:rsidP="00DC5345">
      <w:pPr>
        <w:jc w:val="both"/>
        <w:rPr>
          <w:rFonts w:asciiTheme="minorHAnsi" w:hAnsiTheme="minorHAnsi" w:cstheme="minorHAnsi"/>
          <w:color w:val="auto"/>
          <w:sz w:val="22"/>
          <w:szCs w:val="22"/>
        </w:rPr>
      </w:pPr>
    </w:p>
    <w:p w14:paraId="377FDEF2" w14:textId="3F98AF99" w:rsidR="009F34AB" w:rsidRDefault="009F34AB" w:rsidP="00DC5345">
      <w:pPr>
        <w:jc w:val="both"/>
        <w:rPr>
          <w:rFonts w:asciiTheme="minorHAnsi" w:hAnsiTheme="minorHAnsi" w:cstheme="minorHAnsi"/>
          <w:color w:val="auto"/>
          <w:sz w:val="22"/>
          <w:szCs w:val="22"/>
        </w:rPr>
      </w:pPr>
    </w:p>
    <w:p w14:paraId="5F955792" w14:textId="7F4D77D1" w:rsidR="009F34AB" w:rsidRDefault="009F34AB" w:rsidP="00DC5345">
      <w:pPr>
        <w:jc w:val="both"/>
        <w:rPr>
          <w:rFonts w:asciiTheme="minorHAnsi" w:hAnsiTheme="minorHAnsi" w:cstheme="minorHAnsi"/>
          <w:color w:val="auto"/>
          <w:sz w:val="22"/>
          <w:szCs w:val="22"/>
        </w:rPr>
      </w:pPr>
    </w:p>
    <w:p w14:paraId="59FA8FD3" w14:textId="7C6C7813" w:rsidR="009F34AB" w:rsidRDefault="009F34AB" w:rsidP="00DC5345">
      <w:pPr>
        <w:jc w:val="both"/>
        <w:rPr>
          <w:rFonts w:asciiTheme="minorHAnsi" w:hAnsiTheme="minorHAnsi" w:cstheme="minorHAnsi"/>
          <w:color w:val="auto"/>
          <w:sz w:val="22"/>
          <w:szCs w:val="22"/>
        </w:rPr>
      </w:pPr>
    </w:p>
    <w:p w14:paraId="6B0989EF" w14:textId="30D7089F" w:rsidR="00025650" w:rsidRPr="00270EEB" w:rsidRDefault="64D01D80" w:rsidP="64D01D80">
      <w:pPr>
        <w:jc w:val="center"/>
        <w:rPr>
          <w:b/>
          <w:bCs/>
          <w:sz w:val="24"/>
          <w:szCs w:val="24"/>
        </w:rPr>
      </w:pPr>
      <w:r w:rsidRPr="64D01D80">
        <w:rPr>
          <w:b/>
          <w:bCs/>
          <w:sz w:val="24"/>
          <w:szCs w:val="24"/>
        </w:rPr>
        <w:lastRenderedPageBreak/>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459BC127" w:rsidR="003C458C" w:rsidRDefault="003C458C" w:rsidP="003C458C">
      <w:pPr>
        <w:jc w:val="both"/>
        <w:rPr>
          <w:b/>
          <w:sz w:val="24"/>
          <w:szCs w:val="24"/>
        </w:rPr>
      </w:pPr>
      <w:r w:rsidRPr="00450C83">
        <w:rPr>
          <w:b/>
          <w:sz w:val="24"/>
          <w:szCs w:val="24"/>
        </w:rPr>
        <w:t>ANSWER:</w:t>
      </w:r>
    </w:p>
    <w:p w14:paraId="034DBE60" w14:textId="77777777" w:rsidR="009F34AB" w:rsidRPr="00450C83" w:rsidRDefault="009F34AB" w:rsidP="003C458C">
      <w:pPr>
        <w:jc w:val="both"/>
        <w:rPr>
          <w:b/>
          <w:sz w:val="24"/>
          <w:szCs w:val="24"/>
        </w:rPr>
      </w:pPr>
    </w:p>
    <w:p w14:paraId="27156A60" w14:textId="0AE460A2" w:rsidR="006470DF" w:rsidRPr="00076992" w:rsidRDefault="006470DF" w:rsidP="006470DF">
      <w:pPr>
        <w:jc w:val="both"/>
        <w:rPr>
          <w:rFonts w:asciiTheme="minorHAnsi" w:hAnsiTheme="minorHAnsi" w:cstheme="minorHAnsi"/>
          <w:color w:val="auto"/>
          <w:sz w:val="22"/>
          <w:szCs w:val="22"/>
        </w:rPr>
      </w:pPr>
      <w:r w:rsidRPr="00076992">
        <w:rPr>
          <w:rFonts w:asciiTheme="minorHAnsi" w:hAnsiTheme="minorHAnsi" w:cstheme="minorHAnsi"/>
          <w:color w:val="auto"/>
          <w:sz w:val="22"/>
          <w:szCs w:val="22"/>
        </w:rPr>
        <w:t xml:space="preserve">Whilst on mobile patrol we received a call from the security office at ASDA. They had detained a shoplifter and asked if we could attend and deal with them. Details were passed about the individual that they had detained. I performed </w:t>
      </w:r>
      <w:r w:rsidR="009F34AB" w:rsidRPr="00076992">
        <w:rPr>
          <w:rFonts w:asciiTheme="minorHAnsi" w:hAnsiTheme="minorHAnsi" w:cstheme="minorHAnsi"/>
          <w:color w:val="auto"/>
          <w:sz w:val="22"/>
          <w:szCs w:val="22"/>
        </w:rPr>
        <w:t xml:space="preserve">a </w:t>
      </w:r>
      <w:r w:rsidRPr="00076992">
        <w:rPr>
          <w:rFonts w:asciiTheme="minorHAnsi" w:hAnsiTheme="minorHAnsi" w:cstheme="minorHAnsi"/>
          <w:color w:val="auto"/>
          <w:sz w:val="22"/>
          <w:szCs w:val="22"/>
        </w:rPr>
        <w:t>PNC check on the individual and ascertained that he was a prolific offender and had been involved in multiple different dishonesty-related crimes. The male was also known to carry weapons and had previously assaulted officers whilst being detained for a similar offence. This gave us an insight into how he may act when we arrived and we discussed tactics, different options we could take and contingencies if he reacted in a certain way. On arrival at the security office, it became apparent that the male was very calm and communicated with us in a rational, nonaggressive manner. This meant that we could reassess the situation and use tactical communication with the male rather than having to get hands on straight away. Whilst my colleague was doing this, I gathered as much information from the witnesses as I could (filling out a witness statement), along with viewing CCTV</w:t>
      </w:r>
      <w:r w:rsidRPr="00076992">
        <w:rPr>
          <w:color w:val="auto"/>
          <w:sz w:val="22"/>
          <w:szCs w:val="22"/>
        </w:rPr>
        <w:t xml:space="preserve"> </w:t>
      </w:r>
      <w:r w:rsidRPr="00076992">
        <w:rPr>
          <w:rFonts w:asciiTheme="minorHAnsi" w:hAnsiTheme="minorHAnsi" w:cstheme="minorHAnsi"/>
          <w:color w:val="auto"/>
          <w:sz w:val="22"/>
          <w:szCs w:val="22"/>
        </w:rPr>
        <w:t>evidence of him entering the store, where he went within the store, what he concealed while there and details of the time he attempted to leave without paying for the concealed items. The items that the male concealed on his person were photographed for evidence along with the receipt and items that the male had paid for. The male was claiming that he had paid for all the items in two transactions but had discarded the additional receipt after paying. Evidence was also obtained from the till system within the store of the transaction that we had a receipt for and the previous and subsequent transactions around the specified time. None of these matched any of the items that had been concealed on the male when security detained him. The male was arrested on suspicion of theft and escorted to the custody suite.</w:t>
      </w:r>
    </w:p>
    <w:p w14:paraId="7B9EA7A2" w14:textId="77777777" w:rsidR="006470DF" w:rsidRPr="00076992" w:rsidRDefault="006470DF" w:rsidP="006470DF">
      <w:pPr>
        <w:rPr>
          <w:rFonts w:asciiTheme="minorHAnsi" w:hAnsiTheme="minorHAnsi" w:cstheme="minorHAnsi"/>
          <w:b/>
          <w:color w:val="auto"/>
          <w:sz w:val="22"/>
          <w:szCs w:val="22"/>
        </w:rPr>
      </w:pPr>
    </w:p>
    <w:p w14:paraId="1091EBFD" w14:textId="77777777" w:rsidR="006470DF" w:rsidRPr="00076992" w:rsidRDefault="006470DF" w:rsidP="006470DF">
      <w:pPr>
        <w:jc w:val="both"/>
        <w:rPr>
          <w:rFonts w:asciiTheme="minorHAnsi" w:hAnsiTheme="minorHAnsi" w:cstheme="minorHAnsi"/>
          <w:color w:val="auto"/>
          <w:sz w:val="22"/>
          <w:szCs w:val="22"/>
        </w:rPr>
      </w:pPr>
      <w:r w:rsidRPr="00076992">
        <w:rPr>
          <w:rFonts w:asciiTheme="minorHAnsi" w:hAnsiTheme="minorHAnsi" w:cstheme="minorHAnsi"/>
          <w:color w:val="auto"/>
          <w:sz w:val="22"/>
          <w:szCs w:val="22"/>
        </w:rPr>
        <w:t xml:space="preserve">The Association of Chief Police Officers (ACPO) has approved the adoption of a single National Decision Model (NDM) for the Police service (Lander, 2011; National Police Chiefs’ Council, 2015). Police </w:t>
      </w:r>
      <w:r w:rsidRPr="00076992">
        <w:rPr>
          <w:rFonts w:asciiTheme="minorHAnsi" w:hAnsiTheme="minorHAnsi" w:cstheme="minorHAnsi"/>
          <w:color w:val="auto"/>
          <w:sz w:val="22"/>
          <w:szCs w:val="22"/>
        </w:rPr>
        <w:lastRenderedPageBreak/>
        <w:t>decision making is often complex, required in difficult circumstances, often in quick time and is open to challenge. The ACPO ethics portfolio and the national risk coordination group have developed this values-based tool to provide a simple, standardised, logical and evidence-based approach to making policing decisions. The NDM should be used by all officers, decision makers and assessors who are involved in the whole decision process and it can be applied to spontaneous incidents or planned operations, by an individual or a team of people, to both operational and non-operational situations (College of Policing, 2013b). The framework can be used to structure rationale of what was done before and during an incident, including why. It can then be used to assess and judge those decisions and, in turn, improve future decisions and help to create techniques and methods for many different situations.</w:t>
      </w:r>
    </w:p>
    <w:p w14:paraId="4916FF62" w14:textId="77777777" w:rsidR="006470DF" w:rsidRPr="00076992" w:rsidRDefault="006470DF" w:rsidP="006470DF">
      <w:pPr>
        <w:jc w:val="both"/>
        <w:rPr>
          <w:rFonts w:asciiTheme="minorHAnsi" w:hAnsiTheme="minorHAnsi" w:cstheme="minorHAnsi"/>
          <w:color w:val="auto"/>
          <w:sz w:val="22"/>
          <w:szCs w:val="22"/>
        </w:rPr>
      </w:pPr>
    </w:p>
    <w:p w14:paraId="12502E77" w14:textId="77777777" w:rsidR="006470DF" w:rsidRPr="00076992" w:rsidRDefault="006470DF" w:rsidP="006470DF">
      <w:pPr>
        <w:jc w:val="both"/>
        <w:rPr>
          <w:rFonts w:asciiTheme="minorHAnsi" w:hAnsiTheme="minorHAnsi" w:cstheme="minorHAnsi"/>
          <w:color w:val="auto"/>
          <w:sz w:val="22"/>
          <w:szCs w:val="22"/>
        </w:rPr>
      </w:pPr>
      <w:r w:rsidRPr="00076992">
        <w:rPr>
          <w:rFonts w:asciiTheme="minorHAnsi" w:hAnsiTheme="minorHAnsi" w:cstheme="minorHAnsi"/>
          <w:color w:val="auto"/>
          <w:sz w:val="22"/>
          <w:szCs w:val="22"/>
        </w:rPr>
        <w:t>In this incident, the five stages of the NDM were applied immediately following the call (</w:t>
      </w:r>
      <w:proofErr w:type="spellStart"/>
      <w:r w:rsidRPr="00076992">
        <w:rPr>
          <w:rFonts w:asciiTheme="minorHAnsi" w:hAnsiTheme="minorHAnsi" w:cstheme="minorHAnsi"/>
          <w:color w:val="auto"/>
          <w:sz w:val="22"/>
          <w:szCs w:val="22"/>
        </w:rPr>
        <w:t>OpenLearn</w:t>
      </w:r>
      <w:proofErr w:type="spellEnd"/>
      <w:r w:rsidRPr="00076992">
        <w:rPr>
          <w:rFonts w:asciiTheme="minorHAnsi" w:hAnsiTheme="minorHAnsi" w:cstheme="minorHAnsi"/>
          <w:color w:val="auto"/>
          <w:sz w:val="22"/>
          <w:szCs w:val="22"/>
        </w:rPr>
        <w:t xml:space="preserve">, 2016). Information was gathered about the problem in hand by performing the PNC check (Stage 1). This allowed us to work out what we did and did not know about the subject and this information was then used throughout the rest of the process. This information was further used to assess and judge these decisions after the event. The PNC check also allowed us to determine the threat, its nature and extent so that we could assess the situation and make the right decisions (Stage 2). The PNC check revealed a history of violence towards officers and the carrying of weapons, so there was a potential threat and, therefore, we considered the necessary actions and any likely outcomes and implications of this threat. Having gathered this information, we could then determine which powers we, as the police, would potentially require during this incident (Stage 3) i.e., the Criminal Law Act 1967 (HM Government, 1967), Common Law (The Crown Prosecution Service, 2019) and PACE 1984 (HM Government, 1984), but preferably non-violent means under the Human Rights Act 1998 (HM Government, 1998). Armed with </w:t>
      </w:r>
      <w:proofErr w:type="gramStart"/>
      <w:r w:rsidRPr="00076992">
        <w:rPr>
          <w:rFonts w:asciiTheme="minorHAnsi" w:hAnsiTheme="minorHAnsi" w:cstheme="minorHAnsi"/>
          <w:color w:val="auto"/>
          <w:sz w:val="22"/>
          <w:szCs w:val="22"/>
        </w:rPr>
        <w:t>all of</w:t>
      </w:r>
      <w:proofErr w:type="gramEnd"/>
      <w:r w:rsidRPr="00076992">
        <w:rPr>
          <w:rFonts w:asciiTheme="minorHAnsi" w:hAnsiTheme="minorHAnsi" w:cstheme="minorHAnsi"/>
          <w:color w:val="auto"/>
          <w:sz w:val="22"/>
          <w:szCs w:val="22"/>
        </w:rPr>
        <w:t xml:space="preserve"> this information regarding the subject and powers/policies we may need to employ, we drew up a list of options and contingencies, in case things did not go exactly to plan (Stage 4). The main aim was to gain control of the subject using tactical communication and, depending on the level of hostility and as a last resort, safely restrain him. We had determined the most appropriate actions and were prepared to implement these (Stage 5), however, on arrival at the scene the subject did not behave as predicted and planned for. As a result of his calm and non-violent demeanour we were able to re-evaluate and adjust our decisions within the framework and take the approach of LEAPS as opposed to tactical communication and use of force. Whilst completing each of the stages of the NDM we carefully considered the Code of Ethics (College of Policing, 2020b) and asked ourselves whether the actions we were planning to take were consistent with this code. It was important that our actions were what the police service would expect, and what the community and the public </w:t>
      </w:r>
      <w:proofErr w:type="gramStart"/>
      <w:r w:rsidRPr="00076992">
        <w:rPr>
          <w:rFonts w:asciiTheme="minorHAnsi" w:hAnsiTheme="minorHAnsi" w:cstheme="minorHAnsi"/>
          <w:color w:val="auto"/>
          <w:sz w:val="22"/>
          <w:szCs w:val="22"/>
        </w:rPr>
        <w:t>as a whole would</w:t>
      </w:r>
      <w:proofErr w:type="gramEnd"/>
      <w:r w:rsidRPr="00076992">
        <w:rPr>
          <w:rFonts w:asciiTheme="minorHAnsi" w:hAnsiTheme="minorHAnsi" w:cstheme="minorHAnsi"/>
          <w:color w:val="auto"/>
          <w:sz w:val="22"/>
          <w:szCs w:val="22"/>
        </w:rPr>
        <w:t xml:space="preserve"> expect of us. With regards to discretion, different options are available to us other than arresting someone (</w:t>
      </w:r>
      <w:proofErr w:type="spellStart"/>
      <w:r w:rsidRPr="00076992">
        <w:rPr>
          <w:rFonts w:asciiTheme="minorHAnsi" w:hAnsiTheme="minorHAnsi" w:cstheme="minorHAnsi"/>
          <w:color w:val="auto"/>
          <w:sz w:val="22"/>
          <w:szCs w:val="22"/>
        </w:rPr>
        <w:t>UKEssays</w:t>
      </w:r>
      <w:proofErr w:type="spellEnd"/>
      <w:r w:rsidRPr="00076992">
        <w:rPr>
          <w:rFonts w:asciiTheme="minorHAnsi" w:hAnsiTheme="minorHAnsi" w:cstheme="minorHAnsi"/>
          <w:color w:val="auto"/>
          <w:sz w:val="22"/>
          <w:szCs w:val="22"/>
        </w:rPr>
        <w:t>, 2018). Alternatives include reporting them for a process, issuing them with a penalty notice, issuing a traffic offence report or giving them words of warning if that is appropriate. Factors that will play a part in considering discretion will include who we are dealing with, the possible outcomes from arresting them, and when and where the incident took place. Our decision on whether to use discretion or not came down to what we were trying to achieve and the potential effects of the decision. In this incident the subject was a repeat offender and could not be issued with any of the alternative disposal methods that are available to us. He was, therefore, arrested and escorted to the custody suite.</w:t>
      </w:r>
    </w:p>
    <w:p w14:paraId="2913593C" w14:textId="77777777" w:rsidR="006470DF" w:rsidRPr="00076992" w:rsidRDefault="006470DF" w:rsidP="006470DF">
      <w:pPr>
        <w:jc w:val="both"/>
        <w:rPr>
          <w:rFonts w:asciiTheme="minorHAnsi" w:hAnsiTheme="minorHAnsi" w:cstheme="minorHAnsi"/>
          <w:color w:val="auto"/>
          <w:sz w:val="22"/>
          <w:szCs w:val="22"/>
        </w:rPr>
      </w:pPr>
    </w:p>
    <w:p w14:paraId="665309A4" w14:textId="32D047CC" w:rsidR="006470DF" w:rsidRPr="00076992" w:rsidRDefault="006470DF" w:rsidP="006470DF">
      <w:pPr>
        <w:jc w:val="both"/>
        <w:rPr>
          <w:rFonts w:asciiTheme="minorHAnsi" w:hAnsiTheme="minorHAnsi" w:cstheme="minorHAnsi"/>
          <w:color w:val="auto"/>
          <w:sz w:val="22"/>
          <w:szCs w:val="22"/>
        </w:rPr>
      </w:pPr>
      <w:r w:rsidRPr="00076992">
        <w:rPr>
          <w:rFonts w:asciiTheme="minorHAnsi" w:hAnsiTheme="minorHAnsi" w:cstheme="minorHAnsi"/>
          <w:color w:val="auto"/>
          <w:sz w:val="22"/>
          <w:szCs w:val="22"/>
        </w:rPr>
        <w:t xml:space="preserve">A criminal investigation is an investigation by police officers with a view to it being ascertained whether a person should be charged with an offence, or whether a person charged with an offence is guilty of it (Ministry of Justice, 2015b). As described above, my main responsibility at the scene was to gather as much information for the investigation as I could from the witnesses via witness statements and viewing CCTV evidence. Evidence was obtained from the till </w:t>
      </w:r>
      <w:proofErr w:type="gramStart"/>
      <w:r w:rsidRPr="00076992">
        <w:rPr>
          <w:rFonts w:asciiTheme="minorHAnsi" w:hAnsiTheme="minorHAnsi" w:cstheme="minorHAnsi"/>
          <w:color w:val="auto"/>
          <w:sz w:val="22"/>
          <w:szCs w:val="22"/>
        </w:rPr>
        <w:t>system,</w:t>
      </w:r>
      <w:proofErr w:type="gramEnd"/>
      <w:r w:rsidRPr="00076992">
        <w:rPr>
          <w:rFonts w:asciiTheme="minorHAnsi" w:hAnsiTheme="minorHAnsi" w:cstheme="minorHAnsi"/>
          <w:color w:val="auto"/>
          <w:sz w:val="22"/>
          <w:szCs w:val="22"/>
        </w:rPr>
        <w:t xml:space="preserve"> photographs were taken where appropriate and receipts were retained in sealed evidence bags for the property store. Under the requirements of the Criminal Procedure and Investigations Act 1996 (CPIA) (Ministry of Justice, </w:t>
      </w:r>
      <w:r w:rsidRPr="00076992">
        <w:rPr>
          <w:rFonts w:asciiTheme="minorHAnsi" w:hAnsiTheme="minorHAnsi" w:cstheme="minorHAnsi"/>
          <w:color w:val="auto"/>
          <w:sz w:val="22"/>
          <w:szCs w:val="22"/>
        </w:rPr>
        <w:lastRenderedPageBreak/>
        <w:t xml:space="preserve">2015b) disclosure regime, we need to read, view or listen to </w:t>
      </w:r>
      <w:proofErr w:type="gramStart"/>
      <w:r w:rsidRPr="00076992">
        <w:rPr>
          <w:rFonts w:asciiTheme="minorHAnsi" w:hAnsiTheme="minorHAnsi" w:cstheme="minorHAnsi"/>
          <w:color w:val="auto"/>
          <w:sz w:val="22"/>
          <w:szCs w:val="22"/>
        </w:rPr>
        <w:t>all of</w:t>
      </w:r>
      <w:proofErr w:type="gramEnd"/>
      <w:r w:rsidRPr="00076992">
        <w:rPr>
          <w:rFonts w:asciiTheme="minorHAnsi" w:hAnsiTheme="minorHAnsi" w:cstheme="minorHAnsi"/>
          <w:color w:val="auto"/>
          <w:sz w:val="22"/>
          <w:szCs w:val="22"/>
        </w:rPr>
        <w:t xml:space="preserve"> the unused material and if relevant record it on the correct schedule. Unused material is everything that does not form part of the evidential file. However, it is only the relevant unused material that must be scheduled. Relevant unused material is anything we may consider might have a bearing on any offence under investigation, any person being investigated and the surrounding circumstances, unless it is incapable of having any impact on the case. When we are scheduling material, our description must be full and meaningful. The description should enable the CPS to decide if the item meets the disclosure test based on the description. A supervisor must have oversight of the investigation. </w:t>
      </w:r>
      <w:r w:rsidR="009F34AB" w:rsidRPr="00076992">
        <w:rPr>
          <w:rFonts w:asciiTheme="minorHAnsi" w:hAnsiTheme="minorHAnsi" w:cstheme="minorHAnsi"/>
          <w:color w:val="auto"/>
          <w:sz w:val="22"/>
          <w:szCs w:val="22"/>
        </w:rPr>
        <w:t>We must</w:t>
      </w:r>
      <w:r w:rsidRPr="00076992">
        <w:rPr>
          <w:rFonts w:asciiTheme="minorHAnsi" w:hAnsiTheme="minorHAnsi" w:cstheme="minorHAnsi"/>
          <w:color w:val="auto"/>
          <w:sz w:val="22"/>
          <w:szCs w:val="22"/>
        </w:rPr>
        <w:t xml:space="preserve"> </w:t>
      </w:r>
      <w:r w:rsidR="009F34AB" w:rsidRPr="00076992">
        <w:rPr>
          <w:rFonts w:asciiTheme="minorHAnsi" w:hAnsiTheme="minorHAnsi" w:cstheme="minorHAnsi"/>
          <w:color w:val="auto"/>
          <w:sz w:val="22"/>
          <w:szCs w:val="22"/>
        </w:rPr>
        <w:t xml:space="preserve">look </w:t>
      </w:r>
      <w:r w:rsidRPr="00076992">
        <w:rPr>
          <w:rFonts w:asciiTheme="minorHAnsi" w:hAnsiTheme="minorHAnsi" w:cstheme="minorHAnsi"/>
          <w:color w:val="auto"/>
          <w:sz w:val="22"/>
          <w:szCs w:val="22"/>
        </w:rPr>
        <w:t xml:space="preserve">at the definition “Is there a real risk of serious prejudice to an important public interest” (Ministry of Justice, 2015b), and then make our decision as to which </w:t>
      </w:r>
      <w:proofErr w:type="gramStart"/>
      <w:r w:rsidRPr="00076992">
        <w:rPr>
          <w:rFonts w:asciiTheme="minorHAnsi" w:hAnsiTheme="minorHAnsi" w:cstheme="minorHAnsi"/>
          <w:color w:val="auto"/>
          <w:sz w:val="22"/>
          <w:szCs w:val="22"/>
        </w:rPr>
        <w:t>schedule</w:t>
      </w:r>
      <w:proofErr w:type="gramEnd"/>
      <w:r w:rsidRPr="00076992">
        <w:rPr>
          <w:rFonts w:asciiTheme="minorHAnsi" w:hAnsiTheme="minorHAnsi" w:cstheme="minorHAnsi"/>
          <w:color w:val="auto"/>
          <w:sz w:val="22"/>
          <w:szCs w:val="22"/>
        </w:rPr>
        <w:t xml:space="preserve"> </w:t>
      </w:r>
      <w:r w:rsidR="009F34AB" w:rsidRPr="00076992">
        <w:rPr>
          <w:rFonts w:asciiTheme="minorHAnsi" w:hAnsiTheme="minorHAnsi" w:cstheme="minorHAnsi"/>
          <w:color w:val="auto"/>
          <w:sz w:val="22"/>
          <w:szCs w:val="22"/>
        </w:rPr>
        <w:t>we</w:t>
      </w:r>
      <w:r w:rsidRPr="00076992">
        <w:rPr>
          <w:rFonts w:asciiTheme="minorHAnsi" w:hAnsiTheme="minorHAnsi" w:cstheme="minorHAnsi"/>
          <w:color w:val="auto"/>
          <w:sz w:val="22"/>
          <w:szCs w:val="22"/>
        </w:rPr>
        <w:t xml:space="preserve"> are going to enter it on (The Crown Prosecution Service, 2018). When seeking pre charge advice, material that is likely to undermine or assist that we are aware of should be revealed on an MG3 to the CPS with an explanation as to why it may undermine or assist. This will aid their decision-making process. All the material must be treated as possibly being wrong and all sources should be regarded as misleading.</w:t>
      </w:r>
      <w:r w:rsidRPr="00076992">
        <w:rPr>
          <w:color w:val="auto"/>
          <w:sz w:val="22"/>
          <w:szCs w:val="22"/>
        </w:rPr>
        <w:t xml:space="preserve"> </w:t>
      </w:r>
      <w:r w:rsidRPr="00076992">
        <w:rPr>
          <w:rFonts w:asciiTheme="minorHAnsi" w:hAnsiTheme="minorHAnsi" w:cstheme="minorHAnsi"/>
          <w:color w:val="auto"/>
          <w:sz w:val="22"/>
          <w:szCs w:val="22"/>
        </w:rPr>
        <w:t>Every account should be checked for inconsistencies and conflicts with other materials. Investigators are most likely to be misled because they have not paid attention to the detail that they have been given.</w:t>
      </w:r>
    </w:p>
    <w:p w14:paraId="1AA5D749" w14:textId="77777777" w:rsidR="006470DF" w:rsidRPr="00076992" w:rsidRDefault="006470DF" w:rsidP="006470DF">
      <w:pPr>
        <w:rPr>
          <w:rFonts w:asciiTheme="minorHAnsi" w:hAnsiTheme="minorHAnsi" w:cstheme="minorHAnsi"/>
          <w:color w:val="auto"/>
          <w:sz w:val="22"/>
          <w:szCs w:val="22"/>
        </w:rPr>
      </w:pPr>
    </w:p>
    <w:p w14:paraId="6740C4EA" w14:textId="4BE17BE9" w:rsidR="006470DF" w:rsidRPr="00076992" w:rsidRDefault="006470DF" w:rsidP="006470DF">
      <w:pPr>
        <w:jc w:val="both"/>
        <w:rPr>
          <w:rFonts w:asciiTheme="minorHAnsi" w:hAnsiTheme="minorHAnsi" w:cstheme="minorHAnsi"/>
          <w:color w:val="auto"/>
          <w:sz w:val="22"/>
          <w:szCs w:val="22"/>
        </w:rPr>
      </w:pPr>
      <w:r w:rsidRPr="00076992">
        <w:rPr>
          <w:rFonts w:asciiTheme="minorHAnsi" w:hAnsiTheme="minorHAnsi" w:cstheme="minorHAnsi"/>
          <w:color w:val="auto"/>
          <w:sz w:val="22"/>
          <w:szCs w:val="22"/>
        </w:rPr>
        <w:t xml:space="preserve">The policing values described in the ‘Competency and Values Framework’ (College of Policing, 2016) are transparency, integrity, impartiality, and public service and we endeavoured to apply these in this incident. However, it must be </w:t>
      </w:r>
      <w:proofErr w:type="gramStart"/>
      <w:r w:rsidRPr="00076992">
        <w:rPr>
          <w:rFonts w:asciiTheme="minorHAnsi" w:hAnsiTheme="minorHAnsi" w:cstheme="minorHAnsi"/>
          <w:color w:val="auto"/>
          <w:sz w:val="22"/>
          <w:szCs w:val="22"/>
        </w:rPr>
        <w:t>taken into account</w:t>
      </w:r>
      <w:proofErr w:type="gramEnd"/>
      <w:r w:rsidRPr="00076992">
        <w:rPr>
          <w:rFonts w:asciiTheme="minorHAnsi" w:hAnsiTheme="minorHAnsi" w:cstheme="minorHAnsi"/>
          <w:color w:val="auto"/>
          <w:sz w:val="22"/>
          <w:szCs w:val="22"/>
        </w:rPr>
        <w:t xml:space="preserve"> that a degree of bias may have impacted on the decision-making process. The NDM is a powerful framework for problem solving and has been adopted by police forces across the UK, but it cannot be seen in isolation from the underlying social and psychological perspectives (</w:t>
      </w:r>
      <w:proofErr w:type="spellStart"/>
      <w:r w:rsidRPr="00076992">
        <w:rPr>
          <w:rFonts w:asciiTheme="minorHAnsi" w:hAnsiTheme="minorHAnsi" w:cstheme="minorHAnsi"/>
          <w:color w:val="auto"/>
          <w:sz w:val="22"/>
          <w:szCs w:val="22"/>
        </w:rPr>
        <w:t>OpenLearn</w:t>
      </w:r>
      <w:proofErr w:type="spellEnd"/>
      <w:r w:rsidRPr="00076992">
        <w:rPr>
          <w:rFonts w:asciiTheme="minorHAnsi" w:hAnsiTheme="minorHAnsi" w:cstheme="minorHAnsi"/>
          <w:color w:val="auto"/>
          <w:sz w:val="22"/>
          <w:szCs w:val="22"/>
        </w:rPr>
        <w:t>, 2016). Our own personal biases and preferences will have potentially had an impact on how we understood or interpreted the data and how we related to the policies and ‘objective’ guidelines. The decisions made before arrival at this incident were based on information acquired from the PNC check. Judgements were made based on the subject’s history with the police, his previous misdemeanours and assumptions were made as a result of this. At this stage of the decision-making process this was the only information we had to go on and, for the safety of the officers in attendance and the subject himself, it had to be assumed that the subject may behave in a similar manner in this instance. Due to the way the NDM is structured, however, we were able to revise our approach having determined that the subject did not pose an immediate threat.</w:t>
      </w:r>
    </w:p>
    <w:p w14:paraId="245B773B" w14:textId="63F9E740" w:rsidR="001B6A46" w:rsidRDefault="001B6A46" w:rsidP="006470DF">
      <w:pPr>
        <w:jc w:val="both"/>
        <w:rPr>
          <w:rFonts w:asciiTheme="minorHAnsi" w:hAnsiTheme="minorHAnsi" w:cstheme="minorHAnsi"/>
          <w:sz w:val="22"/>
          <w:szCs w:val="22"/>
        </w:rPr>
      </w:pPr>
    </w:p>
    <w:p w14:paraId="052973C5" w14:textId="070BF4BA" w:rsidR="001B6A46" w:rsidRPr="001B6A46" w:rsidRDefault="001B6A46" w:rsidP="001B6A46">
      <w:pPr>
        <w:jc w:val="right"/>
        <w:rPr>
          <w:rFonts w:asciiTheme="minorHAnsi" w:hAnsiTheme="minorHAnsi" w:cstheme="minorHAnsi"/>
          <w:b/>
          <w:bCs/>
          <w:sz w:val="22"/>
          <w:szCs w:val="22"/>
        </w:rPr>
      </w:pPr>
      <w:r w:rsidRPr="001B6A46">
        <w:rPr>
          <w:rFonts w:asciiTheme="minorHAnsi" w:hAnsiTheme="minorHAnsi" w:cstheme="minorHAnsi"/>
          <w:b/>
          <w:bCs/>
          <w:sz w:val="22"/>
          <w:szCs w:val="22"/>
        </w:rPr>
        <w:t>[Word count: 1632]</w:t>
      </w:r>
    </w:p>
    <w:p w14:paraId="3ACF2418" w14:textId="77777777" w:rsidR="006470DF" w:rsidRDefault="006470DF" w:rsidP="006470DF">
      <w:pPr>
        <w:jc w:val="both"/>
        <w:rPr>
          <w:rFonts w:asciiTheme="minorHAnsi" w:hAnsiTheme="minorHAnsi" w:cstheme="minorHAnsi"/>
        </w:rPr>
      </w:pPr>
    </w:p>
    <w:p w14:paraId="48C3FE22" w14:textId="77777777" w:rsidR="00DC5345" w:rsidRDefault="00DC5345" w:rsidP="00DC5345">
      <w:pPr>
        <w:ind w:left="2880" w:firstLine="720"/>
        <w:jc w:val="both"/>
        <w:rPr>
          <w:rFonts w:asciiTheme="minorHAnsi" w:hAnsiTheme="minorHAnsi" w:cstheme="minorHAnsi"/>
          <w:b/>
          <w:bCs/>
          <w:u w:val="single"/>
        </w:rPr>
      </w:pPr>
    </w:p>
    <w:p w14:paraId="72A26DD0" w14:textId="5DB34A6A" w:rsidR="00DC5345" w:rsidRDefault="00DC5345" w:rsidP="00DC5345">
      <w:pPr>
        <w:ind w:left="2880" w:firstLine="720"/>
        <w:jc w:val="both"/>
        <w:rPr>
          <w:rFonts w:asciiTheme="minorHAnsi" w:hAnsiTheme="minorHAnsi" w:cstheme="minorHAnsi"/>
          <w:b/>
          <w:bCs/>
          <w:u w:val="single"/>
        </w:rPr>
      </w:pPr>
    </w:p>
    <w:p w14:paraId="423AB0EE" w14:textId="60A26DEE" w:rsidR="00DC5345" w:rsidRDefault="00DC5345" w:rsidP="00DC5345">
      <w:pPr>
        <w:ind w:left="2880" w:firstLine="720"/>
        <w:jc w:val="both"/>
        <w:rPr>
          <w:rFonts w:asciiTheme="minorHAnsi" w:hAnsiTheme="minorHAnsi" w:cstheme="minorHAnsi"/>
          <w:b/>
          <w:bCs/>
          <w:u w:val="single"/>
        </w:rPr>
      </w:pPr>
    </w:p>
    <w:p w14:paraId="52602AA3" w14:textId="4E508DA0" w:rsidR="00DC5345" w:rsidRDefault="00DC5345" w:rsidP="00DC5345">
      <w:pPr>
        <w:ind w:left="2880" w:firstLine="720"/>
        <w:jc w:val="both"/>
        <w:rPr>
          <w:rFonts w:asciiTheme="minorHAnsi" w:hAnsiTheme="minorHAnsi" w:cstheme="minorHAnsi"/>
          <w:b/>
          <w:bCs/>
          <w:u w:val="single"/>
        </w:rPr>
      </w:pPr>
    </w:p>
    <w:p w14:paraId="035607DF" w14:textId="1678BA33" w:rsidR="00DC5345" w:rsidRDefault="00DC5345" w:rsidP="00DC5345">
      <w:pPr>
        <w:ind w:left="2880" w:firstLine="720"/>
        <w:jc w:val="both"/>
        <w:rPr>
          <w:rFonts w:asciiTheme="minorHAnsi" w:hAnsiTheme="minorHAnsi" w:cstheme="minorHAnsi"/>
          <w:b/>
          <w:bCs/>
          <w:u w:val="single"/>
        </w:rPr>
      </w:pPr>
    </w:p>
    <w:p w14:paraId="308BF53E" w14:textId="044C26A4" w:rsidR="00DC5345" w:rsidRDefault="00DC5345" w:rsidP="00DC5345">
      <w:pPr>
        <w:ind w:left="2880" w:firstLine="720"/>
        <w:jc w:val="both"/>
        <w:rPr>
          <w:rFonts w:asciiTheme="minorHAnsi" w:hAnsiTheme="minorHAnsi" w:cstheme="minorHAnsi"/>
          <w:b/>
          <w:bCs/>
          <w:u w:val="single"/>
        </w:rPr>
      </w:pPr>
    </w:p>
    <w:p w14:paraId="78731041" w14:textId="71439408" w:rsidR="00DC5345" w:rsidRDefault="00DC5345" w:rsidP="00DC5345">
      <w:pPr>
        <w:ind w:left="2880" w:firstLine="720"/>
        <w:jc w:val="both"/>
        <w:rPr>
          <w:rFonts w:asciiTheme="minorHAnsi" w:hAnsiTheme="minorHAnsi" w:cstheme="minorHAnsi"/>
          <w:b/>
          <w:bCs/>
          <w:u w:val="single"/>
        </w:rPr>
      </w:pPr>
    </w:p>
    <w:p w14:paraId="4892F203" w14:textId="485B47B6" w:rsidR="00DC5345" w:rsidRDefault="00DC5345" w:rsidP="00DC5345">
      <w:pPr>
        <w:ind w:left="2880" w:firstLine="720"/>
        <w:jc w:val="both"/>
        <w:rPr>
          <w:rFonts w:asciiTheme="minorHAnsi" w:hAnsiTheme="minorHAnsi" w:cstheme="minorHAnsi"/>
          <w:b/>
          <w:bCs/>
          <w:u w:val="single"/>
        </w:rPr>
      </w:pPr>
    </w:p>
    <w:p w14:paraId="70DAFD29" w14:textId="1C2F0B41" w:rsidR="00DC5345" w:rsidRDefault="00DC5345" w:rsidP="00DC5345">
      <w:pPr>
        <w:ind w:left="2880" w:firstLine="720"/>
        <w:jc w:val="both"/>
        <w:rPr>
          <w:rFonts w:asciiTheme="minorHAnsi" w:hAnsiTheme="minorHAnsi" w:cstheme="minorHAnsi"/>
          <w:b/>
          <w:bCs/>
          <w:u w:val="single"/>
        </w:rPr>
      </w:pPr>
    </w:p>
    <w:p w14:paraId="53CF6BBE" w14:textId="57653B87" w:rsidR="00DC5345" w:rsidRDefault="00DC5345" w:rsidP="00DC5345">
      <w:pPr>
        <w:ind w:left="2880" w:firstLine="720"/>
        <w:jc w:val="both"/>
        <w:rPr>
          <w:rFonts w:asciiTheme="minorHAnsi" w:hAnsiTheme="minorHAnsi" w:cstheme="minorHAnsi"/>
          <w:b/>
          <w:bCs/>
          <w:u w:val="single"/>
        </w:rPr>
      </w:pPr>
    </w:p>
    <w:p w14:paraId="61A98C46" w14:textId="4077384A" w:rsidR="00DC5345" w:rsidRDefault="00DC5345" w:rsidP="00DC5345">
      <w:pPr>
        <w:ind w:left="2880" w:firstLine="720"/>
        <w:jc w:val="both"/>
        <w:rPr>
          <w:rFonts w:asciiTheme="minorHAnsi" w:hAnsiTheme="minorHAnsi" w:cstheme="minorHAnsi"/>
          <w:b/>
          <w:bCs/>
          <w:u w:val="single"/>
        </w:rPr>
      </w:pPr>
    </w:p>
    <w:p w14:paraId="38B74713" w14:textId="6A2E75B9" w:rsidR="00DC5345" w:rsidRDefault="00DC5345" w:rsidP="00DC5345">
      <w:pPr>
        <w:ind w:left="2880" w:firstLine="720"/>
        <w:jc w:val="both"/>
        <w:rPr>
          <w:rFonts w:asciiTheme="minorHAnsi" w:hAnsiTheme="minorHAnsi" w:cstheme="minorHAnsi"/>
          <w:b/>
          <w:bCs/>
          <w:u w:val="single"/>
        </w:rPr>
      </w:pPr>
    </w:p>
    <w:p w14:paraId="13672189" w14:textId="767E4AC0" w:rsidR="00DC5345" w:rsidRDefault="00DC5345" w:rsidP="00DC5345">
      <w:pPr>
        <w:ind w:left="2880" w:firstLine="720"/>
        <w:jc w:val="both"/>
        <w:rPr>
          <w:rFonts w:asciiTheme="minorHAnsi" w:hAnsiTheme="minorHAnsi" w:cstheme="minorHAnsi"/>
          <w:b/>
          <w:bCs/>
          <w:u w:val="single"/>
        </w:rPr>
      </w:pPr>
    </w:p>
    <w:p w14:paraId="66069A9D" w14:textId="35397B04" w:rsidR="00DC5345" w:rsidRDefault="00DC5345" w:rsidP="00DC5345">
      <w:pPr>
        <w:ind w:left="2880" w:firstLine="720"/>
        <w:jc w:val="both"/>
        <w:rPr>
          <w:rFonts w:asciiTheme="minorHAnsi" w:hAnsiTheme="minorHAnsi" w:cstheme="minorHAnsi"/>
          <w:b/>
          <w:bCs/>
          <w:u w:val="single"/>
        </w:rPr>
      </w:pPr>
    </w:p>
    <w:p w14:paraId="79310631" w14:textId="68C7796A" w:rsidR="005749D2" w:rsidRDefault="005749D2" w:rsidP="00DC5345">
      <w:pPr>
        <w:ind w:left="2880" w:firstLine="720"/>
        <w:jc w:val="both"/>
        <w:rPr>
          <w:rFonts w:asciiTheme="minorHAnsi" w:hAnsiTheme="minorHAnsi" w:cstheme="minorHAnsi"/>
          <w:b/>
          <w:bCs/>
          <w:u w:val="single"/>
        </w:rPr>
      </w:pPr>
    </w:p>
    <w:p w14:paraId="4789BBD6" w14:textId="09F7E2E7" w:rsidR="005749D2" w:rsidRDefault="005749D2" w:rsidP="00DC5345">
      <w:pPr>
        <w:ind w:left="2880" w:firstLine="720"/>
        <w:jc w:val="both"/>
        <w:rPr>
          <w:rFonts w:asciiTheme="minorHAnsi" w:hAnsiTheme="minorHAnsi" w:cstheme="minorHAnsi"/>
          <w:b/>
          <w:bCs/>
          <w:u w:val="single"/>
        </w:rPr>
      </w:pPr>
    </w:p>
    <w:p w14:paraId="05C86973" w14:textId="77777777" w:rsidR="005749D2" w:rsidRDefault="005749D2" w:rsidP="00DC5345">
      <w:pPr>
        <w:ind w:left="2880" w:firstLine="720"/>
        <w:jc w:val="both"/>
        <w:rPr>
          <w:rFonts w:asciiTheme="minorHAnsi" w:hAnsiTheme="minorHAnsi" w:cstheme="minorHAnsi"/>
          <w:b/>
          <w:bCs/>
          <w:u w:val="single"/>
        </w:rPr>
      </w:pPr>
    </w:p>
    <w:p w14:paraId="7B9D0504" w14:textId="5F3B2108" w:rsidR="00DC5345" w:rsidRDefault="00DC5345" w:rsidP="00F452A9">
      <w:pPr>
        <w:jc w:val="both"/>
        <w:rPr>
          <w:rFonts w:asciiTheme="minorHAnsi" w:hAnsiTheme="minorHAnsi" w:cstheme="minorHAnsi"/>
          <w:b/>
          <w:bCs/>
          <w:u w:val="single"/>
        </w:rPr>
      </w:pPr>
    </w:p>
    <w:p w14:paraId="7A6F1B93" w14:textId="77777777" w:rsidR="00F452A9" w:rsidRDefault="00F452A9" w:rsidP="00F452A9">
      <w:pPr>
        <w:jc w:val="both"/>
        <w:rPr>
          <w:rFonts w:asciiTheme="minorHAnsi" w:hAnsiTheme="minorHAnsi" w:cstheme="minorHAnsi"/>
          <w:b/>
          <w:bCs/>
          <w:u w:val="single"/>
        </w:rPr>
      </w:pPr>
    </w:p>
    <w:p w14:paraId="0CFD162A" w14:textId="615AF1E4" w:rsidR="42A396E4" w:rsidRDefault="42A396E4" w:rsidP="00DC5345">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w:t>
            </w:r>
            <w:proofErr w:type="gramStart"/>
            <w:r w:rsidRPr="62FE5CAF">
              <w:rPr>
                <w:b/>
                <w:bCs/>
                <w:sz w:val="24"/>
                <w:szCs w:val="24"/>
              </w:rPr>
              <w:t>development</w:t>
            </w:r>
            <w:proofErr w:type="gramEnd"/>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53FF4E22" w:rsidR="00220D06" w:rsidRPr="00270EEB" w:rsidRDefault="00E81E8C" w:rsidP="001B6A46">
            <w:pPr>
              <w:rPr>
                <w:sz w:val="24"/>
                <w:szCs w:val="24"/>
              </w:rPr>
            </w:pPr>
            <w:r>
              <w:rPr>
                <w:sz w:val="24"/>
                <w:szCs w:val="24"/>
              </w:rPr>
              <w:t xml:space="preserve">Concentrate on the process and </w:t>
            </w:r>
            <w:r w:rsidR="001B6A46">
              <w:rPr>
                <w:sz w:val="24"/>
                <w:szCs w:val="24"/>
              </w:rPr>
              <w:t xml:space="preserve">do </w:t>
            </w:r>
            <w:r>
              <w:rPr>
                <w:sz w:val="24"/>
                <w:szCs w:val="24"/>
              </w:rPr>
              <w:t>not get distracted by outside factors (Being interrupted, shouted over)</w:t>
            </w:r>
          </w:p>
          <w:p w14:paraId="0ED85F85" w14:textId="77777777" w:rsidR="00220D06" w:rsidRPr="00270EEB" w:rsidRDefault="00220D06" w:rsidP="00FF7EBB">
            <w:pPr>
              <w:jc w:val="both"/>
              <w:rPr>
                <w:sz w:val="24"/>
                <w:szCs w:val="24"/>
              </w:rPr>
            </w:pPr>
          </w:p>
        </w:tc>
        <w:tc>
          <w:tcPr>
            <w:tcW w:w="2249" w:type="dxa"/>
            <w:shd w:val="clear" w:color="auto" w:fill="auto"/>
          </w:tcPr>
          <w:p w14:paraId="21DEADB6" w14:textId="77777777" w:rsidR="00220D06" w:rsidRDefault="00220D06" w:rsidP="00FF7EBB">
            <w:pPr>
              <w:jc w:val="both"/>
              <w:rPr>
                <w:sz w:val="24"/>
                <w:szCs w:val="24"/>
              </w:rPr>
            </w:pPr>
          </w:p>
          <w:p w14:paraId="1DD535CE" w14:textId="0F3AEC5E" w:rsidR="00E81E8C" w:rsidRPr="00270EEB" w:rsidRDefault="00E81E8C" w:rsidP="001B6A46">
            <w:pPr>
              <w:rPr>
                <w:sz w:val="24"/>
                <w:szCs w:val="24"/>
              </w:rPr>
            </w:pPr>
            <w:r>
              <w:rPr>
                <w:sz w:val="24"/>
                <w:szCs w:val="24"/>
              </w:rPr>
              <w:t xml:space="preserve">Attending more calls and getting used to ‘the real world’. </w:t>
            </w:r>
            <w:r w:rsidR="001B6A46">
              <w:rPr>
                <w:sz w:val="24"/>
                <w:szCs w:val="24"/>
              </w:rPr>
              <w:t>It is</w:t>
            </w:r>
            <w:r>
              <w:rPr>
                <w:sz w:val="24"/>
                <w:szCs w:val="24"/>
              </w:rPr>
              <w:t xml:space="preserve"> not like Vantage Point out there.</w:t>
            </w:r>
          </w:p>
        </w:tc>
        <w:tc>
          <w:tcPr>
            <w:tcW w:w="2230" w:type="dxa"/>
            <w:shd w:val="clear" w:color="auto" w:fill="auto"/>
          </w:tcPr>
          <w:p w14:paraId="4BFEADA8" w14:textId="77777777" w:rsidR="00220D06" w:rsidRDefault="00220D06" w:rsidP="00FF7EBB">
            <w:pPr>
              <w:jc w:val="both"/>
              <w:rPr>
                <w:sz w:val="24"/>
                <w:szCs w:val="24"/>
              </w:rPr>
            </w:pPr>
          </w:p>
          <w:p w14:paraId="177DD410" w14:textId="744FFC64" w:rsidR="00E81E8C" w:rsidRPr="00270EEB" w:rsidRDefault="00E81E8C" w:rsidP="001B6A46">
            <w:pPr>
              <w:rPr>
                <w:sz w:val="24"/>
                <w:szCs w:val="24"/>
              </w:rPr>
            </w:pPr>
            <w:r>
              <w:rPr>
                <w:sz w:val="24"/>
                <w:szCs w:val="24"/>
              </w:rPr>
              <w:t>Tutors, colleagues</w:t>
            </w:r>
          </w:p>
        </w:tc>
        <w:tc>
          <w:tcPr>
            <w:tcW w:w="2230" w:type="dxa"/>
            <w:shd w:val="clear" w:color="auto" w:fill="auto"/>
          </w:tcPr>
          <w:p w14:paraId="7DE32E4A" w14:textId="77777777" w:rsidR="62FE5CAF" w:rsidRDefault="62FE5CAF" w:rsidP="62FE5CAF">
            <w:pPr>
              <w:jc w:val="both"/>
              <w:rPr>
                <w:sz w:val="24"/>
                <w:szCs w:val="24"/>
              </w:rPr>
            </w:pPr>
          </w:p>
          <w:p w14:paraId="1F90E38B" w14:textId="17B649FE" w:rsidR="00E81E8C" w:rsidRDefault="00E81E8C" w:rsidP="62FE5CAF">
            <w:pPr>
              <w:jc w:val="both"/>
              <w:rPr>
                <w:sz w:val="24"/>
                <w:szCs w:val="24"/>
              </w:rPr>
            </w:pPr>
            <w:r>
              <w:rPr>
                <w:sz w:val="24"/>
                <w:szCs w:val="24"/>
              </w:rPr>
              <w:t>22-02-21</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4FE15341" w14:textId="053B3477" w:rsidR="00220D06" w:rsidRPr="00270EEB" w:rsidRDefault="001B6A46" w:rsidP="001B6A46">
            <w:pPr>
              <w:rPr>
                <w:sz w:val="24"/>
                <w:szCs w:val="24"/>
              </w:rPr>
            </w:pPr>
            <w:r>
              <w:rPr>
                <w:sz w:val="24"/>
                <w:szCs w:val="24"/>
              </w:rPr>
              <w:t>Do n</w:t>
            </w:r>
            <w:r w:rsidR="00E81E8C">
              <w:rPr>
                <w:sz w:val="24"/>
                <w:szCs w:val="24"/>
              </w:rPr>
              <w:t xml:space="preserve">ot jump ahead when I think I know how to complete a process or </w:t>
            </w:r>
            <w:r>
              <w:rPr>
                <w:sz w:val="24"/>
                <w:szCs w:val="24"/>
              </w:rPr>
              <w:t xml:space="preserve">when </w:t>
            </w:r>
            <w:r w:rsidR="00E81E8C">
              <w:rPr>
                <w:sz w:val="24"/>
                <w:szCs w:val="24"/>
              </w:rPr>
              <w:t xml:space="preserve">completing for the first time </w:t>
            </w:r>
            <w:r>
              <w:rPr>
                <w:sz w:val="24"/>
                <w:szCs w:val="24"/>
              </w:rPr>
              <w:t xml:space="preserve">e.g., </w:t>
            </w:r>
            <w:r w:rsidR="00E81E8C">
              <w:rPr>
                <w:sz w:val="24"/>
                <w:szCs w:val="24"/>
              </w:rPr>
              <w:t>Mi</w:t>
            </w:r>
            <w:r>
              <w:rPr>
                <w:sz w:val="24"/>
                <w:szCs w:val="24"/>
              </w:rPr>
              <w:t>ssing person report</w:t>
            </w:r>
            <w:r w:rsidR="00E81E8C">
              <w:rPr>
                <w:sz w:val="24"/>
                <w:szCs w:val="24"/>
              </w:rPr>
              <w:t xml:space="preserve"> (Niche)</w:t>
            </w: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3751646E" w14:textId="77777777" w:rsidR="00220D06" w:rsidRDefault="00220D06" w:rsidP="00FF7EBB">
            <w:pPr>
              <w:jc w:val="both"/>
              <w:rPr>
                <w:sz w:val="24"/>
                <w:szCs w:val="24"/>
              </w:rPr>
            </w:pPr>
          </w:p>
          <w:p w14:paraId="4A5263DB" w14:textId="10786617" w:rsidR="00E81E8C" w:rsidRPr="00270EEB" w:rsidRDefault="00E81E8C" w:rsidP="001B6A46">
            <w:pPr>
              <w:rPr>
                <w:sz w:val="24"/>
                <w:szCs w:val="24"/>
              </w:rPr>
            </w:pPr>
            <w:r>
              <w:rPr>
                <w:sz w:val="24"/>
                <w:szCs w:val="24"/>
              </w:rPr>
              <w:t>Taking more time</w:t>
            </w:r>
            <w:r w:rsidR="001B6A46">
              <w:rPr>
                <w:sz w:val="24"/>
                <w:szCs w:val="24"/>
              </w:rPr>
              <w:t xml:space="preserve">, </w:t>
            </w:r>
            <w:r>
              <w:rPr>
                <w:sz w:val="24"/>
                <w:szCs w:val="24"/>
              </w:rPr>
              <w:t>asking the relevant questions and checking through with my tutor first</w:t>
            </w:r>
          </w:p>
        </w:tc>
        <w:tc>
          <w:tcPr>
            <w:tcW w:w="2230" w:type="dxa"/>
            <w:shd w:val="clear" w:color="auto" w:fill="auto"/>
          </w:tcPr>
          <w:p w14:paraId="78C3D9C3" w14:textId="77777777" w:rsidR="00220D06" w:rsidRDefault="00220D06" w:rsidP="00FF7EBB">
            <w:pPr>
              <w:jc w:val="both"/>
              <w:rPr>
                <w:sz w:val="24"/>
                <w:szCs w:val="24"/>
              </w:rPr>
            </w:pPr>
          </w:p>
          <w:p w14:paraId="55CDA8EA" w14:textId="719F7DA8" w:rsidR="00E81E8C" w:rsidRPr="00270EEB" w:rsidRDefault="00E81E8C" w:rsidP="00FF7EBB">
            <w:pPr>
              <w:jc w:val="both"/>
              <w:rPr>
                <w:sz w:val="24"/>
                <w:szCs w:val="24"/>
              </w:rPr>
            </w:pPr>
            <w:r>
              <w:rPr>
                <w:sz w:val="24"/>
                <w:szCs w:val="24"/>
              </w:rPr>
              <w:t>Tutor</w:t>
            </w:r>
          </w:p>
        </w:tc>
        <w:tc>
          <w:tcPr>
            <w:tcW w:w="2230" w:type="dxa"/>
            <w:shd w:val="clear" w:color="auto" w:fill="auto"/>
          </w:tcPr>
          <w:p w14:paraId="58726C95" w14:textId="77777777" w:rsidR="62FE5CAF" w:rsidRDefault="62FE5CAF" w:rsidP="62FE5CAF">
            <w:pPr>
              <w:jc w:val="both"/>
              <w:rPr>
                <w:sz w:val="24"/>
                <w:szCs w:val="24"/>
              </w:rPr>
            </w:pPr>
          </w:p>
          <w:p w14:paraId="25AAFC86" w14:textId="059083AD" w:rsidR="00E81E8C" w:rsidRDefault="00E81E8C" w:rsidP="62FE5CAF">
            <w:pPr>
              <w:jc w:val="both"/>
              <w:rPr>
                <w:sz w:val="24"/>
                <w:szCs w:val="24"/>
              </w:rPr>
            </w:pPr>
            <w:r>
              <w:rPr>
                <w:sz w:val="24"/>
                <w:szCs w:val="24"/>
              </w:rPr>
              <w:t>12-02-21</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3914B7AC" w14:textId="23A09C89" w:rsidR="00220D06" w:rsidRPr="00270EEB" w:rsidRDefault="00234B8B" w:rsidP="001B6A46">
            <w:pPr>
              <w:rPr>
                <w:sz w:val="24"/>
                <w:szCs w:val="24"/>
              </w:rPr>
            </w:pPr>
            <w:r>
              <w:rPr>
                <w:sz w:val="24"/>
                <w:szCs w:val="24"/>
              </w:rPr>
              <w:t xml:space="preserve">To stop being so hard on myself when things </w:t>
            </w:r>
            <w:r w:rsidR="001B6A46">
              <w:rPr>
                <w:sz w:val="24"/>
                <w:szCs w:val="24"/>
              </w:rPr>
              <w:t>do not</w:t>
            </w:r>
            <w:r>
              <w:rPr>
                <w:sz w:val="24"/>
                <w:szCs w:val="24"/>
              </w:rPr>
              <w:t xml:space="preserve"> go well, I try to make sure everything is done ‘to the book’.</w:t>
            </w: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652B71AF" w14:textId="77777777" w:rsidR="00220D06" w:rsidRDefault="00220D06" w:rsidP="00FF7EBB">
            <w:pPr>
              <w:jc w:val="both"/>
              <w:rPr>
                <w:sz w:val="24"/>
                <w:szCs w:val="24"/>
              </w:rPr>
            </w:pPr>
          </w:p>
          <w:p w14:paraId="568C69DA" w14:textId="52845555" w:rsidR="00234B8B" w:rsidRPr="00270EEB" w:rsidRDefault="00234B8B" w:rsidP="001B6A46">
            <w:pPr>
              <w:rPr>
                <w:sz w:val="24"/>
                <w:szCs w:val="24"/>
              </w:rPr>
            </w:pPr>
            <w:r>
              <w:rPr>
                <w:sz w:val="24"/>
                <w:szCs w:val="24"/>
              </w:rPr>
              <w:t>This is a development process and mistakes will be made, the object being to learn from them and not dwell on them.</w:t>
            </w:r>
          </w:p>
        </w:tc>
        <w:tc>
          <w:tcPr>
            <w:tcW w:w="2230" w:type="dxa"/>
            <w:shd w:val="clear" w:color="auto" w:fill="auto"/>
          </w:tcPr>
          <w:p w14:paraId="2AF49643" w14:textId="77777777" w:rsidR="00220D06" w:rsidRDefault="00220D06" w:rsidP="00FF7EBB">
            <w:pPr>
              <w:jc w:val="both"/>
              <w:rPr>
                <w:sz w:val="24"/>
                <w:szCs w:val="24"/>
              </w:rPr>
            </w:pPr>
          </w:p>
          <w:p w14:paraId="63C5B3FF" w14:textId="0FA9BF23" w:rsidR="00234B8B" w:rsidRPr="00270EEB" w:rsidRDefault="00234B8B" w:rsidP="001B6A46">
            <w:pPr>
              <w:rPr>
                <w:sz w:val="24"/>
                <w:szCs w:val="24"/>
              </w:rPr>
            </w:pPr>
            <w:r>
              <w:rPr>
                <w:sz w:val="24"/>
                <w:szCs w:val="24"/>
              </w:rPr>
              <w:t>Tutor, colleagues, partner</w:t>
            </w:r>
          </w:p>
        </w:tc>
        <w:tc>
          <w:tcPr>
            <w:tcW w:w="2230" w:type="dxa"/>
            <w:shd w:val="clear" w:color="auto" w:fill="auto"/>
          </w:tcPr>
          <w:p w14:paraId="37DDC0D9" w14:textId="77777777" w:rsidR="62FE5CAF" w:rsidRDefault="62FE5CAF" w:rsidP="62FE5CAF">
            <w:pPr>
              <w:jc w:val="both"/>
              <w:rPr>
                <w:sz w:val="24"/>
                <w:szCs w:val="24"/>
              </w:rPr>
            </w:pPr>
          </w:p>
          <w:p w14:paraId="5A4090B6" w14:textId="2688268B" w:rsidR="00234B8B" w:rsidRDefault="00234B8B" w:rsidP="62FE5CAF">
            <w:pPr>
              <w:jc w:val="both"/>
              <w:rPr>
                <w:sz w:val="24"/>
                <w:szCs w:val="24"/>
              </w:rPr>
            </w:pPr>
            <w:r>
              <w:rPr>
                <w:sz w:val="24"/>
                <w:szCs w:val="24"/>
              </w:rPr>
              <w:t>21-03-21</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3A1F8A0" w:rsidR="004923DA" w:rsidRPr="00270EEB" w:rsidRDefault="64D01D80" w:rsidP="64D01D80">
      <w:pPr>
        <w:keepNext/>
        <w:spacing w:before="240" w:after="60"/>
        <w:jc w:val="both"/>
        <w:rPr>
          <w:b/>
          <w:bCs/>
          <w:sz w:val="24"/>
          <w:szCs w:val="24"/>
        </w:rPr>
      </w:pPr>
      <w:r w:rsidRPr="64D01D80">
        <w:rPr>
          <w:b/>
          <w:bCs/>
          <w:sz w:val="24"/>
          <w:szCs w:val="24"/>
        </w:rPr>
        <w:lastRenderedPageBreak/>
        <w:t>Bibliography</w:t>
      </w:r>
    </w:p>
    <w:p w14:paraId="5C7A9DD6" w14:textId="2854C473"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9950AE6" w14:textId="77777777" w:rsidR="00DC5345" w:rsidRDefault="00DC5345" w:rsidP="00DC5345">
      <w:pPr>
        <w:jc w:val="both"/>
        <w:rPr>
          <w:rFonts w:asciiTheme="minorHAnsi" w:hAnsiTheme="minorHAnsi" w:cstheme="minorHAnsi"/>
        </w:rPr>
      </w:pPr>
    </w:p>
    <w:p w14:paraId="55CFD592" w14:textId="285CDBE2" w:rsidR="00DC5345" w:rsidRPr="001B6A46" w:rsidRDefault="00DC5345" w:rsidP="00D01A4C">
      <w:pPr>
        <w:jc w:val="both"/>
        <w:rPr>
          <w:rFonts w:asciiTheme="minorHAnsi" w:hAnsiTheme="minorHAnsi" w:cstheme="minorHAnsi"/>
          <w:color w:val="auto"/>
          <w:sz w:val="22"/>
          <w:szCs w:val="22"/>
        </w:rPr>
      </w:pPr>
      <w:r w:rsidRPr="001B6A46">
        <w:rPr>
          <w:rFonts w:asciiTheme="minorHAnsi" w:hAnsiTheme="minorHAnsi" w:cstheme="minorHAnsi"/>
          <w:color w:val="auto"/>
          <w:sz w:val="22"/>
          <w:szCs w:val="22"/>
        </w:rPr>
        <w:t>College of Policing (2013</w:t>
      </w:r>
      <w:r w:rsidR="00D01A4C" w:rsidRPr="001B6A46">
        <w:rPr>
          <w:rFonts w:asciiTheme="minorHAnsi" w:hAnsiTheme="minorHAnsi" w:cstheme="minorHAnsi"/>
          <w:color w:val="auto"/>
          <w:sz w:val="22"/>
          <w:szCs w:val="22"/>
        </w:rPr>
        <w:t>a</w:t>
      </w:r>
      <w:r w:rsidRPr="001B6A46">
        <w:rPr>
          <w:rFonts w:asciiTheme="minorHAnsi" w:hAnsiTheme="minorHAnsi" w:cstheme="minorHAnsi"/>
          <w:color w:val="auto"/>
          <w:sz w:val="22"/>
          <w:szCs w:val="22"/>
        </w:rPr>
        <w:t>) </w:t>
      </w:r>
      <w:r w:rsidRPr="001B6A46">
        <w:rPr>
          <w:rFonts w:asciiTheme="minorHAnsi" w:hAnsiTheme="minorHAnsi" w:cstheme="minorHAnsi"/>
          <w:i/>
          <w:iCs/>
          <w:color w:val="auto"/>
          <w:sz w:val="22"/>
          <w:szCs w:val="22"/>
        </w:rPr>
        <w:t>Police use of force</w:t>
      </w:r>
      <w:r w:rsidRPr="001B6A46">
        <w:rPr>
          <w:rFonts w:asciiTheme="minorHAnsi" w:hAnsiTheme="minorHAnsi" w:cstheme="minorHAnsi"/>
          <w:color w:val="auto"/>
          <w:sz w:val="22"/>
          <w:szCs w:val="22"/>
        </w:rPr>
        <w:t>. [online] Available at: &lt;https://www.app.college.police.uk/app-content/public-order/core-principles-and-legislation/police-use-of-force/&gt; [Accessed 28 January 2021].</w:t>
      </w:r>
    </w:p>
    <w:p w14:paraId="51E0F595" w14:textId="3E3A2527" w:rsidR="00D01A4C" w:rsidRPr="001B6A46" w:rsidRDefault="00D01A4C" w:rsidP="00D01A4C">
      <w:pPr>
        <w:jc w:val="both"/>
        <w:rPr>
          <w:rFonts w:asciiTheme="minorHAnsi" w:hAnsiTheme="minorHAnsi" w:cstheme="minorHAnsi"/>
          <w:color w:val="auto"/>
          <w:sz w:val="22"/>
          <w:szCs w:val="22"/>
        </w:rPr>
      </w:pPr>
    </w:p>
    <w:p w14:paraId="1B3055EB" w14:textId="77777777" w:rsidR="00D01A4C" w:rsidRPr="001B6A46" w:rsidRDefault="00D01A4C" w:rsidP="00D01A4C">
      <w:pPr>
        <w:jc w:val="both"/>
        <w:rPr>
          <w:rFonts w:asciiTheme="minorHAnsi" w:hAnsiTheme="minorHAnsi" w:cstheme="minorHAnsi"/>
          <w:sz w:val="22"/>
          <w:szCs w:val="22"/>
        </w:rPr>
      </w:pPr>
      <w:r w:rsidRPr="001B6A46">
        <w:rPr>
          <w:rFonts w:asciiTheme="minorHAnsi" w:hAnsiTheme="minorHAnsi" w:cstheme="minorHAnsi"/>
          <w:sz w:val="22"/>
          <w:szCs w:val="22"/>
        </w:rPr>
        <w:t>College of Policing (2013b) </w:t>
      </w:r>
      <w:r w:rsidRPr="001B6A46">
        <w:rPr>
          <w:rFonts w:asciiTheme="minorHAnsi" w:hAnsiTheme="minorHAnsi" w:cstheme="minorHAnsi"/>
          <w:i/>
          <w:iCs/>
          <w:sz w:val="22"/>
          <w:szCs w:val="22"/>
        </w:rPr>
        <w:t>National Decision Model</w:t>
      </w:r>
      <w:r w:rsidRPr="001B6A46">
        <w:rPr>
          <w:rFonts w:asciiTheme="minorHAnsi" w:hAnsiTheme="minorHAnsi" w:cstheme="minorHAnsi"/>
          <w:sz w:val="22"/>
          <w:szCs w:val="22"/>
        </w:rPr>
        <w:t>. [online] Available at: &lt;https://www.app.college.police.uk/app-content/national-decision-model/&gt; [Accessed 4 February 2021].</w:t>
      </w:r>
    </w:p>
    <w:p w14:paraId="350E291E" w14:textId="7B4C3FE8" w:rsidR="00D01A4C" w:rsidRPr="001B6A46" w:rsidRDefault="00D01A4C" w:rsidP="00D01A4C">
      <w:pPr>
        <w:jc w:val="both"/>
        <w:rPr>
          <w:rFonts w:asciiTheme="minorHAnsi" w:hAnsiTheme="minorHAnsi" w:cstheme="minorHAnsi"/>
          <w:color w:val="auto"/>
          <w:sz w:val="22"/>
          <w:szCs w:val="22"/>
        </w:rPr>
      </w:pPr>
    </w:p>
    <w:p w14:paraId="2D428E2D" w14:textId="77777777" w:rsidR="00D01A4C" w:rsidRPr="001B6A46" w:rsidRDefault="00D01A4C" w:rsidP="00D01A4C">
      <w:pPr>
        <w:jc w:val="both"/>
        <w:rPr>
          <w:rFonts w:asciiTheme="minorHAnsi" w:hAnsiTheme="minorHAnsi" w:cstheme="minorHAnsi"/>
          <w:color w:val="auto"/>
          <w:sz w:val="22"/>
          <w:szCs w:val="22"/>
        </w:rPr>
      </w:pPr>
      <w:r w:rsidRPr="001B6A46">
        <w:rPr>
          <w:rFonts w:asciiTheme="minorHAnsi" w:hAnsiTheme="minorHAnsi" w:cstheme="minorHAnsi"/>
          <w:color w:val="auto"/>
          <w:sz w:val="22"/>
          <w:szCs w:val="22"/>
        </w:rPr>
        <w:t>College of Policing (2016) </w:t>
      </w:r>
      <w:r w:rsidRPr="001B6A46">
        <w:rPr>
          <w:rFonts w:asciiTheme="minorHAnsi" w:hAnsiTheme="minorHAnsi" w:cstheme="minorHAnsi"/>
          <w:i/>
          <w:iCs/>
          <w:color w:val="auto"/>
          <w:sz w:val="22"/>
          <w:szCs w:val="22"/>
        </w:rPr>
        <w:t>Competency and Values Framework for policing - Overview of framework</w:t>
      </w:r>
      <w:r w:rsidRPr="001B6A46">
        <w:rPr>
          <w:rFonts w:asciiTheme="minorHAnsi" w:hAnsiTheme="minorHAnsi" w:cstheme="minorHAnsi"/>
          <w:color w:val="auto"/>
          <w:sz w:val="22"/>
          <w:szCs w:val="22"/>
        </w:rPr>
        <w:t xml:space="preserve">. [PDF] College of Policing. Available at: &lt;https://www.college.police.uk/What-we-do/Development/competency-and-values-framework/Documents/Competency-and-Values-Framework-for-Policing_4.11.16.pdf&gt; [Accessed 3 February 2021]. </w:t>
      </w:r>
    </w:p>
    <w:p w14:paraId="21B56799" w14:textId="77777777" w:rsidR="00D01A4C" w:rsidRPr="001B6A46" w:rsidRDefault="00D01A4C" w:rsidP="00D01A4C">
      <w:pPr>
        <w:jc w:val="both"/>
        <w:rPr>
          <w:rFonts w:asciiTheme="minorHAnsi" w:hAnsiTheme="minorHAnsi" w:cstheme="minorHAnsi"/>
          <w:color w:val="auto"/>
          <w:sz w:val="22"/>
          <w:szCs w:val="22"/>
        </w:rPr>
      </w:pPr>
    </w:p>
    <w:p w14:paraId="21412ED6" w14:textId="475415E0" w:rsidR="00DC5345" w:rsidRPr="001B6A46" w:rsidRDefault="00DC5345" w:rsidP="00D01A4C">
      <w:pPr>
        <w:jc w:val="both"/>
        <w:rPr>
          <w:rFonts w:asciiTheme="minorHAnsi" w:hAnsiTheme="minorHAnsi" w:cstheme="minorHAnsi"/>
          <w:color w:val="auto"/>
          <w:sz w:val="22"/>
          <w:szCs w:val="22"/>
        </w:rPr>
      </w:pPr>
      <w:r w:rsidRPr="001B6A46">
        <w:rPr>
          <w:rFonts w:asciiTheme="minorHAnsi" w:hAnsiTheme="minorHAnsi" w:cstheme="minorHAnsi"/>
          <w:color w:val="auto"/>
          <w:sz w:val="22"/>
          <w:szCs w:val="22"/>
        </w:rPr>
        <w:t>College of Policing (2019) </w:t>
      </w:r>
      <w:r w:rsidRPr="001B6A46">
        <w:rPr>
          <w:rFonts w:asciiTheme="minorHAnsi" w:hAnsiTheme="minorHAnsi" w:cstheme="minorHAnsi"/>
          <w:i/>
          <w:iCs/>
          <w:color w:val="auto"/>
          <w:sz w:val="22"/>
          <w:szCs w:val="22"/>
        </w:rPr>
        <w:t>Conflict management using de-escalation, communication and negotiation - Consultation</w:t>
      </w:r>
      <w:r w:rsidRPr="001B6A46">
        <w:rPr>
          <w:rFonts w:asciiTheme="minorHAnsi" w:hAnsiTheme="minorHAnsi" w:cstheme="minorHAnsi"/>
          <w:color w:val="auto"/>
          <w:sz w:val="22"/>
          <w:szCs w:val="22"/>
        </w:rPr>
        <w:t>. [PDF] College of Policing. Available at: &lt;https://www.college.police.uk/What-we-do/Standards/Guidelines/Documents/Conflict_management_consultation260219.pdf&gt; [Accessed 24 January 2021].</w:t>
      </w:r>
    </w:p>
    <w:p w14:paraId="7FD8132E" w14:textId="77777777" w:rsidR="00D01A4C" w:rsidRPr="001B6A46" w:rsidRDefault="00D01A4C" w:rsidP="00D01A4C">
      <w:pPr>
        <w:jc w:val="both"/>
        <w:rPr>
          <w:rFonts w:asciiTheme="minorHAnsi" w:hAnsiTheme="minorHAnsi" w:cstheme="minorHAnsi"/>
          <w:color w:val="auto"/>
          <w:sz w:val="22"/>
          <w:szCs w:val="22"/>
        </w:rPr>
      </w:pPr>
    </w:p>
    <w:p w14:paraId="5CAE97B0" w14:textId="1F64BFA1" w:rsidR="00DC5345" w:rsidRPr="001B6A46" w:rsidRDefault="00DC5345" w:rsidP="00D01A4C">
      <w:pPr>
        <w:jc w:val="both"/>
        <w:rPr>
          <w:rFonts w:asciiTheme="minorHAnsi" w:hAnsiTheme="minorHAnsi" w:cstheme="minorHAnsi"/>
          <w:sz w:val="22"/>
          <w:szCs w:val="22"/>
        </w:rPr>
      </w:pPr>
      <w:r w:rsidRPr="001B6A46">
        <w:rPr>
          <w:rFonts w:asciiTheme="minorHAnsi" w:hAnsiTheme="minorHAnsi" w:cstheme="minorHAnsi"/>
          <w:sz w:val="22"/>
          <w:szCs w:val="22"/>
        </w:rPr>
        <w:t xml:space="preserve">College of Policing (2020a) </w:t>
      </w:r>
      <w:r w:rsidRPr="001B6A46">
        <w:rPr>
          <w:rFonts w:asciiTheme="minorHAnsi" w:hAnsiTheme="minorHAnsi" w:cstheme="minorHAnsi"/>
          <w:i/>
          <w:iCs/>
          <w:sz w:val="22"/>
          <w:szCs w:val="22"/>
        </w:rPr>
        <w:t>The Health Protection (Coronavirus Restrictions) (No.5) (Wales) Regulations 2020</w:t>
      </w:r>
      <w:r w:rsidRPr="001B6A46">
        <w:rPr>
          <w:rFonts w:asciiTheme="minorHAnsi" w:hAnsiTheme="minorHAnsi" w:cstheme="minorHAnsi"/>
          <w:sz w:val="22"/>
          <w:szCs w:val="22"/>
        </w:rPr>
        <w:t>. [PDF] College of Policing. Available at: &lt;https://beta.college.police.uk/guidance/covid-19-restrictions&gt; [Accessed 26 January 2021].</w:t>
      </w:r>
    </w:p>
    <w:p w14:paraId="771836F6" w14:textId="77777777" w:rsidR="00D01A4C" w:rsidRPr="001B6A46" w:rsidRDefault="00D01A4C" w:rsidP="00D01A4C">
      <w:pPr>
        <w:jc w:val="both"/>
        <w:rPr>
          <w:rFonts w:asciiTheme="minorHAnsi" w:hAnsiTheme="minorHAnsi" w:cstheme="minorHAnsi"/>
          <w:color w:val="auto"/>
          <w:sz w:val="22"/>
          <w:szCs w:val="22"/>
        </w:rPr>
      </w:pPr>
    </w:p>
    <w:p w14:paraId="30FE33DF" w14:textId="77017366" w:rsidR="00DC5345" w:rsidRPr="001B6A46" w:rsidRDefault="00DC5345" w:rsidP="00D01A4C">
      <w:pPr>
        <w:jc w:val="both"/>
        <w:rPr>
          <w:rFonts w:asciiTheme="minorHAnsi" w:hAnsiTheme="minorHAnsi" w:cstheme="minorHAnsi"/>
          <w:color w:val="auto"/>
          <w:sz w:val="22"/>
          <w:szCs w:val="22"/>
        </w:rPr>
      </w:pPr>
      <w:r w:rsidRPr="001B6A46">
        <w:rPr>
          <w:rFonts w:asciiTheme="minorHAnsi" w:hAnsiTheme="minorHAnsi" w:cstheme="minorHAnsi"/>
          <w:color w:val="auto"/>
          <w:sz w:val="22"/>
          <w:szCs w:val="22"/>
        </w:rPr>
        <w:t>College of Policing (2020b) </w:t>
      </w:r>
      <w:r w:rsidRPr="001B6A46">
        <w:rPr>
          <w:rFonts w:asciiTheme="minorHAnsi" w:hAnsiTheme="minorHAnsi" w:cstheme="minorHAnsi"/>
          <w:i/>
          <w:iCs/>
          <w:color w:val="auto"/>
          <w:sz w:val="22"/>
          <w:szCs w:val="22"/>
        </w:rPr>
        <w:t>Code of Ethics</w:t>
      </w:r>
      <w:r w:rsidRPr="001B6A46">
        <w:rPr>
          <w:rFonts w:asciiTheme="minorHAnsi" w:hAnsiTheme="minorHAnsi" w:cstheme="minorHAnsi"/>
          <w:color w:val="auto"/>
          <w:sz w:val="22"/>
          <w:szCs w:val="22"/>
        </w:rPr>
        <w:t>. [online] Available at: &lt;https://www.college.police.uk/What-we-do/Ethics/Ethics-home/Pages/Code-of-Ethics.aspx&gt; [Accessed 27 January 2021].</w:t>
      </w:r>
    </w:p>
    <w:p w14:paraId="0DB50FF6" w14:textId="77777777" w:rsidR="00D01A4C" w:rsidRPr="001B6A46" w:rsidRDefault="00D01A4C" w:rsidP="00D01A4C">
      <w:pPr>
        <w:jc w:val="both"/>
        <w:rPr>
          <w:rFonts w:asciiTheme="minorHAnsi" w:hAnsiTheme="minorHAnsi" w:cstheme="minorHAnsi"/>
          <w:color w:val="auto"/>
          <w:sz w:val="22"/>
          <w:szCs w:val="22"/>
        </w:rPr>
      </w:pPr>
    </w:p>
    <w:p w14:paraId="2318D24C" w14:textId="0CF1F6E2" w:rsidR="00DC5345" w:rsidRPr="001B6A46" w:rsidRDefault="00DC5345" w:rsidP="00D01A4C">
      <w:pPr>
        <w:jc w:val="both"/>
        <w:rPr>
          <w:rFonts w:asciiTheme="minorHAnsi" w:hAnsiTheme="minorHAnsi" w:cstheme="minorHAnsi"/>
          <w:color w:val="auto"/>
          <w:sz w:val="22"/>
          <w:szCs w:val="22"/>
        </w:rPr>
      </w:pPr>
      <w:r w:rsidRPr="001B6A46">
        <w:rPr>
          <w:rFonts w:asciiTheme="minorHAnsi" w:hAnsiTheme="minorHAnsi" w:cstheme="minorHAnsi"/>
          <w:color w:val="auto"/>
          <w:sz w:val="22"/>
          <w:szCs w:val="22"/>
        </w:rPr>
        <w:t>De Wilde, M. (2003) </w:t>
      </w:r>
      <w:r w:rsidRPr="001B6A46">
        <w:rPr>
          <w:rFonts w:asciiTheme="minorHAnsi" w:hAnsiTheme="minorHAnsi" w:cstheme="minorHAnsi"/>
          <w:i/>
          <w:iCs/>
          <w:color w:val="auto"/>
          <w:sz w:val="22"/>
          <w:szCs w:val="22"/>
        </w:rPr>
        <w:t>The Drama Triangle</w:t>
      </w:r>
      <w:r w:rsidRPr="001B6A46">
        <w:rPr>
          <w:rFonts w:asciiTheme="minorHAnsi" w:hAnsiTheme="minorHAnsi" w:cstheme="minorHAnsi"/>
          <w:color w:val="auto"/>
          <w:sz w:val="22"/>
          <w:szCs w:val="22"/>
        </w:rPr>
        <w:t>. [online] Executivecoaching.be. Available at: &lt;https://www.executivecoaching.be/Article_TriangleDramatique_En_1.htm&gt; [Accessed 25 January 2021].</w:t>
      </w:r>
    </w:p>
    <w:p w14:paraId="3998E17E" w14:textId="390F6AC0" w:rsidR="00D01A4C" w:rsidRPr="001B6A46" w:rsidRDefault="00D01A4C" w:rsidP="00D01A4C">
      <w:pPr>
        <w:jc w:val="both"/>
        <w:rPr>
          <w:rFonts w:asciiTheme="minorHAnsi" w:hAnsiTheme="minorHAnsi" w:cstheme="minorHAnsi"/>
          <w:color w:val="auto"/>
          <w:sz w:val="22"/>
          <w:szCs w:val="22"/>
        </w:rPr>
      </w:pPr>
    </w:p>
    <w:p w14:paraId="6C46A35E" w14:textId="77777777" w:rsidR="00D01A4C" w:rsidRPr="001B6A46" w:rsidRDefault="00D01A4C" w:rsidP="00D01A4C">
      <w:pPr>
        <w:jc w:val="both"/>
        <w:rPr>
          <w:rFonts w:asciiTheme="minorHAnsi" w:hAnsiTheme="minorHAnsi" w:cstheme="minorHAnsi"/>
          <w:sz w:val="22"/>
          <w:szCs w:val="22"/>
        </w:rPr>
      </w:pPr>
      <w:r w:rsidRPr="001B6A46">
        <w:rPr>
          <w:rFonts w:asciiTheme="minorHAnsi" w:hAnsiTheme="minorHAnsi" w:cstheme="minorHAnsi"/>
          <w:sz w:val="22"/>
          <w:szCs w:val="22"/>
        </w:rPr>
        <w:t>HM Government (1967) </w:t>
      </w:r>
      <w:r w:rsidRPr="001B6A46">
        <w:rPr>
          <w:rFonts w:asciiTheme="minorHAnsi" w:hAnsiTheme="minorHAnsi" w:cstheme="minorHAnsi"/>
          <w:i/>
          <w:iCs/>
          <w:sz w:val="22"/>
          <w:szCs w:val="22"/>
        </w:rPr>
        <w:t>Criminal Law Act 1967</w:t>
      </w:r>
      <w:r w:rsidRPr="001B6A46">
        <w:rPr>
          <w:rFonts w:asciiTheme="minorHAnsi" w:hAnsiTheme="minorHAnsi" w:cstheme="minorHAnsi"/>
          <w:sz w:val="22"/>
          <w:szCs w:val="22"/>
        </w:rPr>
        <w:t>. [online] Available at: &lt;https://www.legislation.gov.uk/ukpga/1967/58/contents&gt; [Accessed 2 February 2021].</w:t>
      </w:r>
    </w:p>
    <w:p w14:paraId="6CF64927" w14:textId="77777777" w:rsidR="00D01A4C" w:rsidRPr="001B6A46" w:rsidRDefault="00D01A4C" w:rsidP="00D01A4C">
      <w:pPr>
        <w:jc w:val="both"/>
        <w:rPr>
          <w:rFonts w:asciiTheme="minorHAnsi" w:hAnsiTheme="minorHAnsi" w:cstheme="minorHAnsi"/>
          <w:sz w:val="22"/>
          <w:szCs w:val="22"/>
        </w:rPr>
      </w:pPr>
    </w:p>
    <w:p w14:paraId="1F7F28A2" w14:textId="1314709C" w:rsidR="00D01A4C" w:rsidRPr="001B6A46" w:rsidRDefault="00D01A4C" w:rsidP="00D01A4C">
      <w:pPr>
        <w:jc w:val="both"/>
        <w:rPr>
          <w:rFonts w:asciiTheme="minorHAnsi" w:hAnsiTheme="minorHAnsi" w:cstheme="minorHAnsi"/>
          <w:sz w:val="22"/>
          <w:szCs w:val="22"/>
        </w:rPr>
      </w:pPr>
      <w:r w:rsidRPr="001B6A46">
        <w:rPr>
          <w:rFonts w:asciiTheme="minorHAnsi" w:hAnsiTheme="minorHAnsi" w:cstheme="minorHAnsi"/>
          <w:sz w:val="22"/>
          <w:szCs w:val="22"/>
        </w:rPr>
        <w:t>HM Government (1984) </w:t>
      </w:r>
      <w:r w:rsidRPr="001B6A46">
        <w:rPr>
          <w:rFonts w:asciiTheme="minorHAnsi" w:hAnsiTheme="minorHAnsi" w:cstheme="minorHAnsi"/>
          <w:i/>
          <w:iCs/>
          <w:sz w:val="22"/>
          <w:szCs w:val="22"/>
        </w:rPr>
        <w:t>Police and Criminal Evidence Act 1984</w:t>
      </w:r>
      <w:r w:rsidRPr="001B6A46">
        <w:rPr>
          <w:rFonts w:asciiTheme="minorHAnsi" w:hAnsiTheme="minorHAnsi" w:cstheme="minorHAnsi"/>
          <w:sz w:val="22"/>
          <w:szCs w:val="22"/>
        </w:rPr>
        <w:t>. [online] Available at: &lt;https://www.legislation.gov.uk/ukpga/1984/60/contents&gt; [Accessed 5 February 2021].</w:t>
      </w:r>
    </w:p>
    <w:p w14:paraId="78264300" w14:textId="77777777" w:rsidR="00D01A4C" w:rsidRPr="001B6A46" w:rsidRDefault="00D01A4C" w:rsidP="00D01A4C">
      <w:pPr>
        <w:jc w:val="both"/>
        <w:rPr>
          <w:rFonts w:asciiTheme="minorHAnsi" w:hAnsiTheme="minorHAnsi" w:cstheme="minorHAnsi"/>
          <w:color w:val="auto"/>
          <w:sz w:val="22"/>
          <w:szCs w:val="22"/>
        </w:rPr>
      </w:pPr>
    </w:p>
    <w:p w14:paraId="0A4870C0" w14:textId="1230CCC4" w:rsidR="00DC5345" w:rsidRPr="001B6A46" w:rsidRDefault="00DC5345" w:rsidP="00D01A4C">
      <w:pPr>
        <w:jc w:val="both"/>
        <w:rPr>
          <w:rFonts w:asciiTheme="minorHAnsi" w:hAnsiTheme="minorHAnsi" w:cstheme="minorHAnsi"/>
          <w:color w:val="auto"/>
          <w:sz w:val="22"/>
          <w:szCs w:val="22"/>
        </w:rPr>
      </w:pPr>
      <w:r w:rsidRPr="001B6A46">
        <w:rPr>
          <w:rFonts w:asciiTheme="minorHAnsi" w:hAnsiTheme="minorHAnsi" w:cstheme="minorHAnsi"/>
          <w:color w:val="auto"/>
          <w:sz w:val="22"/>
          <w:szCs w:val="22"/>
        </w:rPr>
        <w:t>HM Government (1998) </w:t>
      </w:r>
      <w:r w:rsidRPr="001B6A46">
        <w:rPr>
          <w:rFonts w:asciiTheme="minorHAnsi" w:hAnsiTheme="minorHAnsi" w:cstheme="minorHAnsi"/>
          <w:i/>
          <w:iCs/>
          <w:color w:val="auto"/>
          <w:sz w:val="22"/>
          <w:szCs w:val="22"/>
        </w:rPr>
        <w:t>Human Rights Act 1998</w:t>
      </w:r>
      <w:r w:rsidRPr="001B6A46">
        <w:rPr>
          <w:rFonts w:asciiTheme="minorHAnsi" w:hAnsiTheme="minorHAnsi" w:cstheme="minorHAnsi"/>
          <w:color w:val="auto"/>
          <w:sz w:val="22"/>
          <w:szCs w:val="22"/>
        </w:rPr>
        <w:t>. [online] Available at: &lt;https://www.legislation.gov.uk/ukpga/1998/42/contents&gt; [Accessed 28 January 2021].</w:t>
      </w:r>
    </w:p>
    <w:p w14:paraId="752C489A" w14:textId="3EEA2E23" w:rsidR="00D01A4C" w:rsidRPr="001B6A46" w:rsidRDefault="00D01A4C" w:rsidP="00D01A4C">
      <w:pPr>
        <w:jc w:val="both"/>
        <w:rPr>
          <w:rFonts w:asciiTheme="minorHAnsi" w:hAnsiTheme="minorHAnsi" w:cstheme="minorHAnsi"/>
          <w:color w:val="auto"/>
          <w:sz w:val="22"/>
          <w:szCs w:val="22"/>
        </w:rPr>
      </w:pPr>
    </w:p>
    <w:p w14:paraId="38F8C7A9" w14:textId="0C0561B9" w:rsidR="00D01A4C" w:rsidRPr="001B6A46" w:rsidRDefault="00D01A4C" w:rsidP="00D01A4C">
      <w:pPr>
        <w:jc w:val="both"/>
        <w:rPr>
          <w:rFonts w:asciiTheme="minorHAnsi" w:hAnsiTheme="minorHAnsi" w:cstheme="minorHAnsi"/>
          <w:sz w:val="22"/>
          <w:szCs w:val="22"/>
        </w:rPr>
      </w:pPr>
      <w:r w:rsidRPr="001B6A46">
        <w:rPr>
          <w:rFonts w:asciiTheme="minorHAnsi" w:hAnsiTheme="minorHAnsi" w:cstheme="minorHAnsi"/>
          <w:sz w:val="22"/>
          <w:szCs w:val="22"/>
        </w:rPr>
        <w:t>Lander, P. (2011) </w:t>
      </w:r>
      <w:r w:rsidRPr="001B6A46">
        <w:rPr>
          <w:rFonts w:asciiTheme="minorHAnsi" w:hAnsiTheme="minorHAnsi" w:cstheme="minorHAnsi"/>
          <w:i/>
          <w:iCs/>
          <w:sz w:val="22"/>
          <w:szCs w:val="22"/>
        </w:rPr>
        <w:t>ACPO launches decision model for all policing</w:t>
      </w:r>
      <w:r w:rsidRPr="001B6A46">
        <w:rPr>
          <w:rFonts w:asciiTheme="minorHAnsi" w:hAnsiTheme="minorHAnsi" w:cstheme="minorHAnsi"/>
          <w:sz w:val="22"/>
          <w:szCs w:val="22"/>
        </w:rPr>
        <w:t>. [online] Police Professional. Available at: &lt;https://www.policeprofessional.com/news/acpo-launches-decision-model-for-all-policing/&gt; [Accessed 4 February 2021].</w:t>
      </w:r>
    </w:p>
    <w:p w14:paraId="73089096" w14:textId="2A9FCD8B" w:rsidR="00D01A4C" w:rsidRPr="001B6A46" w:rsidRDefault="00D01A4C" w:rsidP="00D01A4C">
      <w:pPr>
        <w:jc w:val="both"/>
        <w:rPr>
          <w:rFonts w:asciiTheme="minorHAnsi" w:hAnsiTheme="minorHAnsi" w:cstheme="minorHAnsi"/>
          <w:color w:val="auto"/>
          <w:sz w:val="22"/>
          <w:szCs w:val="22"/>
        </w:rPr>
      </w:pPr>
    </w:p>
    <w:p w14:paraId="55F792AC" w14:textId="2301273E" w:rsidR="00D01A4C" w:rsidRPr="001B6A46" w:rsidRDefault="00D01A4C" w:rsidP="00D01A4C">
      <w:pPr>
        <w:jc w:val="both"/>
        <w:rPr>
          <w:rFonts w:asciiTheme="minorHAnsi" w:hAnsiTheme="minorHAnsi" w:cstheme="minorHAnsi"/>
          <w:color w:val="auto"/>
          <w:sz w:val="22"/>
          <w:szCs w:val="22"/>
        </w:rPr>
      </w:pPr>
      <w:r w:rsidRPr="001B6A46">
        <w:rPr>
          <w:rFonts w:asciiTheme="minorHAnsi" w:hAnsiTheme="minorHAnsi" w:cstheme="minorHAnsi"/>
          <w:color w:val="auto"/>
          <w:sz w:val="22"/>
          <w:szCs w:val="22"/>
        </w:rPr>
        <w:lastRenderedPageBreak/>
        <w:t>Ministry of Justice (2013a) </w:t>
      </w:r>
      <w:r w:rsidRPr="001B6A46">
        <w:rPr>
          <w:rFonts w:asciiTheme="minorHAnsi" w:hAnsiTheme="minorHAnsi" w:cstheme="minorHAnsi"/>
          <w:i/>
          <w:iCs/>
          <w:color w:val="auto"/>
          <w:sz w:val="22"/>
          <w:szCs w:val="22"/>
        </w:rPr>
        <w:t>Making a Victim Personal Statement</w:t>
      </w:r>
      <w:r w:rsidRPr="001B6A46">
        <w:rPr>
          <w:rFonts w:asciiTheme="minorHAnsi" w:hAnsiTheme="minorHAnsi" w:cstheme="minorHAnsi"/>
          <w:color w:val="auto"/>
          <w:sz w:val="22"/>
          <w:szCs w:val="22"/>
        </w:rPr>
        <w:t>. [PDF] Ministry of Justice. Available at: &lt;https://assets.publishing.service.gov.uk/government/uploads/system/uploads/attachment_data/file/264625/victims-vps-guidance.pdf&gt; [Accessed 4 February 2021].</w:t>
      </w:r>
    </w:p>
    <w:p w14:paraId="7E4B379B" w14:textId="26A13D75" w:rsidR="00D01A4C" w:rsidRPr="001B6A46" w:rsidRDefault="00D01A4C" w:rsidP="00D01A4C">
      <w:pPr>
        <w:jc w:val="both"/>
        <w:rPr>
          <w:rFonts w:asciiTheme="minorHAnsi" w:hAnsiTheme="minorHAnsi" w:cstheme="minorHAnsi"/>
          <w:color w:val="auto"/>
          <w:sz w:val="22"/>
          <w:szCs w:val="22"/>
        </w:rPr>
      </w:pPr>
    </w:p>
    <w:p w14:paraId="53D10002" w14:textId="77777777" w:rsidR="00D01A4C" w:rsidRPr="001B6A46" w:rsidRDefault="00D01A4C" w:rsidP="00D01A4C">
      <w:pPr>
        <w:jc w:val="both"/>
        <w:rPr>
          <w:rFonts w:asciiTheme="minorHAnsi" w:hAnsiTheme="minorHAnsi" w:cstheme="minorHAnsi"/>
          <w:color w:val="auto"/>
          <w:sz w:val="22"/>
          <w:szCs w:val="22"/>
        </w:rPr>
      </w:pPr>
      <w:r w:rsidRPr="001B6A46">
        <w:rPr>
          <w:rFonts w:asciiTheme="minorHAnsi" w:hAnsiTheme="minorHAnsi" w:cstheme="minorHAnsi"/>
          <w:color w:val="auto"/>
          <w:sz w:val="22"/>
          <w:szCs w:val="22"/>
        </w:rPr>
        <w:t>Ministry of Justice (2013b) </w:t>
      </w:r>
      <w:r w:rsidRPr="001B6A46">
        <w:rPr>
          <w:rFonts w:asciiTheme="minorHAnsi" w:hAnsiTheme="minorHAnsi" w:cstheme="minorHAnsi"/>
          <w:i/>
          <w:iCs/>
          <w:color w:val="auto"/>
          <w:sz w:val="22"/>
          <w:szCs w:val="22"/>
        </w:rPr>
        <w:t>The Witness Charter - Standards of care for witnesses in the criminal justice system</w:t>
      </w:r>
      <w:r w:rsidRPr="001B6A46">
        <w:rPr>
          <w:rFonts w:asciiTheme="minorHAnsi" w:hAnsiTheme="minorHAnsi" w:cstheme="minorHAnsi"/>
          <w:color w:val="auto"/>
          <w:sz w:val="22"/>
          <w:szCs w:val="22"/>
        </w:rPr>
        <w:t>. [PDF] Ministry of Justice. Available at: &lt;https://nationalcrimeagency.gov.uk/who-we-are/publications/425-the-witness-charter-standards-of-care-for-witnesses-in-the-criminal-justice-system/file&gt; [Accessed 2 February 2021].</w:t>
      </w:r>
    </w:p>
    <w:p w14:paraId="13FA3E8C" w14:textId="77777777" w:rsidR="00D01A4C" w:rsidRPr="001B6A46" w:rsidRDefault="00D01A4C" w:rsidP="00D01A4C">
      <w:pPr>
        <w:jc w:val="both"/>
        <w:rPr>
          <w:rFonts w:asciiTheme="minorHAnsi" w:hAnsiTheme="minorHAnsi" w:cstheme="minorHAnsi"/>
          <w:color w:val="auto"/>
          <w:sz w:val="22"/>
          <w:szCs w:val="22"/>
        </w:rPr>
      </w:pPr>
    </w:p>
    <w:p w14:paraId="12BF66A2" w14:textId="41278211" w:rsidR="00D01A4C" w:rsidRPr="001B6A46" w:rsidRDefault="00D01A4C" w:rsidP="00D01A4C">
      <w:pPr>
        <w:jc w:val="both"/>
        <w:rPr>
          <w:rFonts w:asciiTheme="minorHAnsi" w:hAnsiTheme="minorHAnsi" w:cstheme="minorHAnsi"/>
          <w:color w:val="auto"/>
          <w:sz w:val="22"/>
          <w:szCs w:val="22"/>
        </w:rPr>
      </w:pPr>
      <w:r w:rsidRPr="001B6A46">
        <w:rPr>
          <w:rFonts w:asciiTheme="minorHAnsi" w:hAnsiTheme="minorHAnsi" w:cstheme="minorHAnsi"/>
          <w:color w:val="auto"/>
          <w:sz w:val="22"/>
          <w:szCs w:val="22"/>
        </w:rPr>
        <w:t>Ministry of Justice (2015a) </w:t>
      </w:r>
      <w:r w:rsidRPr="001B6A46">
        <w:rPr>
          <w:rFonts w:asciiTheme="minorHAnsi" w:hAnsiTheme="minorHAnsi" w:cstheme="minorHAnsi"/>
          <w:i/>
          <w:iCs/>
          <w:color w:val="auto"/>
          <w:sz w:val="22"/>
          <w:szCs w:val="22"/>
        </w:rPr>
        <w:t>Code of Practice for Victims of Crime</w:t>
      </w:r>
      <w:r w:rsidRPr="001B6A46">
        <w:rPr>
          <w:rFonts w:asciiTheme="minorHAnsi" w:hAnsiTheme="minorHAnsi" w:cstheme="minorHAnsi"/>
          <w:color w:val="auto"/>
          <w:sz w:val="22"/>
          <w:szCs w:val="22"/>
        </w:rPr>
        <w:t>. [PDF] Ministry of Justice. Available at: &lt;https://assets.publishing.service.gov.uk/government/uploads/system/uploads/attachment_data/file/476900/code-of-practice-for-victims-of-crime.PDF&gt; [Accessed 3 February 2021].</w:t>
      </w:r>
    </w:p>
    <w:p w14:paraId="23B5A231" w14:textId="0A1BE761" w:rsidR="00D01A4C" w:rsidRPr="001B6A46" w:rsidRDefault="00D01A4C" w:rsidP="00D01A4C">
      <w:pPr>
        <w:jc w:val="both"/>
        <w:rPr>
          <w:rFonts w:asciiTheme="minorHAnsi" w:hAnsiTheme="minorHAnsi" w:cstheme="minorHAnsi"/>
          <w:color w:val="auto"/>
          <w:sz w:val="22"/>
          <w:szCs w:val="22"/>
        </w:rPr>
      </w:pPr>
    </w:p>
    <w:p w14:paraId="6B8822D7" w14:textId="7DB5F3BC" w:rsidR="00D01A4C" w:rsidRPr="001B6A46" w:rsidRDefault="00D01A4C" w:rsidP="00D01A4C">
      <w:pPr>
        <w:jc w:val="both"/>
        <w:rPr>
          <w:rFonts w:asciiTheme="minorHAnsi" w:hAnsiTheme="minorHAnsi" w:cstheme="minorHAnsi"/>
          <w:sz w:val="22"/>
          <w:szCs w:val="22"/>
        </w:rPr>
      </w:pPr>
      <w:r w:rsidRPr="001B6A46">
        <w:rPr>
          <w:rFonts w:asciiTheme="minorHAnsi" w:hAnsiTheme="minorHAnsi" w:cstheme="minorHAnsi"/>
          <w:sz w:val="22"/>
          <w:szCs w:val="22"/>
        </w:rPr>
        <w:t>Ministry of Justice (2015b) </w:t>
      </w:r>
      <w:r w:rsidRPr="001B6A46">
        <w:rPr>
          <w:rFonts w:asciiTheme="minorHAnsi" w:hAnsiTheme="minorHAnsi" w:cstheme="minorHAnsi"/>
          <w:i/>
          <w:iCs/>
          <w:sz w:val="22"/>
          <w:szCs w:val="22"/>
        </w:rPr>
        <w:t>Criminal Procedure and Investigations Act 1996 (section 23(1)) - Code of Practice</w:t>
      </w:r>
      <w:r w:rsidRPr="001B6A46">
        <w:rPr>
          <w:rFonts w:asciiTheme="minorHAnsi" w:hAnsiTheme="minorHAnsi" w:cstheme="minorHAnsi"/>
          <w:sz w:val="22"/>
          <w:szCs w:val="22"/>
        </w:rPr>
        <w:t>. [PDF] Ministry of Justice. Available at: &lt;https://assets.publishing.service.gov.uk/government/uploads/system/uploads/attachment_data/file/447967/code-of-practice-approved.pdf&gt; [Accessed 5 February 2021].</w:t>
      </w:r>
    </w:p>
    <w:p w14:paraId="6CBFD51F" w14:textId="77777777" w:rsidR="00D01A4C" w:rsidRPr="001B6A46" w:rsidRDefault="00D01A4C" w:rsidP="00D01A4C">
      <w:pPr>
        <w:jc w:val="both"/>
        <w:rPr>
          <w:rFonts w:asciiTheme="minorHAnsi" w:hAnsiTheme="minorHAnsi" w:cstheme="minorHAnsi"/>
          <w:color w:val="auto"/>
          <w:sz w:val="22"/>
          <w:szCs w:val="22"/>
        </w:rPr>
      </w:pPr>
    </w:p>
    <w:p w14:paraId="181A1FA3" w14:textId="6C471701" w:rsidR="00DC5345" w:rsidRPr="001B6A46" w:rsidRDefault="00DC5345" w:rsidP="00D01A4C">
      <w:pPr>
        <w:jc w:val="both"/>
        <w:rPr>
          <w:rFonts w:asciiTheme="minorHAnsi" w:hAnsiTheme="minorHAnsi" w:cstheme="minorHAnsi"/>
          <w:color w:val="auto"/>
          <w:sz w:val="22"/>
          <w:szCs w:val="22"/>
        </w:rPr>
      </w:pPr>
      <w:r w:rsidRPr="001B6A46">
        <w:rPr>
          <w:rFonts w:asciiTheme="minorHAnsi" w:hAnsiTheme="minorHAnsi" w:cstheme="minorHAnsi"/>
          <w:color w:val="auto"/>
          <w:sz w:val="22"/>
          <w:szCs w:val="22"/>
        </w:rPr>
        <w:t>Mulder, P. (2018) </w:t>
      </w:r>
      <w:proofErr w:type="spellStart"/>
      <w:r w:rsidRPr="001B6A46">
        <w:rPr>
          <w:rFonts w:asciiTheme="minorHAnsi" w:hAnsiTheme="minorHAnsi" w:cstheme="minorHAnsi"/>
          <w:i/>
          <w:iCs/>
          <w:color w:val="auto"/>
          <w:sz w:val="22"/>
          <w:szCs w:val="22"/>
        </w:rPr>
        <w:t>Betari</w:t>
      </w:r>
      <w:proofErr w:type="spellEnd"/>
      <w:r w:rsidRPr="001B6A46">
        <w:rPr>
          <w:rFonts w:asciiTheme="minorHAnsi" w:hAnsiTheme="minorHAnsi" w:cstheme="minorHAnsi"/>
          <w:i/>
          <w:iCs/>
          <w:color w:val="auto"/>
          <w:sz w:val="22"/>
          <w:szCs w:val="22"/>
        </w:rPr>
        <w:t xml:space="preserve"> Box Theory</w:t>
      </w:r>
      <w:r w:rsidRPr="001B6A46">
        <w:rPr>
          <w:rFonts w:asciiTheme="minorHAnsi" w:hAnsiTheme="minorHAnsi" w:cstheme="minorHAnsi"/>
          <w:color w:val="auto"/>
          <w:sz w:val="22"/>
          <w:szCs w:val="22"/>
        </w:rPr>
        <w:t xml:space="preserve">. [online] </w:t>
      </w:r>
      <w:proofErr w:type="spellStart"/>
      <w:r w:rsidRPr="001B6A46">
        <w:rPr>
          <w:rFonts w:asciiTheme="minorHAnsi" w:hAnsiTheme="minorHAnsi" w:cstheme="minorHAnsi"/>
          <w:color w:val="auto"/>
          <w:sz w:val="22"/>
          <w:szCs w:val="22"/>
        </w:rPr>
        <w:t>ToolsHero</w:t>
      </w:r>
      <w:proofErr w:type="spellEnd"/>
      <w:r w:rsidRPr="001B6A46">
        <w:rPr>
          <w:rFonts w:asciiTheme="minorHAnsi" w:hAnsiTheme="minorHAnsi" w:cstheme="minorHAnsi"/>
          <w:color w:val="auto"/>
          <w:sz w:val="22"/>
          <w:szCs w:val="22"/>
        </w:rPr>
        <w:t>. Available at: &lt;https://www.toolshero.com/communication-skills/betari-box-theory/&gt; [Accessed 27 January 2021].</w:t>
      </w:r>
    </w:p>
    <w:p w14:paraId="7E4A70B4" w14:textId="08D2A699" w:rsidR="00D01A4C" w:rsidRPr="001B6A46" w:rsidRDefault="00D01A4C" w:rsidP="00D01A4C">
      <w:pPr>
        <w:jc w:val="both"/>
        <w:rPr>
          <w:rFonts w:asciiTheme="minorHAnsi" w:hAnsiTheme="minorHAnsi" w:cstheme="minorHAnsi"/>
          <w:color w:val="auto"/>
          <w:sz w:val="22"/>
          <w:szCs w:val="22"/>
        </w:rPr>
      </w:pPr>
    </w:p>
    <w:p w14:paraId="144E0324" w14:textId="50E4F9D6" w:rsidR="00D01A4C" w:rsidRPr="001B6A46" w:rsidRDefault="00D01A4C" w:rsidP="00D01A4C">
      <w:pPr>
        <w:jc w:val="both"/>
        <w:rPr>
          <w:rFonts w:asciiTheme="minorHAnsi" w:hAnsiTheme="minorHAnsi" w:cstheme="minorHAnsi"/>
          <w:sz w:val="22"/>
          <w:szCs w:val="22"/>
        </w:rPr>
      </w:pPr>
      <w:r w:rsidRPr="001B6A46">
        <w:rPr>
          <w:rFonts w:asciiTheme="minorHAnsi" w:hAnsiTheme="minorHAnsi" w:cstheme="minorHAnsi"/>
          <w:sz w:val="22"/>
          <w:szCs w:val="22"/>
        </w:rPr>
        <w:t>National Police Chiefs’ Council (2015) </w:t>
      </w:r>
      <w:r w:rsidRPr="001B6A46">
        <w:rPr>
          <w:rFonts w:asciiTheme="minorHAnsi" w:hAnsiTheme="minorHAnsi" w:cstheme="minorHAnsi"/>
          <w:i/>
          <w:iCs/>
          <w:sz w:val="22"/>
          <w:szCs w:val="22"/>
        </w:rPr>
        <w:t>NPCC - History and background</w:t>
      </w:r>
      <w:r w:rsidRPr="001B6A46">
        <w:rPr>
          <w:rFonts w:asciiTheme="minorHAnsi" w:hAnsiTheme="minorHAnsi" w:cstheme="minorHAnsi"/>
          <w:sz w:val="22"/>
          <w:szCs w:val="22"/>
        </w:rPr>
        <w:t>. [online] Available at: &lt;https://www.npcc.police.uk/About/History.aspx&gt; [Accessed 4 February 2021].</w:t>
      </w:r>
    </w:p>
    <w:p w14:paraId="7B5154D0" w14:textId="7A2FBA1A" w:rsidR="00D01A4C" w:rsidRPr="001B6A46" w:rsidRDefault="00D01A4C" w:rsidP="00D01A4C">
      <w:pPr>
        <w:jc w:val="both"/>
        <w:rPr>
          <w:rFonts w:asciiTheme="minorHAnsi" w:hAnsiTheme="minorHAnsi" w:cstheme="minorHAnsi"/>
          <w:sz w:val="22"/>
          <w:szCs w:val="22"/>
        </w:rPr>
      </w:pPr>
    </w:p>
    <w:p w14:paraId="1403721B" w14:textId="3E65502C" w:rsidR="00D01A4C" w:rsidRPr="001B6A46" w:rsidRDefault="00D01A4C" w:rsidP="00D01A4C">
      <w:pPr>
        <w:jc w:val="both"/>
        <w:rPr>
          <w:rFonts w:asciiTheme="minorHAnsi" w:hAnsiTheme="minorHAnsi" w:cstheme="minorHAnsi"/>
          <w:sz w:val="22"/>
          <w:szCs w:val="22"/>
        </w:rPr>
      </w:pPr>
      <w:proofErr w:type="spellStart"/>
      <w:r w:rsidRPr="001B6A46">
        <w:rPr>
          <w:rFonts w:asciiTheme="minorHAnsi" w:hAnsiTheme="minorHAnsi" w:cstheme="minorHAnsi"/>
          <w:sz w:val="22"/>
          <w:szCs w:val="22"/>
        </w:rPr>
        <w:t>OpenLearn</w:t>
      </w:r>
      <w:proofErr w:type="spellEnd"/>
      <w:r w:rsidRPr="001B6A46">
        <w:rPr>
          <w:rFonts w:asciiTheme="minorHAnsi" w:hAnsiTheme="minorHAnsi" w:cstheme="minorHAnsi"/>
          <w:sz w:val="22"/>
          <w:szCs w:val="22"/>
        </w:rPr>
        <w:t xml:space="preserve"> (2016) </w:t>
      </w:r>
      <w:r w:rsidRPr="001B6A46">
        <w:rPr>
          <w:rFonts w:asciiTheme="minorHAnsi" w:hAnsiTheme="minorHAnsi" w:cstheme="minorHAnsi"/>
          <w:i/>
          <w:iCs/>
          <w:sz w:val="22"/>
          <w:szCs w:val="22"/>
        </w:rPr>
        <w:t>Collaborative problem solving for community safety</w:t>
      </w:r>
      <w:r w:rsidRPr="001B6A46">
        <w:rPr>
          <w:rFonts w:asciiTheme="minorHAnsi" w:hAnsiTheme="minorHAnsi" w:cstheme="minorHAnsi"/>
          <w:sz w:val="22"/>
          <w:szCs w:val="22"/>
        </w:rPr>
        <w:t>. [online] Available at: &lt;https://www.open.edu/openlearn/ocw/mod/oucontent/view.php?id=65950&amp;section=5.1&gt; [Accessed 3 February 2021].</w:t>
      </w:r>
    </w:p>
    <w:p w14:paraId="7AF66B38" w14:textId="77777777" w:rsidR="00D01A4C" w:rsidRPr="001B6A46" w:rsidRDefault="00D01A4C" w:rsidP="00D01A4C">
      <w:pPr>
        <w:jc w:val="both"/>
        <w:rPr>
          <w:rFonts w:asciiTheme="minorHAnsi" w:hAnsiTheme="minorHAnsi" w:cstheme="minorHAnsi"/>
          <w:color w:val="auto"/>
          <w:sz w:val="22"/>
          <w:szCs w:val="22"/>
        </w:rPr>
      </w:pPr>
    </w:p>
    <w:p w14:paraId="6AAE297F" w14:textId="77777777" w:rsidR="00D01A4C" w:rsidRPr="001B6A46" w:rsidRDefault="00DC5345" w:rsidP="00D01A4C">
      <w:pPr>
        <w:jc w:val="both"/>
        <w:rPr>
          <w:rFonts w:asciiTheme="minorHAnsi" w:hAnsiTheme="minorHAnsi" w:cstheme="minorHAnsi"/>
          <w:color w:val="auto"/>
          <w:sz w:val="22"/>
          <w:szCs w:val="22"/>
        </w:rPr>
      </w:pPr>
      <w:r w:rsidRPr="001B6A46">
        <w:rPr>
          <w:rFonts w:asciiTheme="minorHAnsi" w:hAnsiTheme="minorHAnsi" w:cstheme="minorHAnsi"/>
          <w:color w:val="auto"/>
          <w:sz w:val="22"/>
          <w:szCs w:val="22"/>
        </w:rPr>
        <w:t>Oppong, T. (2019) </w:t>
      </w:r>
      <w:r w:rsidRPr="001B6A46">
        <w:rPr>
          <w:rFonts w:asciiTheme="minorHAnsi" w:hAnsiTheme="minorHAnsi" w:cstheme="minorHAnsi"/>
          <w:i/>
          <w:iCs/>
          <w:color w:val="auto"/>
          <w:sz w:val="22"/>
          <w:szCs w:val="22"/>
        </w:rPr>
        <w:t>Your Emotional Brain is Smarter Than Your Brain Thinks</w:t>
      </w:r>
      <w:r w:rsidRPr="001B6A46">
        <w:rPr>
          <w:rFonts w:asciiTheme="minorHAnsi" w:hAnsiTheme="minorHAnsi" w:cstheme="minorHAnsi"/>
          <w:color w:val="auto"/>
          <w:sz w:val="22"/>
          <w:szCs w:val="22"/>
        </w:rPr>
        <w:t>. [online] Medium. Available at: &lt;https://medium.com/personal-growth/your-emotional-brain-is-usually-smarter-than-your-brain-thinks-8d76db29c5f8#:~:text=Your%20rational%20brain%20represents%20your,instincts%2C%20impulses%2C%20and%20intuition.&amp;text=The%20emotional%20brain%2C%20however%2C%20makes,even%20though%20it's%20often%20irrational&gt; [Accessed 25 January 2021].</w:t>
      </w:r>
    </w:p>
    <w:p w14:paraId="20106C68" w14:textId="77777777" w:rsidR="00D01A4C" w:rsidRPr="001B6A46" w:rsidRDefault="00D01A4C" w:rsidP="00D01A4C">
      <w:pPr>
        <w:jc w:val="both"/>
        <w:rPr>
          <w:rFonts w:asciiTheme="minorHAnsi" w:hAnsiTheme="minorHAnsi" w:cstheme="minorHAnsi"/>
          <w:color w:val="auto"/>
          <w:sz w:val="22"/>
          <w:szCs w:val="22"/>
        </w:rPr>
      </w:pPr>
    </w:p>
    <w:p w14:paraId="17A68A52" w14:textId="367ACCD2" w:rsidR="00D01A4C" w:rsidRPr="001B6A46" w:rsidRDefault="00D01A4C" w:rsidP="00D01A4C">
      <w:pPr>
        <w:jc w:val="both"/>
        <w:rPr>
          <w:rFonts w:asciiTheme="minorHAnsi" w:hAnsiTheme="minorHAnsi" w:cstheme="minorHAnsi"/>
          <w:color w:val="auto"/>
          <w:sz w:val="22"/>
          <w:szCs w:val="22"/>
        </w:rPr>
      </w:pPr>
      <w:r w:rsidRPr="001B6A46">
        <w:rPr>
          <w:rFonts w:asciiTheme="minorHAnsi" w:hAnsiTheme="minorHAnsi" w:cstheme="minorHAnsi"/>
          <w:color w:val="auto"/>
          <w:sz w:val="22"/>
          <w:szCs w:val="22"/>
        </w:rPr>
        <w:t xml:space="preserve">Potter, K. (2004) </w:t>
      </w:r>
      <w:r w:rsidRPr="001B6A46">
        <w:rPr>
          <w:rFonts w:asciiTheme="minorHAnsi" w:hAnsiTheme="minorHAnsi" w:cstheme="minorHAnsi"/>
          <w:i/>
          <w:iCs/>
          <w:color w:val="auto"/>
          <w:sz w:val="22"/>
          <w:szCs w:val="22"/>
        </w:rPr>
        <w:t>Policing the Reassurance Gap</w:t>
      </w:r>
      <w:r w:rsidRPr="001B6A46">
        <w:rPr>
          <w:rFonts w:asciiTheme="minorHAnsi" w:hAnsiTheme="minorHAnsi" w:cstheme="minorHAnsi"/>
          <w:color w:val="auto"/>
          <w:sz w:val="22"/>
          <w:szCs w:val="22"/>
        </w:rPr>
        <w:t>. [online] Police Professional. Available at: &lt;https://www.policeprofessional.com/news/policing-the-reassurance-gap/&gt; [Accessed 4 February 2021].</w:t>
      </w:r>
    </w:p>
    <w:p w14:paraId="14082600" w14:textId="77777777" w:rsidR="00D01A4C" w:rsidRPr="001B6A46" w:rsidRDefault="00D01A4C" w:rsidP="00D01A4C">
      <w:pPr>
        <w:jc w:val="both"/>
        <w:rPr>
          <w:rFonts w:asciiTheme="minorHAnsi" w:hAnsiTheme="minorHAnsi" w:cstheme="minorHAnsi"/>
          <w:color w:val="auto"/>
          <w:sz w:val="22"/>
          <w:szCs w:val="22"/>
        </w:rPr>
      </w:pPr>
    </w:p>
    <w:p w14:paraId="3A8C3FCF" w14:textId="57C23EB6" w:rsidR="00D01A4C" w:rsidRPr="001B6A46" w:rsidRDefault="00D01A4C" w:rsidP="00D01A4C">
      <w:pPr>
        <w:jc w:val="both"/>
        <w:rPr>
          <w:rFonts w:asciiTheme="minorHAnsi" w:hAnsiTheme="minorHAnsi" w:cstheme="minorHAnsi"/>
          <w:sz w:val="22"/>
          <w:szCs w:val="22"/>
          <w:shd w:val="clear" w:color="auto" w:fill="FFFFFF"/>
        </w:rPr>
      </w:pPr>
      <w:r w:rsidRPr="001B6A46">
        <w:rPr>
          <w:rFonts w:asciiTheme="minorHAnsi" w:hAnsiTheme="minorHAnsi" w:cstheme="minorHAnsi"/>
          <w:sz w:val="22"/>
          <w:szCs w:val="22"/>
          <w:shd w:val="clear" w:color="auto" w:fill="FFFFFF"/>
        </w:rPr>
        <w:t>Segal, J., Smith, M., Robinson, L. and Boose, G. (2020) </w:t>
      </w:r>
      <w:r w:rsidRPr="001B6A46">
        <w:rPr>
          <w:rFonts w:asciiTheme="minorHAnsi" w:hAnsiTheme="minorHAnsi" w:cstheme="minorHAnsi"/>
          <w:i/>
          <w:iCs/>
          <w:sz w:val="22"/>
          <w:szCs w:val="22"/>
          <w:shd w:val="clear" w:color="auto" w:fill="FFFFFF"/>
        </w:rPr>
        <w:t>Nonverbal Communication and Body Language - HelpGuide.org</w:t>
      </w:r>
      <w:r w:rsidRPr="001B6A46">
        <w:rPr>
          <w:rFonts w:asciiTheme="minorHAnsi" w:hAnsiTheme="minorHAnsi" w:cstheme="minorHAnsi"/>
          <w:sz w:val="22"/>
          <w:szCs w:val="22"/>
          <w:shd w:val="clear" w:color="auto" w:fill="FFFFFF"/>
        </w:rPr>
        <w:t>. [online] Helpguide.org. Available at: &lt;https://www.helpguide.org/articles/relationships-communication/nonverbal-communication.htm&gt; [Accessed 26 January 2021].</w:t>
      </w:r>
    </w:p>
    <w:p w14:paraId="51ECABCD" w14:textId="7F87AF96" w:rsidR="00D01A4C" w:rsidRPr="001B6A46" w:rsidRDefault="00D01A4C" w:rsidP="00D01A4C">
      <w:pPr>
        <w:jc w:val="both"/>
        <w:rPr>
          <w:rFonts w:asciiTheme="minorHAnsi" w:hAnsiTheme="minorHAnsi" w:cstheme="minorHAnsi"/>
          <w:sz w:val="22"/>
          <w:szCs w:val="22"/>
          <w:shd w:val="clear" w:color="auto" w:fill="FFFFFF"/>
        </w:rPr>
      </w:pPr>
    </w:p>
    <w:p w14:paraId="17A35147" w14:textId="16EF5964" w:rsidR="00D01A4C" w:rsidRPr="001B6A46" w:rsidRDefault="00D01A4C" w:rsidP="00D01A4C">
      <w:pPr>
        <w:jc w:val="both"/>
        <w:rPr>
          <w:rFonts w:asciiTheme="minorHAnsi" w:hAnsiTheme="minorHAnsi" w:cstheme="minorHAnsi"/>
          <w:color w:val="auto"/>
          <w:sz w:val="22"/>
          <w:szCs w:val="22"/>
        </w:rPr>
      </w:pPr>
      <w:r w:rsidRPr="001B6A46">
        <w:rPr>
          <w:rFonts w:asciiTheme="minorHAnsi" w:hAnsiTheme="minorHAnsi" w:cstheme="minorHAnsi"/>
          <w:color w:val="auto"/>
          <w:sz w:val="22"/>
          <w:szCs w:val="22"/>
        </w:rPr>
        <w:t>The Crown Prosecution Service (2017) </w:t>
      </w:r>
      <w:r w:rsidRPr="001B6A46">
        <w:rPr>
          <w:rFonts w:asciiTheme="minorHAnsi" w:hAnsiTheme="minorHAnsi" w:cstheme="minorHAnsi"/>
          <w:i/>
          <w:iCs/>
          <w:color w:val="auto"/>
          <w:sz w:val="22"/>
          <w:szCs w:val="22"/>
        </w:rPr>
        <w:t>Special Measures</w:t>
      </w:r>
      <w:r w:rsidRPr="001B6A46">
        <w:rPr>
          <w:rFonts w:asciiTheme="minorHAnsi" w:hAnsiTheme="minorHAnsi" w:cstheme="minorHAnsi"/>
          <w:color w:val="auto"/>
          <w:sz w:val="22"/>
          <w:szCs w:val="22"/>
        </w:rPr>
        <w:t>. [online] Available at: &lt;https://www.cps.gov.uk/legal-guidance/special-measures&gt; [Accessed 5 February 2021].</w:t>
      </w:r>
    </w:p>
    <w:p w14:paraId="774503D4" w14:textId="2DB0C631" w:rsidR="00AF63F6" w:rsidRPr="001B6A46" w:rsidRDefault="00AF63F6" w:rsidP="00D01A4C">
      <w:pPr>
        <w:jc w:val="both"/>
        <w:rPr>
          <w:rFonts w:asciiTheme="minorHAnsi" w:hAnsiTheme="minorHAnsi" w:cstheme="minorHAnsi"/>
          <w:color w:val="auto"/>
          <w:sz w:val="22"/>
          <w:szCs w:val="22"/>
        </w:rPr>
      </w:pPr>
    </w:p>
    <w:p w14:paraId="093410DD" w14:textId="77777777" w:rsidR="00AF63F6" w:rsidRPr="001B6A46" w:rsidRDefault="00AF63F6" w:rsidP="00AF63F6">
      <w:pPr>
        <w:jc w:val="both"/>
        <w:rPr>
          <w:rFonts w:asciiTheme="minorHAnsi" w:hAnsiTheme="minorHAnsi" w:cstheme="minorHAnsi"/>
          <w:sz w:val="22"/>
          <w:szCs w:val="22"/>
        </w:rPr>
      </w:pPr>
      <w:r w:rsidRPr="001B6A46">
        <w:rPr>
          <w:rFonts w:asciiTheme="minorHAnsi" w:hAnsiTheme="minorHAnsi" w:cstheme="minorHAnsi"/>
          <w:sz w:val="22"/>
          <w:szCs w:val="22"/>
        </w:rPr>
        <w:t>The Crown Prosecution Service (2018) </w:t>
      </w:r>
      <w:r w:rsidRPr="001B6A46">
        <w:rPr>
          <w:rFonts w:asciiTheme="minorHAnsi" w:hAnsiTheme="minorHAnsi" w:cstheme="minorHAnsi"/>
          <w:i/>
          <w:iCs/>
          <w:sz w:val="22"/>
          <w:szCs w:val="22"/>
        </w:rPr>
        <w:t>Disclosure Manual</w:t>
      </w:r>
      <w:r w:rsidRPr="001B6A46">
        <w:rPr>
          <w:rFonts w:asciiTheme="minorHAnsi" w:hAnsiTheme="minorHAnsi" w:cstheme="minorHAnsi"/>
          <w:sz w:val="22"/>
          <w:szCs w:val="22"/>
        </w:rPr>
        <w:t>. [PDF] Available at: &lt;https://www.cps.gov.uk/sites/default/files/documents/legal_guidance/Disclosure-Manual-December-2018.pdf&gt; [Accessed 3 February 2021].</w:t>
      </w:r>
    </w:p>
    <w:p w14:paraId="2D7796F9" w14:textId="77777777" w:rsidR="00AF63F6" w:rsidRPr="001B6A46" w:rsidRDefault="00AF63F6" w:rsidP="00AF63F6">
      <w:pPr>
        <w:jc w:val="both"/>
        <w:rPr>
          <w:rFonts w:asciiTheme="minorHAnsi" w:hAnsiTheme="minorHAnsi" w:cstheme="minorHAnsi"/>
          <w:sz w:val="22"/>
          <w:szCs w:val="22"/>
        </w:rPr>
      </w:pPr>
    </w:p>
    <w:p w14:paraId="71B0081C" w14:textId="087BAEC4" w:rsidR="00AF63F6" w:rsidRPr="001B6A46" w:rsidRDefault="00AF63F6" w:rsidP="00D01A4C">
      <w:pPr>
        <w:jc w:val="both"/>
        <w:rPr>
          <w:rFonts w:asciiTheme="minorHAnsi" w:hAnsiTheme="minorHAnsi" w:cstheme="minorHAnsi"/>
          <w:sz w:val="22"/>
          <w:szCs w:val="22"/>
        </w:rPr>
      </w:pPr>
      <w:r w:rsidRPr="001B6A46">
        <w:rPr>
          <w:rFonts w:asciiTheme="minorHAnsi" w:hAnsiTheme="minorHAnsi" w:cstheme="minorHAnsi"/>
          <w:sz w:val="22"/>
          <w:szCs w:val="22"/>
        </w:rPr>
        <w:t>The Crown Prosecution Service (2019) </w:t>
      </w:r>
      <w:r w:rsidRPr="001B6A46">
        <w:rPr>
          <w:rFonts w:asciiTheme="minorHAnsi" w:hAnsiTheme="minorHAnsi" w:cstheme="minorHAnsi"/>
          <w:i/>
          <w:iCs/>
          <w:sz w:val="22"/>
          <w:szCs w:val="22"/>
        </w:rPr>
        <w:t>Self-Defence and the Prevention of Crime</w:t>
      </w:r>
      <w:r w:rsidRPr="001B6A46">
        <w:rPr>
          <w:rFonts w:asciiTheme="minorHAnsi" w:hAnsiTheme="minorHAnsi" w:cstheme="minorHAnsi"/>
          <w:sz w:val="22"/>
          <w:szCs w:val="22"/>
        </w:rPr>
        <w:t>. [online] Available at: &lt;https://www.cps.gov.uk/legal-guidance/self-defence-and-prevention-crime#:~:text=%22A%20person%20may%20use%20such,of%20persons%20unlawfully%20at%20large.%22&gt; [Accessed 2 February 2021].</w:t>
      </w:r>
    </w:p>
    <w:p w14:paraId="0BEC4802" w14:textId="635A5A79" w:rsidR="00AF63F6" w:rsidRPr="001B6A46" w:rsidRDefault="00AF63F6" w:rsidP="00AF63F6">
      <w:pPr>
        <w:keepNext/>
        <w:tabs>
          <w:tab w:val="left" w:pos="8196"/>
        </w:tabs>
        <w:spacing w:before="240" w:after="60"/>
        <w:jc w:val="both"/>
        <w:rPr>
          <w:b/>
          <w:sz w:val="22"/>
          <w:szCs w:val="22"/>
        </w:rPr>
      </w:pPr>
      <w:proofErr w:type="spellStart"/>
      <w:r w:rsidRPr="001B6A46">
        <w:rPr>
          <w:rFonts w:asciiTheme="minorHAnsi" w:hAnsiTheme="minorHAnsi" w:cstheme="minorHAnsi"/>
          <w:sz w:val="22"/>
          <w:szCs w:val="22"/>
        </w:rPr>
        <w:t>UKEssays</w:t>
      </w:r>
      <w:proofErr w:type="spellEnd"/>
      <w:r w:rsidRPr="001B6A46">
        <w:rPr>
          <w:rFonts w:asciiTheme="minorHAnsi" w:hAnsiTheme="minorHAnsi" w:cstheme="minorHAnsi"/>
          <w:sz w:val="22"/>
          <w:szCs w:val="22"/>
        </w:rPr>
        <w:t xml:space="preserve"> (2018) Police discretion is essential part of policing. [online] Available at: https://www.ukessays.com/essays/criminology/police-discretion-is-essential-part-of-policing-criminology-essay.php?vref=1 [Accessed 6 February 2021].</w:t>
      </w:r>
    </w:p>
    <w:p w14:paraId="1367FEB6" w14:textId="77777777" w:rsidR="00D01A4C" w:rsidRPr="001B6A46" w:rsidRDefault="00D01A4C" w:rsidP="00D01A4C">
      <w:pPr>
        <w:jc w:val="both"/>
        <w:rPr>
          <w:rFonts w:asciiTheme="minorHAnsi" w:hAnsiTheme="minorHAnsi" w:cstheme="minorHAnsi"/>
          <w:color w:val="auto"/>
          <w:sz w:val="22"/>
          <w:szCs w:val="22"/>
        </w:rPr>
      </w:pPr>
    </w:p>
    <w:p w14:paraId="6ED77802" w14:textId="1B42DAA2" w:rsidR="0093018C" w:rsidRPr="00AF63F6" w:rsidRDefault="00D01A4C" w:rsidP="00AF63F6">
      <w:pPr>
        <w:jc w:val="both"/>
        <w:rPr>
          <w:rFonts w:asciiTheme="minorHAnsi" w:hAnsiTheme="minorHAnsi" w:cstheme="minorHAnsi"/>
          <w:color w:val="auto"/>
        </w:rPr>
      </w:pPr>
      <w:r w:rsidRPr="001B6A46">
        <w:rPr>
          <w:rFonts w:asciiTheme="minorHAnsi" w:hAnsiTheme="minorHAnsi" w:cstheme="minorHAnsi"/>
          <w:color w:val="auto"/>
          <w:sz w:val="22"/>
          <w:szCs w:val="22"/>
        </w:rPr>
        <w:t>West Yorkshire Police (2011) </w:t>
      </w:r>
      <w:r w:rsidRPr="001B6A46">
        <w:rPr>
          <w:rFonts w:asciiTheme="minorHAnsi" w:hAnsiTheme="minorHAnsi" w:cstheme="minorHAnsi"/>
          <w:i/>
          <w:iCs/>
          <w:color w:val="auto"/>
          <w:sz w:val="22"/>
          <w:szCs w:val="22"/>
        </w:rPr>
        <w:t>Use of Force</w:t>
      </w:r>
      <w:r w:rsidRPr="001B6A46">
        <w:rPr>
          <w:rFonts w:asciiTheme="minorHAnsi" w:hAnsiTheme="minorHAnsi" w:cstheme="minorHAnsi"/>
          <w:color w:val="auto"/>
          <w:sz w:val="22"/>
          <w:szCs w:val="22"/>
        </w:rPr>
        <w:t>. [PDF] p.2. Available at: &lt;https://www.westyorkshire.police.uk/sites/default/files/files/disclosure-logs/2014_218_foi2014514185_use_of_force_policy2.pdf&gt; [Accessed 26 January 2021].</w:t>
      </w:r>
      <w:r w:rsidR="00BC5725"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w:t>
      </w:r>
      <w:r w:rsidRPr="001B6A46">
        <w:rPr>
          <w:b/>
          <w:bCs/>
          <w:sz w:val="22"/>
          <w:szCs w:val="22"/>
        </w:rPr>
        <w:t>CONFIDENTIALITY</w:t>
      </w:r>
      <w:r w:rsidRPr="48DF4B50">
        <w:rPr>
          <w:b/>
          <w:bCs/>
          <w:sz w:val="24"/>
          <w:szCs w:val="24"/>
        </w:rPr>
        <w:t xml:space="preserve">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3588C1E7" w:rsidR="62FE5CAF" w:rsidRDefault="62FE5CAF" w:rsidP="62FE5CAF">
      <w:pPr>
        <w:jc w:val="both"/>
        <w:rPr>
          <w:sz w:val="24"/>
          <w:szCs w:val="24"/>
        </w:rPr>
      </w:pPr>
      <w:r w:rsidRPr="48DF4B50">
        <w:rPr>
          <w:sz w:val="24"/>
          <w:szCs w:val="24"/>
        </w:rPr>
        <w:t xml:space="preserve">Signed:  </w:t>
      </w:r>
      <w:r w:rsidR="00F452A9">
        <w:rPr>
          <w:sz w:val="24"/>
          <w:szCs w:val="24"/>
        </w:rPr>
        <w:t>Matthew Edwards</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2BC027A5" w:rsidR="62FE5CAF" w:rsidRDefault="62FE5CAF" w:rsidP="62FE5CAF">
      <w:pPr>
        <w:jc w:val="both"/>
        <w:rPr>
          <w:sz w:val="24"/>
          <w:szCs w:val="24"/>
        </w:rPr>
      </w:pPr>
      <w:r w:rsidRPr="62FE5CAF">
        <w:rPr>
          <w:sz w:val="24"/>
          <w:szCs w:val="24"/>
        </w:rPr>
        <w:t xml:space="preserve">Date: </w:t>
      </w:r>
      <w:r w:rsidR="00F452A9">
        <w:rPr>
          <w:sz w:val="24"/>
          <w:szCs w:val="24"/>
        </w:rPr>
        <w:t>07-02-2021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D6D9CC" w14:textId="77777777" w:rsidR="005F4E00" w:rsidRDefault="005F4E00">
      <w:r>
        <w:separator/>
      </w:r>
    </w:p>
  </w:endnote>
  <w:endnote w:type="continuationSeparator" w:id="0">
    <w:p w14:paraId="7DC209DB" w14:textId="77777777" w:rsidR="005F4E00" w:rsidRDefault="005F4E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Bliss 2 Light">
    <w:altName w:val="Calibri"/>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38EB567C" w:rsidR="00F6513F" w:rsidRDefault="00F6513F">
    <w:pPr>
      <w:pStyle w:val="Footer"/>
      <w:jc w:val="right"/>
    </w:pPr>
    <w:r>
      <w:fldChar w:fldCharType="begin"/>
    </w:r>
    <w:r>
      <w:instrText xml:space="preserve"> PAGE   \* MERGEFORMAT </w:instrText>
    </w:r>
    <w:r>
      <w:fldChar w:fldCharType="separate"/>
    </w:r>
    <w:r w:rsidR="00C924E5">
      <w:rPr>
        <w:noProof/>
      </w:rPr>
      <w:t>2</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BF46ED4" w14:textId="77777777" w:rsidR="005F4E00" w:rsidRDefault="005F4E00">
      <w:r>
        <w:separator/>
      </w:r>
    </w:p>
  </w:footnote>
  <w:footnote w:type="continuationSeparator" w:id="0">
    <w:p w14:paraId="1131672D" w14:textId="77777777" w:rsidR="005F4E00" w:rsidRDefault="005F4E0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1A7024"/>
    <w:multiLevelType w:val="hybridMultilevel"/>
    <w:tmpl w:val="4B3A523E"/>
    <w:lvl w:ilvl="0" w:tplc="4420F66E">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092437B"/>
    <w:multiLevelType w:val="hybridMultilevel"/>
    <w:tmpl w:val="4B3A523E"/>
    <w:lvl w:ilvl="0" w:tplc="4420F66E">
      <w:start w:val="1"/>
      <w:numFmt w:val="decimal"/>
      <w:lvlText w:val="%1."/>
      <w:lvlJc w:val="left"/>
      <w:pPr>
        <w:ind w:left="720" w:hanging="360"/>
      </w:pPr>
      <w:rPr>
        <w:rFonts w:hint="default"/>
        <w:color w:val="00000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6"/>
  </w:num>
  <w:num w:numId="5">
    <w:abstractNumId w:val="48"/>
  </w:num>
  <w:num w:numId="6">
    <w:abstractNumId w:val="36"/>
  </w:num>
  <w:num w:numId="7">
    <w:abstractNumId w:val="34"/>
  </w:num>
  <w:num w:numId="8">
    <w:abstractNumId w:val="29"/>
  </w:num>
  <w:num w:numId="9">
    <w:abstractNumId w:val="30"/>
  </w:num>
  <w:num w:numId="10">
    <w:abstractNumId w:val="9"/>
  </w:num>
  <w:num w:numId="11">
    <w:abstractNumId w:val="35"/>
  </w:num>
  <w:num w:numId="12">
    <w:abstractNumId w:val="16"/>
  </w:num>
  <w:num w:numId="13">
    <w:abstractNumId w:val="15"/>
  </w:num>
  <w:num w:numId="14">
    <w:abstractNumId w:val="26"/>
  </w:num>
  <w:num w:numId="15">
    <w:abstractNumId w:val="7"/>
  </w:num>
  <w:num w:numId="16">
    <w:abstractNumId w:val="25"/>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7"/>
  </w:num>
  <w:num w:numId="25">
    <w:abstractNumId w:val="18"/>
  </w:num>
  <w:num w:numId="26">
    <w:abstractNumId w:val="42"/>
  </w:num>
  <w:num w:numId="27">
    <w:abstractNumId w:val="37"/>
  </w:num>
  <w:num w:numId="28">
    <w:abstractNumId w:val="41"/>
  </w:num>
  <w:num w:numId="29">
    <w:abstractNumId w:val="19"/>
  </w:num>
  <w:num w:numId="30">
    <w:abstractNumId w:val="44"/>
  </w:num>
  <w:num w:numId="31">
    <w:abstractNumId w:val="31"/>
  </w:num>
  <w:num w:numId="32">
    <w:abstractNumId w:val="11"/>
  </w:num>
  <w:num w:numId="33">
    <w:abstractNumId w:val="45"/>
  </w:num>
  <w:num w:numId="34">
    <w:abstractNumId w:val="40"/>
  </w:num>
  <w:num w:numId="35">
    <w:abstractNumId w:val="4"/>
  </w:num>
  <w:num w:numId="36">
    <w:abstractNumId w:val="47"/>
  </w:num>
  <w:num w:numId="37">
    <w:abstractNumId w:val="43"/>
  </w:num>
  <w:num w:numId="38">
    <w:abstractNumId w:val="38"/>
  </w:num>
  <w:num w:numId="39">
    <w:abstractNumId w:val="39"/>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0"/>
  </w:num>
  <w:num w:numId="47">
    <w:abstractNumId w:val="28"/>
  </w:num>
  <w:num w:numId="48">
    <w:abstractNumId w:val="49"/>
  </w:num>
  <w:num w:numId="49">
    <w:abstractNumId w:val="33"/>
  </w:num>
  <w:num w:numId="50">
    <w:abstractNumId w:val="2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1024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76992"/>
    <w:rsid w:val="00080E58"/>
    <w:rsid w:val="00083D99"/>
    <w:rsid w:val="00084EA6"/>
    <w:rsid w:val="00085699"/>
    <w:rsid w:val="00087891"/>
    <w:rsid w:val="00087AA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1BED"/>
    <w:rsid w:val="000E26B0"/>
    <w:rsid w:val="000F1599"/>
    <w:rsid w:val="000F1769"/>
    <w:rsid w:val="000F6196"/>
    <w:rsid w:val="000F7ECD"/>
    <w:rsid w:val="00102E64"/>
    <w:rsid w:val="0010312C"/>
    <w:rsid w:val="00103D6B"/>
    <w:rsid w:val="00106DC7"/>
    <w:rsid w:val="00112391"/>
    <w:rsid w:val="00114F52"/>
    <w:rsid w:val="0012730F"/>
    <w:rsid w:val="001347F8"/>
    <w:rsid w:val="00137BB5"/>
    <w:rsid w:val="00137E05"/>
    <w:rsid w:val="00141898"/>
    <w:rsid w:val="001447F6"/>
    <w:rsid w:val="00147DE3"/>
    <w:rsid w:val="00150794"/>
    <w:rsid w:val="001608C4"/>
    <w:rsid w:val="00171418"/>
    <w:rsid w:val="0019062A"/>
    <w:rsid w:val="00190913"/>
    <w:rsid w:val="001961CF"/>
    <w:rsid w:val="001A59BB"/>
    <w:rsid w:val="001A6A51"/>
    <w:rsid w:val="001A79C4"/>
    <w:rsid w:val="001B331A"/>
    <w:rsid w:val="001B6A46"/>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4B8B"/>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743"/>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9D2"/>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F4E00"/>
    <w:rsid w:val="00606E27"/>
    <w:rsid w:val="006108C9"/>
    <w:rsid w:val="00615C7E"/>
    <w:rsid w:val="0062158D"/>
    <w:rsid w:val="00630F39"/>
    <w:rsid w:val="006326D1"/>
    <w:rsid w:val="00632E0A"/>
    <w:rsid w:val="00633165"/>
    <w:rsid w:val="00636B6C"/>
    <w:rsid w:val="006447DE"/>
    <w:rsid w:val="006470DF"/>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3DBB"/>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5C05"/>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48D"/>
    <w:rsid w:val="00892716"/>
    <w:rsid w:val="00893067"/>
    <w:rsid w:val="008933DE"/>
    <w:rsid w:val="00895FCE"/>
    <w:rsid w:val="00897F3E"/>
    <w:rsid w:val="008A1BA8"/>
    <w:rsid w:val="008A21B4"/>
    <w:rsid w:val="008A4576"/>
    <w:rsid w:val="008B07DE"/>
    <w:rsid w:val="008B28E7"/>
    <w:rsid w:val="008C14C7"/>
    <w:rsid w:val="008C2FFB"/>
    <w:rsid w:val="008C6EEA"/>
    <w:rsid w:val="008D503D"/>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4AB"/>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3F6"/>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96989"/>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4E5"/>
    <w:rsid w:val="00C92C71"/>
    <w:rsid w:val="00C93F8F"/>
    <w:rsid w:val="00CA3593"/>
    <w:rsid w:val="00CA7F4F"/>
    <w:rsid w:val="00CB258E"/>
    <w:rsid w:val="00CB3002"/>
    <w:rsid w:val="00CB3C8F"/>
    <w:rsid w:val="00CC02F1"/>
    <w:rsid w:val="00CC11A6"/>
    <w:rsid w:val="00CC135E"/>
    <w:rsid w:val="00CD5D3F"/>
    <w:rsid w:val="00CF1E90"/>
    <w:rsid w:val="00CF3DB3"/>
    <w:rsid w:val="00D01A4C"/>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C5345"/>
    <w:rsid w:val="00DE2EED"/>
    <w:rsid w:val="00DE556F"/>
    <w:rsid w:val="00E03B6D"/>
    <w:rsid w:val="00E17160"/>
    <w:rsid w:val="00E35BEC"/>
    <w:rsid w:val="00E50821"/>
    <w:rsid w:val="00E51F91"/>
    <w:rsid w:val="00E7086E"/>
    <w:rsid w:val="00E7374A"/>
    <w:rsid w:val="00E73C41"/>
    <w:rsid w:val="00E7598F"/>
    <w:rsid w:val="00E76F60"/>
    <w:rsid w:val="00E81E8C"/>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452A9"/>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4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12">
    <w:name w:val="Pa12"/>
    <w:basedOn w:val="Normal"/>
    <w:next w:val="Normal"/>
    <w:uiPriority w:val="99"/>
    <w:rsid w:val="0089248D"/>
    <w:pPr>
      <w:overflowPunct/>
      <w:spacing w:line="221" w:lineRule="atLeast"/>
      <w:textAlignment w:val="auto"/>
    </w:pPr>
    <w:rPr>
      <w:rFonts w:ascii="Bliss 2 Light" w:eastAsiaTheme="minorHAnsi" w:hAnsi="Bliss 2 Light" w:cstheme="minorBidi"/>
      <w:color w:val="auto"/>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2e89cfda-a374-4413-9f0d-8b601eddeb70"/>
    <ds:schemaRef ds:uri="http://purl.org/dc/terms/"/>
    <ds:schemaRef ds:uri="http://schemas.openxmlformats.org/package/2006/metadata/core-properties"/>
    <ds:schemaRef ds:uri="http://purl.org/dc/dcmitype/"/>
    <ds:schemaRef ds:uri="http://schemas.microsoft.com/office/2006/documentManagement/types"/>
    <ds:schemaRef ds:uri="http://purl.org/dc/elements/1.1/"/>
    <ds:schemaRef ds:uri="http://schemas.microsoft.com/office/2006/metadata/properties"/>
    <ds:schemaRef ds:uri="http://schemas.microsoft.com/office/infopath/2007/PartnerControls"/>
    <ds:schemaRef ds:uri="1ecf5648-3750-43f5-867d-bfaa16e6e17e"/>
    <ds:schemaRef ds:uri="http://www.w3.org/XML/1998/namespace"/>
  </ds:schemaRefs>
</ds:datastoreItem>
</file>

<file path=customXml/itemProps4.xml><?xml version="1.0" encoding="utf-8"?>
<ds:datastoreItem xmlns:ds="http://schemas.openxmlformats.org/officeDocument/2006/customXml" ds:itemID="{15D2563D-1DE4-4863-B6BF-ED3FB8FAF4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166</TotalTime>
  <Pages>21</Pages>
  <Words>7272</Words>
  <Characters>41559</Characters>
  <Application>Microsoft Office Word</Application>
  <DocSecurity>0</DocSecurity>
  <Lines>346</Lines>
  <Paragraphs>97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48734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Edwards, Matthew S</cp:lastModifiedBy>
  <cp:revision>15</cp:revision>
  <cp:lastPrinted>2014-08-26T08:55:00Z</cp:lastPrinted>
  <dcterms:created xsi:type="dcterms:W3CDTF">2021-02-05T20:42:00Z</dcterms:created>
  <dcterms:modified xsi:type="dcterms:W3CDTF">2021-02-07T15:13:00Z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y fmtid="{D5CDD505-2E9C-101B-9397-08002B2CF9AE}" pid="6" name="MSIP_Label_f2acd28b-79a3-4a0f-b0ff-4b75658b1549_Enabled">
    <vt:lpwstr>true</vt:lpwstr>
  </property>
  <property fmtid="{D5CDD505-2E9C-101B-9397-08002B2CF9AE}" pid="7" name="MSIP_Label_f2acd28b-79a3-4a0f-b0ff-4b75658b1549_SetDate">
    <vt:lpwstr>2021-02-05T20:34:20Z</vt:lpwstr>
  </property>
  <property fmtid="{D5CDD505-2E9C-101B-9397-08002B2CF9AE}" pid="8" name="MSIP_Label_f2acd28b-79a3-4a0f-b0ff-4b75658b1549_Method">
    <vt:lpwstr>Privileged</vt:lpwstr>
  </property>
  <property fmtid="{D5CDD505-2E9C-101B-9397-08002B2CF9AE}" pid="9" name="MSIP_Label_f2acd28b-79a3-4a0f-b0ff-4b75658b1549_Name">
    <vt:lpwstr>OFFICIAL</vt:lpwstr>
  </property>
  <property fmtid="{D5CDD505-2E9C-101B-9397-08002B2CF9AE}" pid="10" name="MSIP_Label_f2acd28b-79a3-4a0f-b0ff-4b75658b1549_SiteId">
    <vt:lpwstr>e46c8472-ef5d-4b63-bc74-4a60db42c371</vt:lpwstr>
  </property>
  <property fmtid="{D5CDD505-2E9C-101B-9397-08002B2CF9AE}" pid="11" name="MSIP_Label_f2acd28b-79a3-4a0f-b0ff-4b75658b1549_ActionId">
    <vt:lpwstr>bb29a5c9-0ce3-4c5b-a387-217009644db8</vt:lpwstr>
  </property>
  <property fmtid="{D5CDD505-2E9C-101B-9397-08002B2CF9AE}" pid="12" name="MSIP_Label_f2acd28b-79a3-4a0f-b0ff-4b75658b1549_ContentBits">
    <vt:lpwstr>0</vt:lpwstr>
  </property>
</Properties>
</file>