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90637012"/>
        <w:docPartObj>
          <w:docPartGallery w:val="Cover Pages"/>
          <w:docPartUnique/>
        </w:docPartObj>
      </w:sdtPr>
      <w:sdtEndPr>
        <w:rPr>
          <w:rFonts w:ascii="Arial" w:eastAsia="Arial" w:hAnsi="Arial" w:cs="Arial"/>
          <w:b/>
          <w:i/>
          <w:iCs/>
          <w:color w:val="365F91" w:themeColor="accent1" w:themeShade="BF"/>
          <w:sz w:val="24"/>
          <w:szCs w:val="24"/>
          <w:lang w:val="en"/>
        </w:rPr>
      </w:sdtEndPr>
      <w:sdtContent>
        <w:p w14:paraId="444D5B60" w14:textId="1BF7678F" w:rsidR="00CD09D1" w:rsidRDefault="00CD09D1">
          <w:pPr>
            <w:pStyle w:val="NoSpacing"/>
            <w:rPr>
              <w:sz w:val="2"/>
            </w:rPr>
          </w:pPr>
        </w:p>
        <w:bookmarkStart w:id="0" w:name="_Hlk168433863" w:displacedByCustomXml="next"/>
        <w:sdt>
          <w:sdtPr>
            <w:rPr>
              <w:rFonts w:ascii="Arial" w:hAnsi="Arial" w:cs="Arial"/>
              <w:i/>
              <w:iCs/>
              <w:color w:val="365F91" w:themeColor="accent1" w:themeShade="BF"/>
              <w:sz w:val="24"/>
              <w:szCs w:val="24"/>
              <w:lang w:eastAsia="ja-JP"/>
            </w:rPr>
            <w:id w:val="-145898438"/>
            <w:docPartObj>
              <w:docPartGallery w:val="Cover Pages"/>
              <w:docPartUnique/>
            </w:docPartObj>
          </w:sdtPr>
          <w:sdtEndPr>
            <w:rPr>
              <w:rFonts w:eastAsia="Arial"/>
              <w:b/>
              <w:bCs/>
              <w:sz w:val="22"/>
              <w:szCs w:val="22"/>
              <w:lang w:val="en" w:eastAsia="en-GB"/>
            </w:rPr>
          </w:sdtEndPr>
          <w:sdtContent>
            <w:p w14:paraId="747A210F" w14:textId="77777777" w:rsidR="00CD09D1" w:rsidRPr="005F726B" w:rsidRDefault="00CD09D1" w:rsidP="00CD09D1">
              <w:pPr>
                <w:pStyle w:val="NoSpacing"/>
                <w:spacing w:line="360" w:lineRule="auto"/>
                <w:jc w:val="both"/>
                <w:rPr>
                  <w:rFonts w:ascii="Arial" w:hAnsi="Arial" w:cs="Arial"/>
                  <w:sz w:val="24"/>
                  <w:szCs w:val="24"/>
                </w:rPr>
              </w:pPr>
            </w:p>
            <w:sdt>
              <w:sdtPr>
                <w:rPr>
                  <w:rFonts w:ascii="Arial" w:hAnsi="Arial" w:cs="Arial"/>
                  <w:i/>
                  <w:iCs/>
                  <w:color w:val="4F81BD" w:themeColor="accent1"/>
                  <w:sz w:val="24"/>
                  <w:szCs w:val="24"/>
                  <w:lang w:eastAsia="ja-JP"/>
                </w:rPr>
                <w:id w:val="-1280411062"/>
                <w:docPartObj>
                  <w:docPartGallery w:val="Cover Pages"/>
                  <w:docPartUnique/>
                </w:docPartObj>
              </w:sdtPr>
              <w:sdtEndPr>
                <w:rPr>
                  <w:rFonts w:eastAsia="Arial"/>
                  <w:b/>
                  <w:bCs/>
                  <w:color w:val="365F91" w:themeColor="accent1" w:themeShade="BF"/>
                  <w:sz w:val="22"/>
                  <w:szCs w:val="22"/>
                  <w:lang w:val="en" w:eastAsia="en-GB"/>
                </w:rPr>
              </w:sdtEndPr>
              <w:sdtContent>
                <w:p w14:paraId="0C5327AD" w14:textId="77777777" w:rsidR="00CD09D1" w:rsidRPr="005F726B" w:rsidRDefault="00CD09D1" w:rsidP="00CD09D1">
                  <w:pPr>
                    <w:pStyle w:val="NoSpacing"/>
                    <w:spacing w:line="360" w:lineRule="auto"/>
                    <w:jc w:val="both"/>
                    <w:rPr>
                      <w:rFonts w:ascii="Arial" w:hAnsi="Arial" w:cs="Arial"/>
                      <w:sz w:val="24"/>
                      <w:szCs w:val="24"/>
                    </w:rPr>
                  </w:pPr>
                </w:p>
                <w:p w14:paraId="6D25DF8D" w14:textId="77777777" w:rsidR="00CD09D1" w:rsidRPr="005F726B" w:rsidRDefault="00CD09D1" w:rsidP="00CD09D1">
                  <w:pPr>
                    <w:pStyle w:val="IntenseQuote"/>
                    <w:spacing w:line="360" w:lineRule="auto"/>
                    <w:jc w:val="both"/>
                  </w:pPr>
                  <w:r w:rsidRPr="005F726B">
                    <w:rPr>
                      <w:noProof/>
                    </w:rPr>
                    <w:drawing>
                      <wp:anchor distT="0" distB="0" distL="114300" distR="114300" simplePos="0" relativeHeight="251659264" behindDoc="0" locked="0" layoutInCell="1" allowOverlap="1" wp14:anchorId="71BA3317" wp14:editId="0F46DCF0">
                        <wp:simplePos x="1463040" y="1005840"/>
                        <wp:positionH relativeFrom="column">
                          <wp:align>left</wp:align>
                        </wp:positionH>
                        <wp:positionV relativeFrom="paragraph">
                          <wp:align>top</wp:align>
                        </wp:positionV>
                        <wp:extent cx="2697714" cy="891617"/>
                        <wp:effectExtent l="0" t="0" r="7620" b="3810"/>
                        <wp:wrapSquare wrapText="bothSides"/>
                        <wp:docPr id="846876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rsidRPr="005F726B">
                    <w:br w:type="textWrapping" w:clear="all"/>
                  </w:r>
                </w:p>
                <w:p w14:paraId="60FE1DE8" w14:textId="77777777" w:rsidR="00CD09D1" w:rsidRPr="005F726B" w:rsidRDefault="00CD09D1" w:rsidP="00CD09D1">
                  <w:pPr>
                    <w:pStyle w:val="IntenseQuote"/>
                    <w:spacing w:line="360" w:lineRule="auto"/>
                    <w:jc w:val="both"/>
                    <w:rPr>
                      <w:b/>
                      <w:bCs/>
                      <w:color w:val="1F497D" w:themeColor="text2"/>
                    </w:rPr>
                  </w:pPr>
                </w:p>
                <w:p w14:paraId="0FCE2686" w14:textId="77777777" w:rsidR="00CD09D1" w:rsidRPr="005F726B" w:rsidRDefault="00CD09D1" w:rsidP="00CD09D1">
                  <w:pPr>
                    <w:pStyle w:val="IntenseQuote"/>
                    <w:spacing w:line="360" w:lineRule="auto"/>
                    <w:rPr>
                      <w:color w:val="1F497D" w:themeColor="text2"/>
                    </w:rPr>
                  </w:pPr>
                  <w:r w:rsidRPr="005F726B">
                    <w:rPr>
                      <w:b/>
                      <w:bCs/>
                      <w:color w:val="1F497D" w:themeColor="text2"/>
                    </w:rPr>
                    <w:t>Hospitality &amp; Tourism Management</w:t>
                  </w:r>
                </w:p>
                <w:p w14:paraId="72A8A2F7" w14:textId="77777777" w:rsidR="00CD09D1" w:rsidRPr="005F726B" w:rsidRDefault="00CD09D1" w:rsidP="00CD09D1">
                  <w:pPr>
                    <w:pStyle w:val="IntenseQuote"/>
                    <w:spacing w:line="360" w:lineRule="auto"/>
                    <w:rPr>
                      <w:b/>
                      <w:bCs/>
                      <w:color w:val="1F497D" w:themeColor="text2"/>
                    </w:rPr>
                  </w:pPr>
                  <w:r w:rsidRPr="005F726B">
                    <w:rPr>
                      <w:b/>
                      <w:bCs/>
                      <w:color w:val="1F497D" w:themeColor="text2"/>
                    </w:rPr>
                    <w:t>BA International Hotel Management</w:t>
                  </w:r>
                </w:p>
                <w:p w14:paraId="4A80D817" w14:textId="77777777" w:rsidR="00CD09D1" w:rsidRPr="005F726B" w:rsidRDefault="00CD09D1" w:rsidP="00CD09D1">
                  <w:pPr>
                    <w:pStyle w:val="IntenseQuote"/>
                    <w:spacing w:line="360" w:lineRule="auto"/>
                    <w:rPr>
                      <w:b/>
                      <w:bCs/>
                    </w:rPr>
                  </w:pPr>
                </w:p>
                <w:p w14:paraId="1FBBDCED" w14:textId="6A00F709" w:rsidR="00CD09D1" w:rsidRPr="008545F8" w:rsidRDefault="008545F8" w:rsidP="008545F8">
                  <w:pPr>
                    <w:pStyle w:val="IntenseQuote"/>
                    <w:spacing w:line="360" w:lineRule="auto"/>
                    <w:rPr>
                      <w:color w:val="1F497D" w:themeColor="text2"/>
                      <w:sz w:val="32"/>
                      <w:szCs w:val="32"/>
                    </w:rPr>
                  </w:pPr>
                  <w:r w:rsidRPr="008545F8">
                    <w:rPr>
                      <w:b/>
                      <w:bCs/>
                      <w:color w:val="1F497D" w:themeColor="text2"/>
                      <w:sz w:val="32"/>
                      <w:szCs w:val="32"/>
                    </w:rPr>
                    <w:t>Report Case Study: The City Hotel</w:t>
                  </w:r>
                </w:p>
                <w:p w14:paraId="58989E87" w14:textId="77777777" w:rsidR="008545F8" w:rsidRDefault="008545F8" w:rsidP="00CD09D1">
                  <w:pPr>
                    <w:pStyle w:val="IntenseQuote"/>
                    <w:spacing w:line="360" w:lineRule="auto"/>
                    <w:jc w:val="left"/>
                    <w:rPr>
                      <w:b/>
                      <w:bCs/>
                      <w:color w:val="1F497D" w:themeColor="text2"/>
                    </w:rPr>
                  </w:pPr>
                </w:p>
                <w:p w14:paraId="05174359" w14:textId="0A7228EC" w:rsidR="00CD09D1" w:rsidRPr="005F726B" w:rsidRDefault="00CD09D1" w:rsidP="00CD09D1">
                  <w:pPr>
                    <w:pStyle w:val="IntenseQuote"/>
                    <w:spacing w:line="360" w:lineRule="auto"/>
                    <w:jc w:val="left"/>
                    <w:rPr>
                      <w:b/>
                      <w:bCs/>
                      <w:color w:val="1F497D" w:themeColor="text2"/>
                    </w:rPr>
                  </w:pPr>
                  <w:r w:rsidRPr="005F726B">
                    <w:rPr>
                      <w:b/>
                      <w:bCs/>
                      <w:color w:val="1F497D" w:themeColor="text2"/>
                    </w:rPr>
                    <w:t>Student Name:</w:t>
                  </w:r>
                  <w:r w:rsidRPr="005F726B">
                    <w:rPr>
                      <w:b/>
                      <w:bCs/>
                      <w:color w:val="1F497D" w:themeColor="text2"/>
                    </w:rPr>
                    <w:br/>
                    <w:t>Nicoleta Cornelia Mocanu</w:t>
                  </w:r>
                </w:p>
                <w:p w14:paraId="687F593D" w14:textId="77777777" w:rsidR="00CD09D1" w:rsidRPr="005F726B" w:rsidRDefault="00CD09D1" w:rsidP="00CD09D1">
                  <w:pPr>
                    <w:pStyle w:val="IntenseQuote"/>
                    <w:spacing w:line="360" w:lineRule="auto"/>
                    <w:jc w:val="left"/>
                    <w:rPr>
                      <w:b/>
                      <w:bCs/>
                      <w:color w:val="1F497D" w:themeColor="text2"/>
                    </w:rPr>
                  </w:pPr>
                  <w:r w:rsidRPr="005F726B">
                    <w:rPr>
                      <w:b/>
                      <w:bCs/>
                      <w:color w:val="1F497D" w:themeColor="text2"/>
                    </w:rPr>
                    <w:t>Student ID:</w:t>
                  </w:r>
                  <w:r w:rsidRPr="005F726B">
                    <w:rPr>
                      <w:b/>
                      <w:bCs/>
                      <w:color w:val="1F497D" w:themeColor="text2"/>
                    </w:rPr>
                    <w:br/>
                    <w:t>2220990</w:t>
                  </w:r>
                </w:p>
                <w:p w14:paraId="2FF99B72" w14:textId="080474B6" w:rsidR="00CD09D1" w:rsidRPr="005F726B" w:rsidRDefault="00CD09D1" w:rsidP="008545F8">
                  <w:pPr>
                    <w:pStyle w:val="IntenseQuote"/>
                    <w:spacing w:line="360" w:lineRule="auto"/>
                    <w:jc w:val="left"/>
                    <w:rPr>
                      <w:b/>
                      <w:bCs/>
                      <w:color w:val="1F497D" w:themeColor="text2"/>
                    </w:rPr>
                  </w:pPr>
                  <w:r w:rsidRPr="005F726B">
                    <w:rPr>
                      <w:b/>
                      <w:bCs/>
                      <w:color w:val="1F497D" w:themeColor="text2"/>
                    </w:rPr>
                    <w:t>Tutor's Name:</w:t>
                  </w:r>
                  <w:r w:rsidRPr="005F726B">
                    <w:rPr>
                      <w:b/>
                      <w:bCs/>
                      <w:color w:val="1F497D" w:themeColor="text2"/>
                    </w:rPr>
                    <w:br/>
                  </w:r>
                  <w:r w:rsidR="008545F8" w:rsidRPr="008545F8">
                    <w:rPr>
                      <w:b/>
                      <w:bCs/>
                      <w:color w:val="1F497D" w:themeColor="text2"/>
                    </w:rPr>
                    <w:t>Chris Wilkin</w:t>
                  </w:r>
                </w:p>
                <w:p w14:paraId="1710435E" w14:textId="77777777" w:rsidR="008545F8" w:rsidRDefault="008545F8" w:rsidP="008545F8">
                  <w:pPr>
                    <w:pStyle w:val="IntenseQuote"/>
                    <w:spacing w:line="360" w:lineRule="auto"/>
                    <w:rPr>
                      <w:b/>
                      <w:bCs/>
                      <w:color w:val="1F497D" w:themeColor="text2"/>
                    </w:rPr>
                  </w:pPr>
                </w:p>
                <w:p w14:paraId="4AFE3684" w14:textId="67F98DB2" w:rsidR="00CD09D1" w:rsidRPr="008545F8" w:rsidRDefault="008545F8" w:rsidP="008545F8">
                  <w:pPr>
                    <w:pStyle w:val="IntenseQuote"/>
                    <w:spacing w:line="360" w:lineRule="auto"/>
                    <w:rPr>
                      <w:b/>
                      <w:bCs/>
                    </w:rPr>
                  </w:pPr>
                  <w:r w:rsidRPr="008545F8">
                    <w:rPr>
                      <w:b/>
                      <w:bCs/>
                      <w:color w:val="1F497D" w:themeColor="text2"/>
                    </w:rPr>
                    <w:t xml:space="preserve">Financial Management for the Hotel Industry </w:t>
                  </w:r>
                  <w:r w:rsidR="00CD09D1" w:rsidRPr="005F726B">
                    <w:rPr>
                      <w:b/>
                      <w:bCs/>
                      <w:color w:val="1F497D" w:themeColor="text2"/>
                    </w:rPr>
                    <w:t xml:space="preserve">– </w:t>
                  </w:r>
                  <w:r w:rsidRPr="008545F8">
                    <w:rPr>
                      <w:b/>
                      <w:bCs/>
                      <w:color w:val="1F497D" w:themeColor="text2"/>
                    </w:rPr>
                    <w:t>BMIH5007</w:t>
                  </w:r>
                </w:p>
              </w:sdtContent>
            </w:sdt>
          </w:sdtContent>
        </w:sdt>
        <w:bookmarkEnd w:id="0" w:displacedByCustomXml="next"/>
      </w:sdtContent>
    </w:sdt>
    <w:p w14:paraId="00000001" w14:textId="7825536B" w:rsidR="003503AB" w:rsidRPr="00CD09D1" w:rsidRDefault="00000000" w:rsidP="00CD09D1">
      <w:pPr>
        <w:pStyle w:val="Heading1"/>
        <w:jc w:val="center"/>
        <w:rPr>
          <w:color w:val="1F497D" w:themeColor="text2"/>
          <w:sz w:val="36"/>
          <w:szCs w:val="36"/>
        </w:rPr>
      </w:pPr>
      <w:r w:rsidRPr="00CD09D1">
        <w:rPr>
          <w:color w:val="1F497D" w:themeColor="text2"/>
          <w:sz w:val="36"/>
          <w:szCs w:val="36"/>
        </w:rPr>
        <w:lastRenderedPageBreak/>
        <w:t xml:space="preserve">Strategic Turnaround Report for The City Hotel: Analysis and Recommendations for Financial Recovery and Operational </w:t>
      </w:r>
      <w:r w:rsidR="007A244F" w:rsidRPr="00CD09D1">
        <w:rPr>
          <w:color w:val="1F497D" w:themeColor="text2"/>
          <w:sz w:val="36"/>
          <w:szCs w:val="36"/>
        </w:rPr>
        <w:t>Revitalization</w:t>
      </w:r>
    </w:p>
    <w:p w14:paraId="4EB59967" w14:textId="77777777" w:rsidR="00CD09D1" w:rsidRDefault="00CD09D1" w:rsidP="007A244F">
      <w:pPr>
        <w:spacing w:line="360" w:lineRule="auto"/>
        <w:jc w:val="both"/>
        <w:rPr>
          <w:b/>
          <w:sz w:val="24"/>
          <w:szCs w:val="24"/>
        </w:rPr>
      </w:pPr>
    </w:p>
    <w:p w14:paraId="4A134323" w14:textId="77777777" w:rsidR="00CD09D1" w:rsidRDefault="00CD09D1" w:rsidP="007A244F">
      <w:pPr>
        <w:spacing w:line="360" w:lineRule="auto"/>
        <w:jc w:val="both"/>
        <w:rPr>
          <w:b/>
          <w:sz w:val="24"/>
          <w:szCs w:val="24"/>
        </w:rPr>
      </w:pPr>
    </w:p>
    <w:p w14:paraId="00000002" w14:textId="181DCB77" w:rsidR="003503AB" w:rsidRDefault="00000000" w:rsidP="007A244F">
      <w:pPr>
        <w:spacing w:line="360" w:lineRule="auto"/>
        <w:jc w:val="both"/>
        <w:rPr>
          <w:b/>
          <w:sz w:val="24"/>
          <w:szCs w:val="24"/>
        </w:rPr>
      </w:pPr>
      <w:r>
        <w:rPr>
          <w:b/>
          <w:sz w:val="24"/>
          <w:szCs w:val="24"/>
        </w:rPr>
        <w:t>Table of Contents</w:t>
      </w:r>
    </w:p>
    <w:p w14:paraId="00000003" w14:textId="04B9D201" w:rsidR="003503AB" w:rsidRDefault="00000000" w:rsidP="007A244F">
      <w:pPr>
        <w:numPr>
          <w:ilvl w:val="0"/>
          <w:numId w:val="4"/>
        </w:numPr>
        <w:spacing w:before="240" w:line="360" w:lineRule="auto"/>
        <w:rPr>
          <w:sz w:val="24"/>
          <w:szCs w:val="24"/>
        </w:rPr>
      </w:pPr>
      <w:r>
        <w:rPr>
          <w:b/>
          <w:sz w:val="24"/>
          <w:szCs w:val="24"/>
        </w:rPr>
        <w:t>Executive Summary</w:t>
      </w:r>
      <w:r w:rsidR="00CD09D1">
        <w:rPr>
          <w:b/>
          <w:sz w:val="24"/>
          <w:szCs w:val="24"/>
        </w:rPr>
        <w:t xml:space="preserve"> </w:t>
      </w:r>
      <w:r>
        <w:rPr>
          <w:b/>
          <w:sz w:val="24"/>
          <w:szCs w:val="24"/>
        </w:rPr>
        <w:t xml:space="preserve">__________________________________ </w:t>
      </w:r>
      <w:r w:rsidR="00CD09D1">
        <w:rPr>
          <w:b/>
          <w:sz w:val="24"/>
          <w:szCs w:val="24"/>
        </w:rPr>
        <w:t>2</w:t>
      </w:r>
    </w:p>
    <w:p w14:paraId="00000004" w14:textId="1A897A3B" w:rsidR="003503AB" w:rsidRDefault="00000000" w:rsidP="007A244F">
      <w:pPr>
        <w:numPr>
          <w:ilvl w:val="0"/>
          <w:numId w:val="4"/>
        </w:numPr>
        <w:spacing w:line="360" w:lineRule="auto"/>
        <w:rPr>
          <w:sz w:val="24"/>
          <w:szCs w:val="24"/>
        </w:rPr>
      </w:pPr>
      <w:r>
        <w:rPr>
          <w:b/>
          <w:sz w:val="24"/>
          <w:szCs w:val="24"/>
        </w:rPr>
        <w:t xml:space="preserve">Introduction </w:t>
      </w:r>
      <w:r w:rsidR="00CD09D1">
        <w:rPr>
          <w:b/>
          <w:sz w:val="24"/>
          <w:szCs w:val="24"/>
        </w:rPr>
        <w:t xml:space="preserve">  </w:t>
      </w:r>
      <w:r>
        <w:rPr>
          <w:b/>
          <w:sz w:val="24"/>
          <w:szCs w:val="24"/>
        </w:rPr>
        <w:t xml:space="preserve"> _______________________________________</w:t>
      </w:r>
      <w:r w:rsidR="00CD09D1">
        <w:rPr>
          <w:b/>
          <w:sz w:val="24"/>
          <w:szCs w:val="24"/>
        </w:rPr>
        <w:t xml:space="preserve"> 3</w:t>
      </w:r>
    </w:p>
    <w:p w14:paraId="00000005" w14:textId="70B22620" w:rsidR="003503AB" w:rsidRDefault="00000000" w:rsidP="007A244F">
      <w:pPr>
        <w:numPr>
          <w:ilvl w:val="0"/>
          <w:numId w:val="4"/>
        </w:numPr>
        <w:spacing w:line="360" w:lineRule="auto"/>
        <w:rPr>
          <w:sz w:val="24"/>
          <w:szCs w:val="24"/>
        </w:rPr>
      </w:pPr>
      <w:r>
        <w:rPr>
          <w:b/>
          <w:sz w:val="24"/>
          <w:szCs w:val="24"/>
        </w:rPr>
        <w:t>Financial Performance Analysis</w:t>
      </w:r>
      <w:r w:rsidR="00CD09D1">
        <w:rPr>
          <w:b/>
          <w:sz w:val="24"/>
          <w:szCs w:val="24"/>
        </w:rPr>
        <w:t xml:space="preserve">  </w:t>
      </w:r>
      <w:r>
        <w:rPr>
          <w:b/>
          <w:sz w:val="24"/>
          <w:szCs w:val="24"/>
        </w:rPr>
        <w:t xml:space="preserve"> _______________________</w:t>
      </w:r>
      <w:r w:rsidR="00CD09D1">
        <w:rPr>
          <w:b/>
          <w:sz w:val="24"/>
          <w:szCs w:val="24"/>
        </w:rPr>
        <w:t xml:space="preserve"> 4</w:t>
      </w:r>
      <w:r>
        <w:rPr>
          <w:b/>
          <w:sz w:val="24"/>
          <w:szCs w:val="24"/>
        </w:rPr>
        <w:br/>
      </w:r>
      <w:r>
        <w:rPr>
          <w:b/>
          <w:i/>
          <w:sz w:val="24"/>
          <w:szCs w:val="24"/>
        </w:rPr>
        <w:t>3.1 Revenue Trends</w:t>
      </w:r>
      <w:r>
        <w:rPr>
          <w:b/>
          <w:i/>
          <w:sz w:val="24"/>
          <w:szCs w:val="24"/>
        </w:rPr>
        <w:br/>
        <w:t>3.2 Cost Analysis and Profit Margins</w:t>
      </w:r>
      <w:r>
        <w:rPr>
          <w:b/>
          <w:i/>
          <w:sz w:val="24"/>
          <w:szCs w:val="24"/>
        </w:rPr>
        <w:br/>
        <w:t>3.3 Operating Income and Profitability</w:t>
      </w:r>
      <w:r>
        <w:rPr>
          <w:b/>
          <w:i/>
          <w:sz w:val="24"/>
          <w:szCs w:val="24"/>
        </w:rPr>
        <w:br/>
        <w:t>3.4 Liquidity and Solvency Position</w:t>
      </w:r>
    </w:p>
    <w:p w14:paraId="00000006" w14:textId="7D6D9C39" w:rsidR="003503AB" w:rsidRDefault="00000000" w:rsidP="007A244F">
      <w:pPr>
        <w:numPr>
          <w:ilvl w:val="0"/>
          <w:numId w:val="4"/>
        </w:numPr>
        <w:spacing w:line="360" w:lineRule="auto"/>
        <w:rPr>
          <w:sz w:val="24"/>
          <w:szCs w:val="24"/>
        </w:rPr>
      </w:pPr>
      <w:r>
        <w:rPr>
          <w:b/>
          <w:sz w:val="24"/>
          <w:szCs w:val="24"/>
        </w:rPr>
        <w:t>Identification of Decline Drivers</w:t>
      </w:r>
      <w:r w:rsidR="00CD09D1">
        <w:rPr>
          <w:b/>
          <w:sz w:val="24"/>
          <w:szCs w:val="24"/>
        </w:rPr>
        <w:t xml:space="preserve"> </w:t>
      </w:r>
      <w:r>
        <w:rPr>
          <w:b/>
          <w:sz w:val="24"/>
          <w:szCs w:val="24"/>
        </w:rPr>
        <w:t xml:space="preserve"> ________________</w:t>
      </w:r>
      <w:r w:rsidR="00CD09D1">
        <w:rPr>
          <w:b/>
          <w:sz w:val="24"/>
          <w:szCs w:val="24"/>
        </w:rPr>
        <w:t>_</w:t>
      </w:r>
      <w:r>
        <w:rPr>
          <w:b/>
          <w:sz w:val="24"/>
          <w:szCs w:val="24"/>
        </w:rPr>
        <w:t>_______</w:t>
      </w:r>
      <w:r w:rsidR="00CD09D1">
        <w:rPr>
          <w:b/>
          <w:sz w:val="24"/>
          <w:szCs w:val="24"/>
        </w:rPr>
        <w:t xml:space="preserve"> 8</w:t>
      </w:r>
      <w:r>
        <w:rPr>
          <w:b/>
          <w:sz w:val="24"/>
          <w:szCs w:val="24"/>
        </w:rPr>
        <w:br/>
      </w:r>
      <w:r>
        <w:rPr>
          <w:b/>
          <w:i/>
          <w:sz w:val="24"/>
          <w:szCs w:val="24"/>
        </w:rPr>
        <w:t>4.1 Impact of External Market Conditions</w:t>
      </w:r>
      <w:r>
        <w:rPr>
          <w:b/>
          <w:i/>
          <w:sz w:val="24"/>
          <w:szCs w:val="24"/>
        </w:rPr>
        <w:br/>
        <w:t>4.2 Operational Inefficiencies and Cost Structure</w:t>
      </w:r>
      <w:r>
        <w:rPr>
          <w:b/>
          <w:i/>
          <w:sz w:val="24"/>
          <w:szCs w:val="24"/>
        </w:rPr>
        <w:br/>
        <w:t>4.3 Customer Satisfaction and Market Position</w:t>
      </w:r>
    </w:p>
    <w:p w14:paraId="00000007" w14:textId="46901FC8" w:rsidR="003503AB" w:rsidRDefault="00000000" w:rsidP="007A244F">
      <w:pPr>
        <w:numPr>
          <w:ilvl w:val="0"/>
          <w:numId w:val="4"/>
        </w:numPr>
        <w:spacing w:line="360" w:lineRule="auto"/>
        <w:rPr>
          <w:sz w:val="24"/>
          <w:szCs w:val="24"/>
        </w:rPr>
      </w:pPr>
      <w:bookmarkStart w:id="1" w:name="_Hlk181537584"/>
      <w:r>
        <w:rPr>
          <w:b/>
          <w:sz w:val="24"/>
          <w:szCs w:val="24"/>
        </w:rPr>
        <w:t xml:space="preserve">Turnaround Strategy for The City Hotel </w:t>
      </w:r>
      <w:bookmarkEnd w:id="1"/>
      <w:r>
        <w:rPr>
          <w:b/>
          <w:sz w:val="24"/>
          <w:szCs w:val="24"/>
        </w:rPr>
        <w:t>__________________</w:t>
      </w:r>
      <w:r w:rsidR="00CD09D1">
        <w:rPr>
          <w:b/>
          <w:sz w:val="24"/>
          <w:szCs w:val="24"/>
        </w:rPr>
        <w:t xml:space="preserve"> 10</w:t>
      </w:r>
      <w:r>
        <w:rPr>
          <w:b/>
          <w:sz w:val="24"/>
          <w:szCs w:val="24"/>
        </w:rPr>
        <w:br/>
      </w:r>
      <w:r>
        <w:rPr>
          <w:b/>
          <w:i/>
          <w:sz w:val="24"/>
          <w:szCs w:val="24"/>
        </w:rPr>
        <w:t>5.1 Revenue Enhancement Initiatives</w:t>
      </w:r>
      <w:r>
        <w:rPr>
          <w:b/>
          <w:i/>
          <w:sz w:val="24"/>
          <w:szCs w:val="24"/>
        </w:rPr>
        <w:br/>
        <w:t xml:space="preserve">5.2 Cost </w:t>
      </w:r>
      <w:r w:rsidR="007A244F">
        <w:rPr>
          <w:b/>
          <w:i/>
          <w:sz w:val="24"/>
          <w:szCs w:val="24"/>
        </w:rPr>
        <w:t>Optimization</w:t>
      </w:r>
      <w:r>
        <w:rPr>
          <w:b/>
          <w:i/>
          <w:sz w:val="24"/>
          <w:szCs w:val="24"/>
        </w:rPr>
        <w:t xml:space="preserve"> and Efficiency</w:t>
      </w:r>
      <w:r>
        <w:rPr>
          <w:b/>
          <w:i/>
          <w:sz w:val="24"/>
          <w:szCs w:val="24"/>
        </w:rPr>
        <w:br/>
        <w:t>5.3 Financial Restructuring and Debt Management</w:t>
      </w:r>
      <w:r>
        <w:rPr>
          <w:b/>
          <w:i/>
          <w:sz w:val="24"/>
          <w:szCs w:val="24"/>
        </w:rPr>
        <w:br/>
        <w:t>5.4 Diversification and New Revenue Streams</w:t>
      </w:r>
    </w:p>
    <w:p w14:paraId="00000008" w14:textId="424A6D4D" w:rsidR="003503AB" w:rsidRDefault="00000000" w:rsidP="007A244F">
      <w:pPr>
        <w:numPr>
          <w:ilvl w:val="0"/>
          <w:numId w:val="4"/>
        </w:numPr>
        <w:spacing w:line="360" w:lineRule="auto"/>
        <w:rPr>
          <w:sz w:val="24"/>
          <w:szCs w:val="24"/>
        </w:rPr>
      </w:pPr>
      <w:r>
        <w:rPr>
          <w:b/>
          <w:sz w:val="24"/>
          <w:szCs w:val="24"/>
        </w:rPr>
        <w:t>Financial Outcome and Viability Assessment ______________</w:t>
      </w:r>
      <w:r w:rsidR="00CD09D1">
        <w:rPr>
          <w:b/>
          <w:sz w:val="24"/>
          <w:szCs w:val="24"/>
        </w:rPr>
        <w:t xml:space="preserve">12 </w:t>
      </w:r>
    </w:p>
    <w:p w14:paraId="00000009" w14:textId="65A51215" w:rsidR="003503AB" w:rsidRDefault="00000000" w:rsidP="007A244F">
      <w:pPr>
        <w:numPr>
          <w:ilvl w:val="0"/>
          <w:numId w:val="4"/>
        </w:numPr>
        <w:spacing w:line="360" w:lineRule="auto"/>
        <w:rPr>
          <w:sz w:val="24"/>
          <w:szCs w:val="24"/>
        </w:rPr>
      </w:pPr>
      <w:r>
        <w:rPr>
          <w:b/>
          <w:sz w:val="24"/>
          <w:szCs w:val="24"/>
        </w:rPr>
        <w:t>Conclusion __________________________________________</w:t>
      </w:r>
      <w:r w:rsidR="00CD09D1">
        <w:rPr>
          <w:b/>
          <w:sz w:val="24"/>
          <w:szCs w:val="24"/>
        </w:rPr>
        <w:t xml:space="preserve"> 13</w:t>
      </w:r>
    </w:p>
    <w:p w14:paraId="0000000A" w14:textId="6F0BBFF5" w:rsidR="003503AB" w:rsidRDefault="00000000" w:rsidP="007A244F">
      <w:pPr>
        <w:numPr>
          <w:ilvl w:val="0"/>
          <w:numId w:val="4"/>
        </w:numPr>
        <w:spacing w:after="240" w:line="360" w:lineRule="auto"/>
        <w:rPr>
          <w:sz w:val="24"/>
          <w:szCs w:val="24"/>
        </w:rPr>
      </w:pPr>
      <w:r>
        <w:rPr>
          <w:b/>
          <w:sz w:val="24"/>
          <w:szCs w:val="24"/>
        </w:rPr>
        <w:t>References __________________________________________</w:t>
      </w:r>
      <w:r w:rsidR="00CD09D1">
        <w:rPr>
          <w:b/>
          <w:sz w:val="24"/>
          <w:szCs w:val="24"/>
        </w:rPr>
        <w:t xml:space="preserve"> 14</w:t>
      </w:r>
    </w:p>
    <w:p w14:paraId="0000000B" w14:textId="77777777" w:rsidR="003503AB" w:rsidRDefault="003503AB" w:rsidP="007A244F">
      <w:pPr>
        <w:spacing w:line="360" w:lineRule="auto"/>
        <w:jc w:val="both"/>
        <w:rPr>
          <w:sz w:val="24"/>
          <w:szCs w:val="24"/>
        </w:rPr>
      </w:pPr>
    </w:p>
    <w:p w14:paraId="23944AC7" w14:textId="77777777" w:rsidR="007A244F" w:rsidRDefault="00000000" w:rsidP="007A244F">
      <w:pPr>
        <w:spacing w:line="360" w:lineRule="auto"/>
        <w:jc w:val="both"/>
        <w:rPr>
          <w:sz w:val="24"/>
          <w:szCs w:val="24"/>
        </w:rPr>
      </w:pPr>
      <w:r>
        <w:rPr>
          <w:sz w:val="24"/>
          <w:szCs w:val="24"/>
        </w:rPr>
        <w:t>​​</w:t>
      </w:r>
    </w:p>
    <w:p w14:paraId="13A38C6E" w14:textId="6629285C" w:rsidR="007A244F" w:rsidRPr="007A244F" w:rsidRDefault="007A244F">
      <w:pPr>
        <w:rPr>
          <w:sz w:val="24"/>
          <w:szCs w:val="24"/>
        </w:rPr>
      </w:pPr>
      <w:r>
        <w:rPr>
          <w:b/>
          <w:bCs/>
          <w:sz w:val="24"/>
          <w:szCs w:val="24"/>
        </w:rPr>
        <w:br w:type="page"/>
      </w:r>
    </w:p>
    <w:p w14:paraId="0000000C" w14:textId="7EEAE015" w:rsidR="003503AB" w:rsidRPr="00CD09D1" w:rsidRDefault="00000000" w:rsidP="00CD09D1">
      <w:pPr>
        <w:pStyle w:val="Heading1"/>
        <w:rPr>
          <w:color w:val="1F497D" w:themeColor="text2"/>
          <w:sz w:val="36"/>
          <w:szCs w:val="36"/>
        </w:rPr>
      </w:pPr>
      <w:r w:rsidRPr="00CD09D1">
        <w:rPr>
          <w:color w:val="1F497D" w:themeColor="text2"/>
          <w:sz w:val="36"/>
          <w:szCs w:val="36"/>
        </w:rPr>
        <w:lastRenderedPageBreak/>
        <w:t>Executive Summary</w:t>
      </w:r>
    </w:p>
    <w:p w14:paraId="0000000D" w14:textId="77777777" w:rsidR="003503AB" w:rsidRDefault="00000000" w:rsidP="007A244F">
      <w:pPr>
        <w:spacing w:line="360" w:lineRule="auto"/>
        <w:jc w:val="both"/>
        <w:rPr>
          <w:sz w:val="24"/>
          <w:szCs w:val="24"/>
        </w:rPr>
      </w:pPr>
      <w:r>
        <w:rPr>
          <w:sz w:val="24"/>
          <w:szCs w:val="24"/>
        </w:rPr>
        <w:t>The City Hotel has had a three-year decline in revenues, occupancy rates, and customer satisfaction that has been putting operational and financial pressure. This report analyzes the hotel's performance on financial performance from 2021 to 2023. It identified a few key issues that affect profitability and liquidity. External pressures such as the cost-of-living crisis and increased operational costs have challenged the business even further (CGA, 2023).</w:t>
      </w:r>
    </w:p>
    <w:p w14:paraId="0000000E" w14:textId="77777777" w:rsidR="003503AB" w:rsidRDefault="00000000" w:rsidP="007A244F">
      <w:pPr>
        <w:spacing w:line="360" w:lineRule="auto"/>
        <w:jc w:val="both"/>
        <w:rPr>
          <w:sz w:val="24"/>
          <w:szCs w:val="24"/>
        </w:rPr>
      </w:pPr>
      <w:r>
        <w:rPr>
          <w:sz w:val="24"/>
          <w:szCs w:val="24"/>
        </w:rPr>
        <w:t>Based on these findings, the turnaround strategy proposal has revenue enhancement, cost control, and diversification in co-working and event hosting as action measures. These should stabilize the financial health of the hotel business and regain market share following industry best practices on the way to operational recovery, according to Wood, 2023; UKHospitality, 2024. The strategy further recommended strengthening digital marketing activities toward the achievement of local and leisure traveling, considering the changed pattern of consumer preference (Jones &amp; Lockwood, 2023).</w:t>
      </w:r>
    </w:p>
    <w:p w14:paraId="0000000F" w14:textId="77777777" w:rsidR="003503AB" w:rsidRDefault="003503AB" w:rsidP="007A244F">
      <w:pPr>
        <w:spacing w:line="360" w:lineRule="auto"/>
        <w:jc w:val="both"/>
        <w:rPr>
          <w:sz w:val="24"/>
          <w:szCs w:val="24"/>
        </w:rPr>
      </w:pPr>
    </w:p>
    <w:p w14:paraId="00000010" w14:textId="77777777" w:rsidR="003503AB" w:rsidRDefault="003503AB" w:rsidP="007A244F">
      <w:pPr>
        <w:spacing w:line="360" w:lineRule="auto"/>
        <w:jc w:val="both"/>
        <w:rPr>
          <w:sz w:val="24"/>
          <w:szCs w:val="24"/>
        </w:rPr>
      </w:pPr>
    </w:p>
    <w:p w14:paraId="00000011" w14:textId="77777777" w:rsidR="003503AB" w:rsidRDefault="003503AB" w:rsidP="007A244F">
      <w:pPr>
        <w:spacing w:line="360" w:lineRule="auto"/>
        <w:jc w:val="both"/>
        <w:rPr>
          <w:sz w:val="24"/>
          <w:szCs w:val="24"/>
        </w:rPr>
      </w:pPr>
    </w:p>
    <w:p w14:paraId="00000012" w14:textId="77777777" w:rsidR="003503AB" w:rsidRDefault="003503AB" w:rsidP="007A244F">
      <w:pPr>
        <w:spacing w:line="360" w:lineRule="auto"/>
        <w:jc w:val="both"/>
        <w:rPr>
          <w:sz w:val="24"/>
          <w:szCs w:val="24"/>
        </w:rPr>
      </w:pPr>
    </w:p>
    <w:p w14:paraId="72A883F2" w14:textId="77777777" w:rsidR="007A244F" w:rsidRDefault="007A244F" w:rsidP="007A244F">
      <w:pPr>
        <w:spacing w:line="360" w:lineRule="auto"/>
        <w:jc w:val="both"/>
        <w:rPr>
          <w:sz w:val="24"/>
          <w:szCs w:val="24"/>
        </w:rPr>
      </w:pPr>
    </w:p>
    <w:p w14:paraId="39B44BF0" w14:textId="49E60B04" w:rsidR="007A244F" w:rsidRDefault="007A244F">
      <w:pPr>
        <w:rPr>
          <w:sz w:val="24"/>
          <w:szCs w:val="24"/>
        </w:rPr>
      </w:pPr>
      <w:r>
        <w:rPr>
          <w:sz w:val="24"/>
          <w:szCs w:val="24"/>
        </w:rPr>
        <w:br w:type="page"/>
      </w:r>
    </w:p>
    <w:p w14:paraId="00000013" w14:textId="7DA5461B" w:rsidR="003503AB" w:rsidRPr="00CD09D1" w:rsidRDefault="00000000" w:rsidP="00CD09D1">
      <w:pPr>
        <w:pStyle w:val="Heading1"/>
        <w:rPr>
          <w:color w:val="1F497D" w:themeColor="text2"/>
          <w:sz w:val="36"/>
          <w:szCs w:val="36"/>
        </w:rPr>
      </w:pPr>
      <w:r w:rsidRPr="00CD09D1">
        <w:rPr>
          <w:color w:val="1F497D" w:themeColor="text2"/>
          <w:sz w:val="36"/>
          <w:szCs w:val="36"/>
        </w:rPr>
        <w:lastRenderedPageBreak/>
        <w:t>Introduction</w:t>
      </w:r>
    </w:p>
    <w:p w14:paraId="00000014" w14:textId="77777777" w:rsidR="003503AB" w:rsidRDefault="00000000" w:rsidP="007A244F">
      <w:pPr>
        <w:spacing w:line="360" w:lineRule="auto"/>
        <w:jc w:val="both"/>
        <w:rPr>
          <w:sz w:val="24"/>
          <w:szCs w:val="24"/>
        </w:rPr>
      </w:pPr>
      <w:r>
        <w:rPr>
          <w:sz w:val="24"/>
          <w:szCs w:val="24"/>
        </w:rPr>
        <w:t>The City Hotel is a middle-scale urban business with food and events. For the past two to three years, this hotel has experienced extreme depressions financially. This paper attempts to understand the reason for this downfall by performing a financial performance analysis over 2021 to 2023. Some key objectives are to establish that profitability problems exist, there is an economic stressor assessment, and operational faults might impede customer satisfaction and revenue increase (PwC, 2023).</w:t>
      </w:r>
    </w:p>
    <w:p w14:paraId="00000015" w14:textId="77777777" w:rsidR="003503AB" w:rsidRDefault="00000000" w:rsidP="007A244F">
      <w:pPr>
        <w:spacing w:line="360" w:lineRule="auto"/>
        <w:jc w:val="both"/>
        <w:rPr>
          <w:sz w:val="24"/>
          <w:szCs w:val="24"/>
        </w:rPr>
      </w:pPr>
      <w:r>
        <w:rPr>
          <w:sz w:val="24"/>
          <w:szCs w:val="24"/>
        </w:rPr>
        <w:t>The scope of the report includes a review of the financial performance, external environment such as inflation and changes in consumer behavior, and the establishment of a recovery strategy. With the UK hospitality sector recovering from post-pandemic disruptions, consumer expectations have shifted towards value-driven and personalized experiences (Baker &amp; Bradley, 2023). Thus, the turnaround strategy will consider market adaptation recommendations to ensure financial stability and align hotel offerings with changing guest preferences (Morrison, 2022).</w:t>
      </w:r>
    </w:p>
    <w:p w14:paraId="00000016" w14:textId="77777777" w:rsidR="003503AB" w:rsidRDefault="003503AB" w:rsidP="007A244F">
      <w:pPr>
        <w:spacing w:line="360" w:lineRule="auto"/>
        <w:jc w:val="both"/>
        <w:rPr>
          <w:sz w:val="24"/>
          <w:szCs w:val="24"/>
        </w:rPr>
      </w:pPr>
    </w:p>
    <w:p w14:paraId="00000017" w14:textId="77777777" w:rsidR="003503AB" w:rsidRDefault="003503AB" w:rsidP="007A244F">
      <w:pPr>
        <w:spacing w:line="360" w:lineRule="auto"/>
        <w:jc w:val="both"/>
        <w:rPr>
          <w:sz w:val="24"/>
          <w:szCs w:val="24"/>
        </w:rPr>
      </w:pPr>
    </w:p>
    <w:p w14:paraId="00000018" w14:textId="77777777" w:rsidR="003503AB" w:rsidRDefault="003503AB" w:rsidP="007A244F">
      <w:pPr>
        <w:spacing w:line="360" w:lineRule="auto"/>
        <w:jc w:val="both"/>
        <w:rPr>
          <w:sz w:val="24"/>
          <w:szCs w:val="24"/>
        </w:rPr>
      </w:pPr>
    </w:p>
    <w:p w14:paraId="00000019" w14:textId="77777777" w:rsidR="003503AB" w:rsidRDefault="003503AB" w:rsidP="007A244F">
      <w:pPr>
        <w:spacing w:line="360" w:lineRule="auto"/>
        <w:jc w:val="both"/>
        <w:rPr>
          <w:sz w:val="24"/>
          <w:szCs w:val="24"/>
        </w:rPr>
      </w:pPr>
    </w:p>
    <w:p w14:paraId="5D281A75" w14:textId="77777777" w:rsidR="007A244F" w:rsidRDefault="007A244F" w:rsidP="007A244F">
      <w:pPr>
        <w:spacing w:line="360" w:lineRule="auto"/>
        <w:jc w:val="both"/>
        <w:rPr>
          <w:sz w:val="24"/>
          <w:szCs w:val="24"/>
        </w:rPr>
      </w:pPr>
    </w:p>
    <w:p w14:paraId="64ECD2D4" w14:textId="5FD44892" w:rsidR="007A244F" w:rsidRDefault="007A244F">
      <w:pPr>
        <w:rPr>
          <w:sz w:val="24"/>
          <w:szCs w:val="24"/>
        </w:rPr>
      </w:pPr>
      <w:r>
        <w:rPr>
          <w:sz w:val="24"/>
          <w:szCs w:val="24"/>
        </w:rPr>
        <w:br w:type="page"/>
      </w:r>
    </w:p>
    <w:p w14:paraId="0000001A" w14:textId="6D18A131" w:rsidR="003503AB" w:rsidRPr="00CD09D1" w:rsidRDefault="00000000" w:rsidP="00CD09D1">
      <w:pPr>
        <w:pStyle w:val="Heading1"/>
        <w:rPr>
          <w:color w:val="1F497D" w:themeColor="text2"/>
          <w:sz w:val="36"/>
          <w:szCs w:val="36"/>
        </w:rPr>
      </w:pPr>
      <w:r w:rsidRPr="00CD09D1">
        <w:rPr>
          <w:color w:val="1F497D" w:themeColor="text2"/>
          <w:sz w:val="36"/>
          <w:szCs w:val="36"/>
        </w:rPr>
        <w:lastRenderedPageBreak/>
        <w:t>Financial Performance Analysis</w:t>
      </w:r>
    </w:p>
    <w:p w14:paraId="0000001B" w14:textId="77777777" w:rsidR="003503AB" w:rsidRDefault="00000000" w:rsidP="007A244F">
      <w:pPr>
        <w:spacing w:line="360" w:lineRule="auto"/>
        <w:jc w:val="both"/>
        <w:rPr>
          <w:sz w:val="24"/>
          <w:szCs w:val="24"/>
        </w:rPr>
      </w:pPr>
      <w:r>
        <w:rPr>
          <w:sz w:val="24"/>
          <w:szCs w:val="24"/>
        </w:rPr>
        <w:t>This section depicts the financial performance of The City Hotel from 2021 to 2023 by breaking down revenue trends, cost, profitability, and liquidity.</w:t>
      </w:r>
    </w:p>
    <w:p w14:paraId="0000001C" w14:textId="77777777" w:rsidR="003503AB" w:rsidRDefault="003503AB" w:rsidP="007A244F">
      <w:pPr>
        <w:spacing w:line="360" w:lineRule="auto"/>
        <w:jc w:val="both"/>
        <w:rPr>
          <w:sz w:val="24"/>
          <w:szCs w:val="24"/>
        </w:rPr>
      </w:pPr>
    </w:p>
    <w:p w14:paraId="0000001D" w14:textId="77777777" w:rsidR="003503AB" w:rsidRPr="007A244F" w:rsidRDefault="00000000" w:rsidP="007A244F">
      <w:pPr>
        <w:spacing w:line="360" w:lineRule="auto"/>
        <w:jc w:val="both"/>
        <w:rPr>
          <w:b/>
          <w:bCs/>
          <w:sz w:val="24"/>
          <w:szCs w:val="24"/>
        </w:rPr>
      </w:pPr>
      <w:r w:rsidRPr="007A244F">
        <w:rPr>
          <w:b/>
          <w:bCs/>
          <w:sz w:val="24"/>
          <w:szCs w:val="24"/>
        </w:rPr>
        <w:t>3.1 Revenue Trends</w:t>
      </w:r>
    </w:p>
    <w:p w14:paraId="0000001E" w14:textId="77777777" w:rsidR="003503AB" w:rsidRDefault="00000000" w:rsidP="007A244F">
      <w:pPr>
        <w:spacing w:line="360" w:lineRule="auto"/>
        <w:jc w:val="both"/>
        <w:rPr>
          <w:sz w:val="24"/>
          <w:szCs w:val="24"/>
        </w:rPr>
      </w:pPr>
      <w:r>
        <w:rPr>
          <w:sz w:val="24"/>
          <w:szCs w:val="24"/>
        </w:rPr>
        <w:t>Revenues have declined sharply; 2021 stood at £5,248,290 and in 2023 £2,325,440, reflecting shifts in demand in the face of the cost-of-living crisis as well as economic distress. The residual effect of the pandemic along with fewer foreign visits have kept occupancy as well as event booking low which are common issues that urban hotels are facing across the UK (Knight Frank, 2023).</w:t>
      </w:r>
    </w:p>
    <w:p w14:paraId="0000001F" w14:textId="77777777" w:rsidR="003503AB" w:rsidRDefault="003503AB" w:rsidP="007A244F">
      <w:pPr>
        <w:spacing w:line="360" w:lineRule="auto"/>
        <w:jc w:val="both"/>
        <w:rPr>
          <w:sz w:val="24"/>
          <w:szCs w:val="24"/>
        </w:rPr>
      </w:pPr>
    </w:p>
    <w:p w14:paraId="00000020" w14:textId="77777777" w:rsidR="003503AB" w:rsidRPr="007A244F" w:rsidRDefault="00000000" w:rsidP="007A244F">
      <w:pPr>
        <w:spacing w:line="360" w:lineRule="auto"/>
        <w:jc w:val="both"/>
        <w:rPr>
          <w:b/>
          <w:bCs/>
          <w:sz w:val="24"/>
          <w:szCs w:val="24"/>
        </w:rPr>
      </w:pPr>
      <w:r w:rsidRPr="007A244F">
        <w:rPr>
          <w:b/>
          <w:bCs/>
          <w:sz w:val="24"/>
          <w:szCs w:val="24"/>
        </w:rPr>
        <w:t>3.2 Cost Analysis and Profit Margins:</w:t>
      </w:r>
    </w:p>
    <w:p w14:paraId="00000021" w14:textId="76F0D14F" w:rsidR="003503AB" w:rsidRDefault="00000000" w:rsidP="007A244F">
      <w:pPr>
        <w:spacing w:line="360" w:lineRule="auto"/>
        <w:jc w:val="both"/>
        <w:rPr>
          <w:sz w:val="24"/>
          <w:szCs w:val="24"/>
        </w:rPr>
      </w:pPr>
      <w:r>
        <w:rPr>
          <w:sz w:val="24"/>
          <w:szCs w:val="24"/>
        </w:rPr>
        <w:t xml:space="preserve">Cost structures show that personnel as well as other external are skyrocketing and account for large </w:t>
      </w:r>
      <w:r w:rsidR="007A244F">
        <w:rPr>
          <w:sz w:val="24"/>
          <w:szCs w:val="24"/>
        </w:rPr>
        <w:t>costs</w:t>
      </w:r>
      <w:r>
        <w:rPr>
          <w:sz w:val="24"/>
          <w:szCs w:val="24"/>
        </w:rPr>
        <w:t xml:space="preserve"> in operational expenses. Whilst City Hotel has managed to align some of the cost heads under variable cost heading, the fixed heads-that of lease payments are no small amount (UKHospitality, 2024). Industry-wide inflation drivers drive up utility supply chains also (Baker &amp; Bradley, 2023). Employee costs, though lower in 2023, are still one of the largest outflows, and there are questions raised over trade-offs between staffing and service quality (Jones &amp; Lockwood, 2023).</w:t>
      </w:r>
    </w:p>
    <w:p w14:paraId="00000022" w14:textId="77777777" w:rsidR="003503AB" w:rsidRDefault="003503AB" w:rsidP="007A244F">
      <w:pPr>
        <w:spacing w:line="360" w:lineRule="auto"/>
        <w:jc w:val="both"/>
        <w:rPr>
          <w:sz w:val="24"/>
          <w:szCs w:val="24"/>
        </w:rPr>
      </w:pPr>
    </w:p>
    <w:p w14:paraId="00000023" w14:textId="77777777" w:rsidR="003503AB" w:rsidRPr="007A244F" w:rsidRDefault="00000000" w:rsidP="007A244F">
      <w:pPr>
        <w:spacing w:line="360" w:lineRule="auto"/>
        <w:jc w:val="both"/>
        <w:rPr>
          <w:b/>
          <w:bCs/>
          <w:sz w:val="24"/>
          <w:szCs w:val="24"/>
        </w:rPr>
      </w:pPr>
      <w:r w:rsidRPr="007A244F">
        <w:rPr>
          <w:b/>
          <w:bCs/>
          <w:sz w:val="24"/>
          <w:szCs w:val="24"/>
        </w:rPr>
        <w:t>3.3 Operating Income and Profitability</w:t>
      </w:r>
    </w:p>
    <w:p w14:paraId="00000024" w14:textId="77777777" w:rsidR="003503AB" w:rsidRDefault="00000000" w:rsidP="007A244F">
      <w:pPr>
        <w:spacing w:line="360" w:lineRule="auto"/>
        <w:jc w:val="both"/>
        <w:rPr>
          <w:sz w:val="24"/>
          <w:szCs w:val="24"/>
        </w:rPr>
      </w:pPr>
      <w:r>
        <w:rPr>
          <w:sz w:val="24"/>
          <w:szCs w:val="24"/>
        </w:rPr>
        <w:t>Operating income was the worrying downward trend as it had lost £1,218,850 in 2023, compared to the £674,730 profit achieved in 2022. It shows that revenue decline is more than cost-cutting measures and the current operating models are not sustainable. Mid-range hotels like The City Hotel are also facing the same squeeze on profitability through competition and price sensitivity of customers (Morrison, 2022).</w:t>
      </w:r>
    </w:p>
    <w:p w14:paraId="00000025" w14:textId="77777777" w:rsidR="003503AB" w:rsidRDefault="00000000" w:rsidP="007A244F">
      <w:pPr>
        <w:spacing w:line="360" w:lineRule="auto"/>
        <w:jc w:val="both"/>
        <w:rPr>
          <w:sz w:val="24"/>
          <w:szCs w:val="24"/>
        </w:rPr>
      </w:pPr>
      <w:r>
        <w:rPr>
          <w:sz w:val="24"/>
          <w:szCs w:val="24"/>
        </w:rPr>
        <w:t>Therefore, repricing fixed costs and increasing revenue through diversified offers can be critical in achieving financial recovery (Vanhove, 2017).</w:t>
      </w:r>
    </w:p>
    <w:p w14:paraId="3FCA61B2" w14:textId="77777777" w:rsidR="007A244F" w:rsidRDefault="007A244F" w:rsidP="007A244F">
      <w:pPr>
        <w:spacing w:line="360" w:lineRule="auto"/>
        <w:jc w:val="both"/>
        <w:rPr>
          <w:sz w:val="24"/>
          <w:szCs w:val="24"/>
        </w:rPr>
      </w:pPr>
    </w:p>
    <w:p w14:paraId="35D192CD" w14:textId="77777777" w:rsidR="007A244F" w:rsidRDefault="007A244F" w:rsidP="007A244F">
      <w:pPr>
        <w:spacing w:line="360" w:lineRule="auto"/>
        <w:jc w:val="both"/>
        <w:rPr>
          <w:sz w:val="24"/>
          <w:szCs w:val="24"/>
        </w:rPr>
      </w:pPr>
    </w:p>
    <w:p w14:paraId="00000026" w14:textId="77777777" w:rsidR="003503AB" w:rsidRDefault="003503AB" w:rsidP="007A244F">
      <w:pPr>
        <w:spacing w:line="360" w:lineRule="auto"/>
        <w:jc w:val="both"/>
        <w:rPr>
          <w:sz w:val="24"/>
          <w:szCs w:val="24"/>
        </w:rPr>
      </w:pPr>
    </w:p>
    <w:p w14:paraId="00000027" w14:textId="77777777" w:rsidR="003503AB" w:rsidRPr="007A244F" w:rsidRDefault="00000000" w:rsidP="007A244F">
      <w:pPr>
        <w:spacing w:line="360" w:lineRule="auto"/>
        <w:jc w:val="both"/>
        <w:rPr>
          <w:b/>
          <w:bCs/>
          <w:sz w:val="24"/>
          <w:szCs w:val="24"/>
        </w:rPr>
      </w:pPr>
      <w:r w:rsidRPr="007A244F">
        <w:rPr>
          <w:b/>
          <w:bCs/>
          <w:sz w:val="24"/>
          <w:szCs w:val="24"/>
        </w:rPr>
        <w:lastRenderedPageBreak/>
        <w:t>3.4 Liquidity and solvency position:</w:t>
      </w:r>
    </w:p>
    <w:p w14:paraId="00000028" w14:textId="77777777" w:rsidR="003503AB" w:rsidRDefault="00000000" w:rsidP="007A244F">
      <w:pPr>
        <w:spacing w:line="360" w:lineRule="auto"/>
        <w:jc w:val="both"/>
        <w:rPr>
          <w:sz w:val="24"/>
          <w:szCs w:val="24"/>
        </w:rPr>
      </w:pPr>
      <w:r>
        <w:rPr>
          <w:sz w:val="24"/>
          <w:szCs w:val="24"/>
        </w:rPr>
        <w:t>The liquidity situation at the hotel deteriorated since cash and equivalents declined from £740,590 in 2021 to £295,510 in 2023, which raises some alarm over short-term commitments. Increasing debt levels- long-term borrowings put further pressure on solvency, as evidenced in the increasing lease debt-Knight Frank, 2023. Since current liabilities almost equal current assets, there is a need for improved cash flow through cost control and new revenue streams that ensure operational continuity-Liu, 2022.</w:t>
      </w:r>
    </w:p>
    <w:p w14:paraId="00000029" w14:textId="77777777" w:rsidR="003503AB" w:rsidRDefault="003503AB" w:rsidP="007A244F">
      <w:pPr>
        <w:spacing w:line="360" w:lineRule="auto"/>
        <w:jc w:val="both"/>
        <w:rPr>
          <w:sz w:val="24"/>
          <w:szCs w:val="24"/>
        </w:rPr>
      </w:pPr>
    </w:p>
    <w:p w14:paraId="0000002A" w14:textId="77777777" w:rsidR="003503AB" w:rsidRDefault="003503AB" w:rsidP="007A244F">
      <w:pPr>
        <w:spacing w:line="360" w:lineRule="auto"/>
        <w:jc w:val="both"/>
        <w:rPr>
          <w:sz w:val="24"/>
          <w:szCs w:val="24"/>
        </w:rPr>
      </w:pPr>
    </w:p>
    <w:p w14:paraId="0000002B" w14:textId="77777777" w:rsidR="003503AB" w:rsidRDefault="00000000" w:rsidP="007A244F">
      <w:pPr>
        <w:spacing w:line="360" w:lineRule="auto"/>
        <w:jc w:val="both"/>
        <w:rPr>
          <w:sz w:val="24"/>
          <w:szCs w:val="24"/>
        </w:rPr>
      </w:pPr>
      <w:r>
        <w:rPr>
          <w:b/>
          <w:sz w:val="24"/>
          <w:szCs w:val="24"/>
        </w:rPr>
        <w:t>Table 1: Financial Performance Overview (2021–2023)</w:t>
      </w:r>
    </w:p>
    <w:p w14:paraId="0000002D" w14:textId="0C720473" w:rsidR="003503AB" w:rsidRDefault="007A244F" w:rsidP="007A244F">
      <w:pPr>
        <w:spacing w:line="360" w:lineRule="auto"/>
        <w:jc w:val="both"/>
        <w:rPr>
          <w:sz w:val="24"/>
          <w:szCs w:val="24"/>
        </w:rPr>
      </w:pPr>
      <w:r>
        <w:rPr>
          <w:b/>
          <w:bCs/>
          <w:noProof/>
          <w:lang w:val="en-GB"/>
        </w:rPr>
        <w:drawing>
          <wp:inline distT="0" distB="0" distL="0" distR="0" wp14:anchorId="0D2155B2" wp14:editId="4E358889">
            <wp:extent cx="5943600" cy="4890518"/>
            <wp:effectExtent l="0" t="0" r="0" b="5715"/>
            <wp:docPr id="1063757232" name="Picture 4"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57232" name="Picture 4" descr="A screenshot of a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4890518"/>
                    </a:xfrm>
                    <a:prstGeom prst="rect">
                      <a:avLst/>
                    </a:prstGeom>
                  </pic:spPr>
                </pic:pic>
              </a:graphicData>
            </a:graphic>
          </wp:inline>
        </w:drawing>
      </w:r>
    </w:p>
    <w:p w14:paraId="4F2BA214" w14:textId="77777777" w:rsidR="007A244F" w:rsidRDefault="007A244F" w:rsidP="007A244F">
      <w:pPr>
        <w:spacing w:line="360" w:lineRule="auto"/>
        <w:jc w:val="both"/>
        <w:rPr>
          <w:sz w:val="24"/>
          <w:szCs w:val="24"/>
        </w:rPr>
      </w:pPr>
    </w:p>
    <w:p w14:paraId="075AEAB1" w14:textId="76D9B65C" w:rsidR="007A244F" w:rsidRDefault="007A244F" w:rsidP="007A244F">
      <w:pPr>
        <w:spacing w:line="360" w:lineRule="auto"/>
        <w:jc w:val="both"/>
        <w:rPr>
          <w:sz w:val="24"/>
          <w:szCs w:val="24"/>
        </w:rPr>
      </w:pPr>
      <w:r>
        <w:rPr>
          <w:b/>
          <w:bCs/>
          <w:noProof/>
          <w:lang w:val="en-GB"/>
        </w:rPr>
        <w:lastRenderedPageBreak/>
        <w:drawing>
          <wp:inline distT="0" distB="0" distL="0" distR="0" wp14:anchorId="1935D665" wp14:editId="789C5263">
            <wp:extent cx="5943600" cy="5900956"/>
            <wp:effectExtent l="0" t="0" r="0" b="5080"/>
            <wp:docPr id="2060157690" name="Picture 5"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57690" name="Picture 5" descr="A screenshot of a repo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5900956"/>
                    </a:xfrm>
                    <a:prstGeom prst="rect">
                      <a:avLst/>
                    </a:prstGeom>
                  </pic:spPr>
                </pic:pic>
              </a:graphicData>
            </a:graphic>
          </wp:inline>
        </w:drawing>
      </w:r>
    </w:p>
    <w:p w14:paraId="5A58D5F3" w14:textId="77777777" w:rsidR="007A244F" w:rsidRDefault="007A244F" w:rsidP="007A244F">
      <w:pPr>
        <w:spacing w:line="360" w:lineRule="auto"/>
        <w:jc w:val="both"/>
        <w:rPr>
          <w:sz w:val="24"/>
          <w:szCs w:val="24"/>
        </w:rPr>
      </w:pPr>
    </w:p>
    <w:p w14:paraId="0000002E" w14:textId="77777777" w:rsidR="003503AB" w:rsidRPr="007A244F" w:rsidRDefault="00000000" w:rsidP="007A244F">
      <w:pPr>
        <w:spacing w:line="360" w:lineRule="auto"/>
        <w:jc w:val="both"/>
        <w:rPr>
          <w:b/>
          <w:bCs/>
          <w:sz w:val="24"/>
          <w:szCs w:val="24"/>
        </w:rPr>
      </w:pPr>
      <w:r w:rsidRPr="007A244F">
        <w:rPr>
          <w:b/>
          <w:bCs/>
          <w:sz w:val="24"/>
          <w:szCs w:val="24"/>
        </w:rPr>
        <w:t>Key Observations and Recommendations</w:t>
      </w:r>
    </w:p>
    <w:p w14:paraId="0000002F" w14:textId="77777777" w:rsidR="003503AB" w:rsidRDefault="00000000" w:rsidP="007A244F">
      <w:pPr>
        <w:spacing w:line="360" w:lineRule="auto"/>
        <w:jc w:val="both"/>
        <w:rPr>
          <w:sz w:val="24"/>
          <w:szCs w:val="24"/>
        </w:rPr>
      </w:pPr>
      <w:r>
        <w:rPr>
          <w:sz w:val="24"/>
          <w:szCs w:val="24"/>
        </w:rPr>
        <w:t>• Revenue Decline: Deep revenue declines in 2023 require innovation in driving local and leisure demand to recapture lost demand (PwC, 2023).</w:t>
      </w:r>
    </w:p>
    <w:p w14:paraId="00000030" w14:textId="5726C941" w:rsidR="003503AB" w:rsidRDefault="00000000" w:rsidP="007A244F">
      <w:pPr>
        <w:spacing w:line="360" w:lineRule="auto"/>
        <w:jc w:val="both"/>
        <w:rPr>
          <w:sz w:val="24"/>
          <w:szCs w:val="24"/>
        </w:rPr>
      </w:pPr>
      <w:r>
        <w:rPr>
          <w:sz w:val="24"/>
          <w:szCs w:val="24"/>
        </w:rPr>
        <w:t xml:space="preserve">•Cost Pressures: Although the COGS and employee cost declined, high fixed costs imply a need for structural reorganization of the business (Jones &amp; Lockwood, 2023). • Liquidity Risks: Low cash reserves indicate liquidity </w:t>
      </w:r>
      <w:r w:rsidR="007A244F">
        <w:rPr>
          <w:sz w:val="24"/>
          <w:szCs w:val="24"/>
        </w:rPr>
        <w:t>risks;</w:t>
      </w:r>
      <w:r>
        <w:rPr>
          <w:sz w:val="24"/>
          <w:szCs w:val="24"/>
        </w:rPr>
        <w:t xml:space="preserve"> hence cash flow needs to be improved through cost control and revenue diversification (Knight Frank, 2023).</w:t>
      </w:r>
    </w:p>
    <w:p w14:paraId="00000031" w14:textId="5DC411C5" w:rsidR="003503AB" w:rsidRDefault="00000000" w:rsidP="007A244F">
      <w:pPr>
        <w:spacing w:line="360" w:lineRule="auto"/>
        <w:jc w:val="both"/>
        <w:rPr>
          <w:sz w:val="24"/>
          <w:szCs w:val="24"/>
        </w:rPr>
      </w:pPr>
      <w:r>
        <w:rPr>
          <w:sz w:val="24"/>
          <w:szCs w:val="24"/>
        </w:rPr>
        <w:lastRenderedPageBreak/>
        <w:t>•Debt Levels: An increased reliance on long-term debt and lease obligations may leave less room for future investments; financial restructuring is recommended (UKHospitality, 2024).</w:t>
      </w:r>
    </w:p>
    <w:p w14:paraId="00000032" w14:textId="77777777" w:rsidR="003503AB" w:rsidRDefault="003503AB" w:rsidP="007A244F">
      <w:pPr>
        <w:spacing w:line="360" w:lineRule="auto"/>
        <w:jc w:val="both"/>
        <w:rPr>
          <w:sz w:val="24"/>
          <w:szCs w:val="24"/>
        </w:rPr>
      </w:pPr>
    </w:p>
    <w:p w14:paraId="00000033" w14:textId="77777777" w:rsidR="003503AB" w:rsidRPr="007A244F" w:rsidRDefault="003503AB" w:rsidP="007A244F">
      <w:pPr>
        <w:spacing w:line="360" w:lineRule="auto"/>
        <w:jc w:val="both"/>
        <w:rPr>
          <w:b/>
          <w:bCs/>
          <w:sz w:val="24"/>
          <w:szCs w:val="24"/>
        </w:rPr>
      </w:pPr>
    </w:p>
    <w:p w14:paraId="76A88D55" w14:textId="77777777" w:rsidR="007F4C76" w:rsidRDefault="007F4C76" w:rsidP="007A244F">
      <w:pPr>
        <w:spacing w:line="360" w:lineRule="auto"/>
        <w:jc w:val="both"/>
        <w:rPr>
          <w:b/>
          <w:bCs/>
          <w:sz w:val="24"/>
          <w:szCs w:val="24"/>
        </w:rPr>
      </w:pPr>
    </w:p>
    <w:p w14:paraId="768B89B2" w14:textId="29A5510D" w:rsidR="007F4C76" w:rsidRDefault="007F4C76">
      <w:pPr>
        <w:rPr>
          <w:b/>
          <w:bCs/>
          <w:sz w:val="24"/>
          <w:szCs w:val="24"/>
        </w:rPr>
      </w:pPr>
      <w:r>
        <w:rPr>
          <w:b/>
          <w:bCs/>
          <w:sz w:val="24"/>
          <w:szCs w:val="24"/>
        </w:rPr>
        <w:br w:type="page"/>
      </w:r>
    </w:p>
    <w:p w14:paraId="00000034" w14:textId="3E9902E4" w:rsidR="003503AB" w:rsidRPr="007A244F" w:rsidRDefault="00000000" w:rsidP="00CD09D1">
      <w:pPr>
        <w:pStyle w:val="Heading1"/>
      </w:pPr>
      <w:r w:rsidRPr="007A244F">
        <w:lastRenderedPageBreak/>
        <w:t xml:space="preserve"> </w:t>
      </w:r>
      <w:r w:rsidRPr="00CD09D1">
        <w:rPr>
          <w:color w:val="1F497D" w:themeColor="text2"/>
          <w:sz w:val="36"/>
          <w:szCs w:val="36"/>
        </w:rPr>
        <w:t>Determine Drivers of Decline</w:t>
      </w:r>
    </w:p>
    <w:p w14:paraId="00000035" w14:textId="416F3205" w:rsidR="003503AB" w:rsidRDefault="00000000" w:rsidP="007A244F">
      <w:pPr>
        <w:spacing w:line="360" w:lineRule="auto"/>
        <w:jc w:val="both"/>
        <w:rPr>
          <w:sz w:val="24"/>
          <w:szCs w:val="24"/>
        </w:rPr>
      </w:pPr>
      <w:r>
        <w:rPr>
          <w:sz w:val="24"/>
          <w:szCs w:val="24"/>
        </w:rPr>
        <w:t xml:space="preserve">The multi-factor nature of the decline in profitability and customer satisfaction makes an effective turnaround strategy </w:t>
      </w:r>
      <w:r w:rsidR="007A244F">
        <w:rPr>
          <w:sz w:val="24"/>
          <w:szCs w:val="24"/>
        </w:rPr>
        <w:t>difficult</w:t>
      </w:r>
      <w:r>
        <w:rPr>
          <w:sz w:val="24"/>
          <w:szCs w:val="24"/>
        </w:rPr>
        <w:t xml:space="preserve"> to craft without </w:t>
      </w:r>
      <w:r w:rsidR="007A244F">
        <w:rPr>
          <w:sz w:val="24"/>
          <w:szCs w:val="24"/>
        </w:rPr>
        <w:t>insights</w:t>
      </w:r>
      <w:r>
        <w:rPr>
          <w:sz w:val="24"/>
          <w:szCs w:val="24"/>
        </w:rPr>
        <w:t xml:space="preserve"> into all these drivers.</w:t>
      </w:r>
    </w:p>
    <w:p w14:paraId="00000036" w14:textId="77777777" w:rsidR="003503AB" w:rsidRDefault="003503AB" w:rsidP="007A244F">
      <w:pPr>
        <w:spacing w:line="360" w:lineRule="auto"/>
        <w:jc w:val="both"/>
        <w:rPr>
          <w:sz w:val="24"/>
          <w:szCs w:val="24"/>
        </w:rPr>
      </w:pPr>
    </w:p>
    <w:p w14:paraId="00000037" w14:textId="72080BC3" w:rsidR="003503AB" w:rsidRPr="007A244F" w:rsidRDefault="00000000" w:rsidP="007A244F">
      <w:pPr>
        <w:spacing w:line="360" w:lineRule="auto"/>
        <w:jc w:val="both"/>
        <w:rPr>
          <w:b/>
          <w:bCs/>
          <w:sz w:val="24"/>
          <w:szCs w:val="24"/>
        </w:rPr>
      </w:pPr>
      <w:r w:rsidRPr="007A244F">
        <w:rPr>
          <w:b/>
          <w:bCs/>
          <w:sz w:val="24"/>
          <w:szCs w:val="24"/>
        </w:rPr>
        <w:t>4.1 Impact of External Market Factors</w:t>
      </w:r>
    </w:p>
    <w:p w14:paraId="00000038" w14:textId="77777777" w:rsidR="003503AB" w:rsidRDefault="00000000" w:rsidP="007A244F">
      <w:pPr>
        <w:spacing w:line="360" w:lineRule="auto"/>
        <w:jc w:val="both"/>
        <w:rPr>
          <w:sz w:val="24"/>
          <w:szCs w:val="24"/>
        </w:rPr>
      </w:pPr>
      <w:r>
        <w:rPr>
          <w:sz w:val="24"/>
          <w:szCs w:val="24"/>
        </w:rPr>
        <w:t>The UK hospitality sector has been heavily impacted by external influences in terms of inflation that has increased the cost of doing business on energy, food, and wages (PwC, 2023). The increase in living cost has decreased consumer disposable income, thus spending less on hotels and dining (UKHospitality, 2024).</w:t>
      </w:r>
    </w:p>
    <w:p w14:paraId="00000039" w14:textId="77777777" w:rsidR="003503AB" w:rsidRDefault="00000000" w:rsidP="007A244F">
      <w:pPr>
        <w:spacing w:line="360" w:lineRule="auto"/>
        <w:jc w:val="both"/>
        <w:rPr>
          <w:sz w:val="24"/>
          <w:szCs w:val="24"/>
        </w:rPr>
      </w:pPr>
      <w:r>
        <w:rPr>
          <w:sz w:val="24"/>
          <w:szCs w:val="24"/>
        </w:rPr>
        <w:t>Besides, the post-effect of the COVID-19 pandemic has changed consumer behavior to value health, sustainability practices, and value for money from guests (CGA, 2023). Economic uncertainty, in addition to Brexit supply chain disruption, increases costs of operation that makes the hotels cost-conscious in the marketplace (Vanhove, 2017).</w:t>
      </w:r>
    </w:p>
    <w:p w14:paraId="0000003A" w14:textId="77777777" w:rsidR="003503AB" w:rsidRDefault="003503AB" w:rsidP="007A244F">
      <w:pPr>
        <w:spacing w:line="360" w:lineRule="auto"/>
        <w:jc w:val="both"/>
        <w:rPr>
          <w:sz w:val="24"/>
          <w:szCs w:val="24"/>
        </w:rPr>
      </w:pPr>
    </w:p>
    <w:p w14:paraId="0000003B" w14:textId="5EA2A957" w:rsidR="003503AB" w:rsidRPr="007A244F" w:rsidRDefault="00000000" w:rsidP="007A244F">
      <w:pPr>
        <w:spacing w:line="360" w:lineRule="auto"/>
        <w:jc w:val="both"/>
        <w:rPr>
          <w:b/>
          <w:bCs/>
          <w:sz w:val="24"/>
          <w:szCs w:val="24"/>
        </w:rPr>
      </w:pPr>
      <w:r w:rsidRPr="007A244F">
        <w:rPr>
          <w:b/>
          <w:bCs/>
          <w:sz w:val="24"/>
          <w:szCs w:val="24"/>
        </w:rPr>
        <w:t>4.2 Operational Inefficiencies and Cost Structure</w:t>
      </w:r>
    </w:p>
    <w:p w14:paraId="0000003C" w14:textId="77777777" w:rsidR="003503AB" w:rsidRDefault="00000000" w:rsidP="007A244F">
      <w:pPr>
        <w:spacing w:line="360" w:lineRule="auto"/>
        <w:jc w:val="both"/>
        <w:rPr>
          <w:sz w:val="24"/>
          <w:szCs w:val="24"/>
        </w:rPr>
      </w:pPr>
      <w:r>
        <w:rPr>
          <w:sz w:val="24"/>
          <w:szCs w:val="24"/>
        </w:rPr>
        <w:t>Internally, the cost structure is unsustainable. Long-term leases and utility bills bring fixed costs, making it difficult to adapt to a fluctuation in occupancy and revenue (Jones &amp; Lockwood, 2023). Employee costs are down but are still significant for outflows, suggesting there is a balance to be made on workforce efficiency with service quality (Baker &amp; Bradley, 2023). The hotel's reliance on traditional cost management methods has limited its agility in addressing rising operational expenses, a common issue in mid-range hospitality establishments. Without modernizing its operational processes or renegotiating supplier contracts, the hotel risks further margin erosion (Wood, 2023).</w:t>
      </w:r>
    </w:p>
    <w:p w14:paraId="0000003D" w14:textId="77777777" w:rsidR="003503AB" w:rsidRDefault="003503AB" w:rsidP="007A244F">
      <w:pPr>
        <w:spacing w:line="360" w:lineRule="auto"/>
        <w:jc w:val="both"/>
        <w:rPr>
          <w:sz w:val="24"/>
          <w:szCs w:val="24"/>
        </w:rPr>
      </w:pPr>
    </w:p>
    <w:p w14:paraId="7B2DB29B" w14:textId="77777777" w:rsidR="007A244F" w:rsidRDefault="007A244F" w:rsidP="007A244F">
      <w:pPr>
        <w:spacing w:line="360" w:lineRule="auto"/>
        <w:jc w:val="both"/>
        <w:rPr>
          <w:sz w:val="24"/>
          <w:szCs w:val="24"/>
        </w:rPr>
      </w:pPr>
    </w:p>
    <w:p w14:paraId="0000003E" w14:textId="338BCA81" w:rsidR="003503AB" w:rsidRPr="007A244F" w:rsidRDefault="00000000" w:rsidP="007A244F">
      <w:pPr>
        <w:spacing w:line="360" w:lineRule="auto"/>
        <w:jc w:val="both"/>
        <w:rPr>
          <w:b/>
          <w:bCs/>
          <w:sz w:val="24"/>
          <w:szCs w:val="24"/>
        </w:rPr>
      </w:pPr>
      <w:r w:rsidRPr="007A244F">
        <w:rPr>
          <w:b/>
          <w:bCs/>
          <w:sz w:val="24"/>
          <w:szCs w:val="24"/>
        </w:rPr>
        <w:t>4.3 Customer Satisfaction and Market Position</w:t>
      </w:r>
    </w:p>
    <w:p w14:paraId="00000040" w14:textId="77777777" w:rsidR="003503AB" w:rsidRDefault="00000000" w:rsidP="007A244F">
      <w:pPr>
        <w:spacing w:line="360" w:lineRule="auto"/>
        <w:jc w:val="both"/>
        <w:rPr>
          <w:sz w:val="24"/>
          <w:szCs w:val="24"/>
        </w:rPr>
      </w:pPr>
      <w:r>
        <w:rPr>
          <w:sz w:val="24"/>
          <w:szCs w:val="24"/>
        </w:rPr>
        <w:t xml:space="preserve">Service quality and fewer amenities result in decreases in customer satisfaction because of cost-cutting measures (Morrison, 2022). Modern-day consumers want unique and memorable experiences, a pandemic-influenced trend shifting to "experiential" hospitality (Ntounis et al., 2022). In the case of City Hotel, its current offerings do not demonstrate the innovation that has started to appear in other businesses, which are beginning to </w:t>
      </w:r>
      <w:r>
        <w:rPr>
          <w:sz w:val="24"/>
          <w:szCs w:val="24"/>
        </w:rPr>
        <w:lastRenderedPageBreak/>
        <w:t>embrace digital services and sustainability practices as means to meet the demands of today's consumers (Liu, 2022).</w:t>
      </w:r>
    </w:p>
    <w:p w14:paraId="00000041" w14:textId="77777777" w:rsidR="003503AB" w:rsidRDefault="00000000" w:rsidP="007A244F">
      <w:pPr>
        <w:spacing w:line="360" w:lineRule="auto"/>
        <w:jc w:val="both"/>
        <w:rPr>
          <w:sz w:val="24"/>
          <w:szCs w:val="24"/>
        </w:rPr>
      </w:pPr>
      <w:r>
        <w:rPr>
          <w:sz w:val="24"/>
          <w:szCs w:val="24"/>
        </w:rPr>
        <w:t>A weak market position with unsatisfied guests threatens the hotel's ability to retain loyal customers and to attract new business, particularly in a competitive urban market.</w:t>
      </w:r>
    </w:p>
    <w:p w14:paraId="00000042" w14:textId="77777777" w:rsidR="003503AB" w:rsidRDefault="003503AB" w:rsidP="007A244F">
      <w:pPr>
        <w:spacing w:line="360" w:lineRule="auto"/>
        <w:jc w:val="both"/>
        <w:rPr>
          <w:sz w:val="24"/>
          <w:szCs w:val="24"/>
        </w:rPr>
      </w:pPr>
    </w:p>
    <w:p w14:paraId="00000043" w14:textId="7B0E2D10" w:rsidR="00CD09D1" w:rsidRDefault="00CD09D1" w:rsidP="007A244F">
      <w:pPr>
        <w:spacing w:line="360" w:lineRule="auto"/>
        <w:jc w:val="both"/>
        <w:rPr>
          <w:b/>
          <w:bCs/>
          <w:sz w:val="24"/>
          <w:szCs w:val="24"/>
        </w:rPr>
      </w:pPr>
    </w:p>
    <w:p w14:paraId="148BF3EB" w14:textId="58F36B01" w:rsidR="00CD09D1" w:rsidRDefault="00CD09D1">
      <w:pPr>
        <w:rPr>
          <w:b/>
          <w:bCs/>
          <w:sz w:val="24"/>
          <w:szCs w:val="24"/>
        </w:rPr>
      </w:pPr>
      <w:r>
        <w:rPr>
          <w:b/>
          <w:bCs/>
          <w:sz w:val="24"/>
          <w:szCs w:val="24"/>
        </w:rPr>
        <w:br w:type="page"/>
      </w:r>
    </w:p>
    <w:p w14:paraId="76DC0721" w14:textId="07B6A697" w:rsidR="003503AB" w:rsidRPr="00CD09D1" w:rsidRDefault="00CD09D1" w:rsidP="00CD09D1">
      <w:pPr>
        <w:pStyle w:val="Heading1"/>
        <w:rPr>
          <w:color w:val="1F497D" w:themeColor="text2"/>
          <w:sz w:val="32"/>
          <w:szCs w:val="32"/>
        </w:rPr>
      </w:pPr>
      <w:r w:rsidRPr="00CD09D1">
        <w:rPr>
          <w:color w:val="1F497D" w:themeColor="text2"/>
          <w:sz w:val="32"/>
          <w:szCs w:val="32"/>
        </w:rPr>
        <w:lastRenderedPageBreak/>
        <w:t>Turnaround Strategy for The City Hotel</w:t>
      </w:r>
    </w:p>
    <w:p w14:paraId="1CB5FBEA" w14:textId="66AF898E" w:rsidR="007A244F" w:rsidRPr="007A244F" w:rsidRDefault="00000000" w:rsidP="007A244F">
      <w:pPr>
        <w:spacing w:line="360" w:lineRule="auto"/>
        <w:jc w:val="both"/>
        <w:rPr>
          <w:b/>
          <w:bCs/>
          <w:sz w:val="24"/>
          <w:szCs w:val="24"/>
        </w:rPr>
      </w:pPr>
      <w:r w:rsidRPr="007A244F">
        <w:rPr>
          <w:b/>
          <w:bCs/>
          <w:sz w:val="24"/>
          <w:szCs w:val="24"/>
        </w:rPr>
        <w:t>5. Revitalization Plan for The City Hotel</w:t>
      </w:r>
    </w:p>
    <w:p w14:paraId="00000044" w14:textId="14E47DAC" w:rsidR="003503AB" w:rsidRDefault="00000000" w:rsidP="007A244F">
      <w:pPr>
        <w:spacing w:line="360" w:lineRule="auto"/>
        <w:jc w:val="both"/>
        <w:rPr>
          <w:sz w:val="24"/>
          <w:szCs w:val="24"/>
        </w:rPr>
      </w:pPr>
      <w:r>
        <w:rPr>
          <w:sz w:val="24"/>
          <w:szCs w:val="24"/>
        </w:rPr>
        <w:t>To reverse the deterioration of performance in The City Hotel, a turnaround strategy in four productive areas is needed: revenue, cost optimization, financial restructuring, and services varied.</w:t>
      </w:r>
    </w:p>
    <w:p w14:paraId="00000045" w14:textId="77777777" w:rsidR="003503AB" w:rsidRDefault="003503AB" w:rsidP="007A244F">
      <w:pPr>
        <w:spacing w:line="360" w:lineRule="auto"/>
        <w:jc w:val="both"/>
        <w:rPr>
          <w:sz w:val="24"/>
          <w:szCs w:val="24"/>
        </w:rPr>
      </w:pPr>
    </w:p>
    <w:p w14:paraId="00000047" w14:textId="384009BB" w:rsidR="003503AB" w:rsidRPr="007A244F" w:rsidRDefault="00000000" w:rsidP="007A244F">
      <w:pPr>
        <w:spacing w:line="360" w:lineRule="auto"/>
        <w:jc w:val="both"/>
        <w:rPr>
          <w:b/>
          <w:bCs/>
          <w:sz w:val="24"/>
          <w:szCs w:val="24"/>
        </w:rPr>
      </w:pPr>
      <w:r w:rsidRPr="007A244F">
        <w:rPr>
          <w:b/>
          <w:bCs/>
          <w:sz w:val="24"/>
          <w:szCs w:val="24"/>
        </w:rPr>
        <w:t>5.1 Revenue Enhancement Programs</w:t>
      </w:r>
    </w:p>
    <w:p w14:paraId="00000048" w14:textId="161CAAC6" w:rsidR="003503AB" w:rsidRDefault="00000000" w:rsidP="007A244F">
      <w:pPr>
        <w:spacing w:line="360" w:lineRule="auto"/>
        <w:jc w:val="both"/>
        <w:rPr>
          <w:sz w:val="24"/>
          <w:szCs w:val="24"/>
        </w:rPr>
      </w:pPr>
      <w:r>
        <w:rPr>
          <w:sz w:val="24"/>
          <w:szCs w:val="24"/>
        </w:rPr>
        <w:t xml:space="preserve">Increasing the revenue will only be effective with a specific marketing strategy for local and leisure travelers. A digital marketing investment is possible through social media and search engine optimization, which may reach a broader audience, and brand name (Morrison, 2022). Additionally, marketing the hotel as a "staycation" destination and special events venue can appeal to </w:t>
      </w:r>
      <w:r w:rsidR="007A244F">
        <w:rPr>
          <w:sz w:val="24"/>
          <w:szCs w:val="24"/>
        </w:rPr>
        <w:t>satiations</w:t>
      </w:r>
      <w:r>
        <w:rPr>
          <w:sz w:val="24"/>
          <w:szCs w:val="24"/>
        </w:rPr>
        <w:t xml:space="preserve"> looking for more budget-friendly experiences at home (UKHospitality, 2024).</w:t>
      </w:r>
    </w:p>
    <w:p w14:paraId="00000049" w14:textId="77777777" w:rsidR="003503AB" w:rsidRDefault="00000000" w:rsidP="007A244F">
      <w:pPr>
        <w:spacing w:line="360" w:lineRule="auto"/>
        <w:jc w:val="both"/>
        <w:rPr>
          <w:sz w:val="24"/>
          <w:szCs w:val="24"/>
        </w:rPr>
      </w:pPr>
      <w:r>
        <w:rPr>
          <w:sz w:val="24"/>
          <w:szCs w:val="24"/>
        </w:rPr>
        <w:t xml:space="preserve">Improved service quality also boosts customer satisfaction, causing loyalty and positive reviews, through proper employee training and amenity upgrade (Jones &amp; Lockwood, 2023). </w:t>
      </w:r>
    </w:p>
    <w:p w14:paraId="0000004A" w14:textId="77777777" w:rsidR="003503AB" w:rsidRDefault="003503AB" w:rsidP="007A244F">
      <w:pPr>
        <w:spacing w:line="360" w:lineRule="auto"/>
        <w:jc w:val="both"/>
        <w:rPr>
          <w:sz w:val="24"/>
          <w:szCs w:val="24"/>
        </w:rPr>
      </w:pPr>
    </w:p>
    <w:p w14:paraId="0000004B" w14:textId="75FE4F95" w:rsidR="003503AB" w:rsidRPr="007A244F" w:rsidRDefault="00000000" w:rsidP="007A244F">
      <w:pPr>
        <w:spacing w:line="360" w:lineRule="auto"/>
        <w:jc w:val="both"/>
        <w:rPr>
          <w:b/>
          <w:bCs/>
          <w:sz w:val="24"/>
          <w:szCs w:val="24"/>
        </w:rPr>
      </w:pPr>
      <w:r w:rsidRPr="007A244F">
        <w:rPr>
          <w:b/>
          <w:bCs/>
          <w:sz w:val="24"/>
          <w:szCs w:val="24"/>
        </w:rPr>
        <w:t>5.2 Cost Optimization and Efficiency</w:t>
      </w:r>
    </w:p>
    <w:p w14:paraId="0000004C" w14:textId="77777777" w:rsidR="003503AB" w:rsidRDefault="00000000" w:rsidP="007A244F">
      <w:pPr>
        <w:spacing w:line="360" w:lineRule="auto"/>
        <w:jc w:val="both"/>
        <w:rPr>
          <w:sz w:val="24"/>
          <w:szCs w:val="24"/>
        </w:rPr>
      </w:pPr>
      <w:r>
        <w:rPr>
          <w:sz w:val="24"/>
          <w:szCs w:val="24"/>
        </w:rPr>
        <w:t xml:space="preserve">Cost optimization will include fixed and variable cost review and control. For example, renegotiating a lease agreement and supplier contracts will reduce overhead costs besides making expenses closely follow revenue (PwC, 2023). Installing energy-saving technologies like LED lighting and smart thermostats will also reduce utility expenses, which are highly heavy in an inflationary environment (Bader, 2005). Outsourcing non-core services like laundry and housekeeping will cut costs without affecting service quality. All this is to ensure that it becomes financially viable (Wood, 2023). </w:t>
      </w:r>
    </w:p>
    <w:p w14:paraId="0000004D" w14:textId="77777777" w:rsidR="003503AB" w:rsidRDefault="003503AB" w:rsidP="007A244F">
      <w:pPr>
        <w:spacing w:line="360" w:lineRule="auto"/>
        <w:jc w:val="both"/>
        <w:rPr>
          <w:sz w:val="24"/>
          <w:szCs w:val="24"/>
        </w:rPr>
      </w:pPr>
    </w:p>
    <w:p w14:paraId="0000004E" w14:textId="2FBF2BFC" w:rsidR="003503AB" w:rsidRPr="007A244F" w:rsidRDefault="00000000" w:rsidP="007A244F">
      <w:pPr>
        <w:spacing w:line="360" w:lineRule="auto"/>
        <w:jc w:val="both"/>
        <w:rPr>
          <w:b/>
          <w:bCs/>
          <w:sz w:val="24"/>
          <w:szCs w:val="24"/>
        </w:rPr>
      </w:pPr>
      <w:r w:rsidRPr="007A244F">
        <w:rPr>
          <w:b/>
          <w:bCs/>
          <w:sz w:val="24"/>
          <w:szCs w:val="24"/>
        </w:rPr>
        <w:t>5.3 Financial Restructuring and Debt Management</w:t>
      </w:r>
    </w:p>
    <w:p w14:paraId="0000004F" w14:textId="77777777" w:rsidR="003503AB" w:rsidRDefault="00000000" w:rsidP="007A244F">
      <w:pPr>
        <w:spacing w:line="360" w:lineRule="auto"/>
        <w:jc w:val="both"/>
        <w:rPr>
          <w:sz w:val="24"/>
          <w:szCs w:val="24"/>
        </w:rPr>
      </w:pPr>
      <w:r>
        <w:rPr>
          <w:sz w:val="24"/>
          <w:szCs w:val="24"/>
        </w:rPr>
        <w:t xml:space="preserve">As the debt continues to increase, financial liabilities will have to be reengineered. The City Hotel will talk with the lenders about extended repayment or lower rates to relieve immediate pressure (Deloitte, 2024). Furthermore, excess cash flow available due to operational savings for paying down debt can improve the position of the hotel for </w:t>
      </w:r>
      <w:r>
        <w:rPr>
          <w:sz w:val="24"/>
          <w:szCs w:val="24"/>
        </w:rPr>
        <w:lastRenderedPageBreak/>
        <w:t xml:space="preserve">investments in the future. Therefore, the present debt will only be relieved by effective restructuring of finances to restore long-term solvency (Knight Frank, 2023). </w:t>
      </w:r>
    </w:p>
    <w:p w14:paraId="00000050" w14:textId="77777777" w:rsidR="003503AB" w:rsidRDefault="003503AB" w:rsidP="007A244F">
      <w:pPr>
        <w:spacing w:line="360" w:lineRule="auto"/>
        <w:jc w:val="both"/>
        <w:rPr>
          <w:sz w:val="24"/>
          <w:szCs w:val="24"/>
        </w:rPr>
      </w:pPr>
    </w:p>
    <w:p w14:paraId="00000051" w14:textId="56650C75" w:rsidR="003503AB" w:rsidRPr="007A244F" w:rsidRDefault="00000000" w:rsidP="007A244F">
      <w:pPr>
        <w:spacing w:line="360" w:lineRule="auto"/>
        <w:jc w:val="both"/>
        <w:rPr>
          <w:b/>
          <w:bCs/>
          <w:sz w:val="24"/>
          <w:szCs w:val="24"/>
        </w:rPr>
      </w:pPr>
      <w:r w:rsidRPr="007A244F">
        <w:rPr>
          <w:b/>
          <w:bCs/>
          <w:sz w:val="24"/>
          <w:szCs w:val="24"/>
        </w:rPr>
        <w:t xml:space="preserve">5.4 Diversification and New Revenue Streams </w:t>
      </w:r>
    </w:p>
    <w:p w14:paraId="00000052" w14:textId="77777777" w:rsidR="003503AB" w:rsidRDefault="00000000" w:rsidP="007A244F">
      <w:pPr>
        <w:spacing w:line="360" w:lineRule="auto"/>
        <w:jc w:val="both"/>
        <w:rPr>
          <w:sz w:val="24"/>
          <w:szCs w:val="24"/>
        </w:rPr>
      </w:pPr>
      <w:r>
        <w:rPr>
          <w:sz w:val="24"/>
          <w:szCs w:val="24"/>
        </w:rPr>
        <w:t>The City Hotel could diversify its income by reusing unused areas for co-working and events, in line with a trend that embraces hybrid workspaces (Liu, 2022). The city hotel can partner with restaurants and local attractions to offer packages to more clients; these include tourists and business clients (Ntounis et al., 2022). More services would be wellness or eco-friendly options, which would attract environmentally conscious guests (Baker &amp; Bradley, 2023). This would make the hotel less dependent on traditional bookings and increase its market appeal.</w:t>
      </w:r>
    </w:p>
    <w:p w14:paraId="00000053" w14:textId="77777777" w:rsidR="003503AB" w:rsidRDefault="003503AB" w:rsidP="007A244F">
      <w:pPr>
        <w:spacing w:line="360" w:lineRule="auto"/>
        <w:jc w:val="both"/>
        <w:rPr>
          <w:sz w:val="24"/>
          <w:szCs w:val="24"/>
        </w:rPr>
      </w:pPr>
    </w:p>
    <w:p w14:paraId="4E44D36D" w14:textId="77777777" w:rsidR="007F4C76" w:rsidRDefault="007F4C76" w:rsidP="007A244F">
      <w:pPr>
        <w:spacing w:line="360" w:lineRule="auto"/>
        <w:jc w:val="both"/>
        <w:rPr>
          <w:b/>
          <w:bCs/>
          <w:sz w:val="24"/>
          <w:szCs w:val="24"/>
        </w:rPr>
      </w:pPr>
    </w:p>
    <w:p w14:paraId="43917F89" w14:textId="20AD88BF" w:rsidR="007F4C76" w:rsidRDefault="007F4C76">
      <w:pPr>
        <w:rPr>
          <w:b/>
          <w:bCs/>
          <w:sz w:val="24"/>
          <w:szCs w:val="24"/>
        </w:rPr>
      </w:pPr>
      <w:r>
        <w:rPr>
          <w:b/>
          <w:bCs/>
          <w:sz w:val="24"/>
          <w:szCs w:val="24"/>
        </w:rPr>
        <w:br w:type="page"/>
      </w:r>
    </w:p>
    <w:p w14:paraId="00000054" w14:textId="6D8C89DB" w:rsidR="003503AB" w:rsidRPr="00CD09D1" w:rsidRDefault="00000000" w:rsidP="00CD09D1">
      <w:pPr>
        <w:pStyle w:val="Heading1"/>
        <w:rPr>
          <w:color w:val="1F497D" w:themeColor="text2"/>
          <w:sz w:val="36"/>
          <w:szCs w:val="36"/>
        </w:rPr>
      </w:pPr>
      <w:r w:rsidRPr="00CD09D1">
        <w:rPr>
          <w:color w:val="1F497D" w:themeColor="text2"/>
          <w:sz w:val="36"/>
          <w:szCs w:val="36"/>
        </w:rPr>
        <w:lastRenderedPageBreak/>
        <w:t>Financial Outcome and Viability Analysis</w:t>
      </w:r>
    </w:p>
    <w:p w14:paraId="2501723E" w14:textId="77777777" w:rsidR="00CD09D1" w:rsidRPr="007A244F" w:rsidRDefault="00CD09D1" w:rsidP="007A244F">
      <w:pPr>
        <w:spacing w:line="360" w:lineRule="auto"/>
        <w:jc w:val="both"/>
        <w:rPr>
          <w:b/>
          <w:bCs/>
          <w:sz w:val="24"/>
          <w:szCs w:val="24"/>
        </w:rPr>
      </w:pPr>
    </w:p>
    <w:p w14:paraId="00000055" w14:textId="77777777" w:rsidR="003503AB" w:rsidRDefault="00000000" w:rsidP="007A244F">
      <w:pPr>
        <w:spacing w:line="360" w:lineRule="auto"/>
        <w:jc w:val="both"/>
        <w:rPr>
          <w:sz w:val="24"/>
          <w:szCs w:val="24"/>
        </w:rPr>
      </w:pPr>
      <w:r>
        <w:rPr>
          <w:sz w:val="24"/>
          <w:szCs w:val="24"/>
        </w:rPr>
        <w:t>Three core turnaround strategies will be identified in terms of revenue growth, cost optimization, and restructuring of debt as major contributors to improved overall health and resilience for the city hotel.</w:t>
      </w:r>
    </w:p>
    <w:p w14:paraId="00000056" w14:textId="77777777" w:rsidR="003503AB" w:rsidRDefault="003503AB" w:rsidP="007A244F">
      <w:pPr>
        <w:spacing w:line="360" w:lineRule="auto"/>
        <w:jc w:val="both"/>
        <w:rPr>
          <w:sz w:val="24"/>
          <w:szCs w:val="24"/>
        </w:rPr>
      </w:pPr>
    </w:p>
    <w:p w14:paraId="00000057" w14:textId="77777777" w:rsidR="003503AB" w:rsidRPr="007A244F" w:rsidRDefault="00000000" w:rsidP="007A244F">
      <w:pPr>
        <w:spacing w:line="360" w:lineRule="auto"/>
        <w:jc w:val="both"/>
        <w:rPr>
          <w:b/>
          <w:bCs/>
          <w:sz w:val="24"/>
          <w:szCs w:val="24"/>
        </w:rPr>
      </w:pPr>
      <w:r w:rsidRPr="007A244F">
        <w:rPr>
          <w:b/>
          <w:bCs/>
          <w:sz w:val="24"/>
          <w:szCs w:val="24"/>
        </w:rPr>
        <w:t xml:space="preserve">1. Revenue Growth through Targeted Marketing and Service Diversification </w:t>
      </w:r>
    </w:p>
    <w:p w14:paraId="00000058" w14:textId="77777777" w:rsidR="003503AB" w:rsidRDefault="00000000" w:rsidP="007A244F">
      <w:pPr>
        <w:spacing w:line="360" w:lineRule="auto"/>
        <w:jc w:val="both"/>
        <w:rPr>
          <w:sz w:val="24"/>
          <w:szCs w:val="24"/>
        </w:rPr>
      </w:pPr>
      <w:r>
        <w:rPr>
          <w:sz w:val="24"/>
          <w:szCs w:val="24"/>
        </w:rPr>
        <w:t>Improving the digital marketing could mean more focused social media advertising and search engine optimization, such that The City Hotel appeals to a larger audience of local and regional visitors who are willing to pay less but want value. Digital presence needs to increase significantly as consumers increasingly search for and book hospitality services online (Morrison, 2022).</w:t>
      </w:r>
    </w:p>
    <w:p w14:paraId="00000059" w14:textId="45F77157" w:rsidR="003503AB" w:rsidRDefault="00000000" w:rsidP="007A244F">
      <w:pPr>
        <w:spacing w:line="360" w:lineRule="auto"/>
        <w:jc w:val="both"/>
        <w:rPr>
          <w:sz w:val="24"/>
          <w:szCs w:val="24"/>
        </w:rPr>
      </w:pPr>
      <w:r>
        <w:rPr>
          <w:sz w:val="24"/>
          <w:szCs w:val="24"/>
        </w:rPr>
        <w:t xml:space="preserve">Co-working, hosting events, and wellness packages are some of the activities that enable the hotel to generate revenues beyond the core room booking, which is currently under pressure due to the fluctuating occupancy rates being witnessed (UKHospitality, 2024). This is in line with the trends in the industry as hotels diversify the </w:t>
      </w:r>
      <w:r w:rsidR="007A244F">
        <w:rPr>
          <w:sz w:val="24"/>
          <w:szCs w:val="24"/>
        </w:rPr>
        <w:t>products,</w:t>
      </w:r>
      <w:r>
        <w:rPr>
          <w:sz w:val="24"/>
          <w:szCs w:val="24"/>
        </w:rPr>
        <w:t xml:space="preserve"> they offer to gain a larger market share as well as maximize </w:t>
      </w:r>
      <w:r w:rsidR="007A244F">
        <w:rPr>
          <w:sz w:val="24"/>
          <w:szCs w:val="24"/>
        </w:rPr>
        <w:t>their assets</w:t>
      </w:r>
      <w:r>
        <w:rPr>
          <w:sz w:val="24"/>
          <w:szCs w:val="24"/>
        </w:rPr>
        <w:t xml:space="preserve"> (PwC, 2023).</w:t>
      </w:r>
    </w:p>
    <w:p w14:paraId="0000005A" w14:textId="77777777" w:rsidR="003503AB" w:rsidRDefault="003503AB" w:rsidP="007A244F">
      <w:pPr>
        <w:spacing w:line="360" w:lineRule="auto"/>
        <w:jc w:val="both"/>
        <w:rPr>
          <w:sz w:val="24"/>
          <w:szCs w:val="24"/>
        </w:rPr>
      </w:pPr>
    </w:p>
    <w:p w14:paraId="0000005B" w14:textId="77777777" w:rsidR="003503AB" w:rsidRPr="007A244F" w:rsidRDefault="00000000" w:rsidP="007A244F">
      <w:pPr>
        <w:spacing w:line="360" w:lineRule="auto"/>
        <w:jc w:val="both"/>
        <w:rPr>
          <w:b/>
          <w:bCs/>
          <w:sz w:val="24"/>
          <w:szCs w:val="24"/>
        </w:rPr>
      </w:pPr>
      <w:r w:rsidRPr="007A244F">
        <w:rPr>
          <w:b/>
          <w:bCs/>
          <w:sz w:val="24"/>
          <w:szCs w:val="24"/>
        </w:rPr>
        <w:t>2. Cost Optimization and Enhanced Operational Efficiency</w:t>
      </w:r>
    </w:p>
    <w:p w14:paraId="0000005C" w14:textId="74959AAE" w:rsidR="003503AB" w:rsidRDefault="00000000" w:rsidP="007A244F">
      <w:pPr>
        <w:spacing w:line="360" w:lineRule="auto"/>
        <w:jc w:val="both"/>
        <w:rPr>
          <w:sz w:val="24"/>
          <w:szCs w:val="24"/>
        </w:rPr>
      </w:pPr>
      <w:r>
        <w:rPr>
          <w:sz w:val="24"/>
          <w:szCs w:val="24"/>
        </w:rPr>
        <w:t xml:space="preserve">It should have control over both the fixed and variable costs of any business. The biggest cost burden for The City Hotel is </w:t>
      </w:r>
      <w:r w:rsidR="007A244F">
        <w:rPr>
          <w:sz w:val="24"/>
          <w:szCs w:val="24"/>
        </w:rPr>
        <w:t>the fixed</w:t>
      </w:r>
      <w:r>
        <w:rPr>
          <w:sz w:val="24"/>
          <w:szCs w:val="24"/>
        </w:rPr>
        <w:t xml:space="preserve"> costs associated with long-term leases and utilities. The hotel can save in the long term from long-term operational costs by getting a better lease agreement or doing energy-efficient upgrades, including LED lighting and smart thermostats (Baker &amp; Bradley, 2023). For example, outsourcing some of its non-core services such as doing laundry or housekeeping may reduce the costs while remaining at a service level; this form of cost cutting will not only stabilize its cash flow but also will enable The City Hotel to operate more flexibly when the economy is fluctuating and these fluctuations are starting to take precedence in any high-cost inflationary conditions (Jones &amp; Lockwood, 2023).</w:t>
      </w:r>
    </w:p>
    <w:p w14:paraId="0000005D" w14:textId="77777777" w:rsidR="003503AB" w:rsidRDefault="003503AB" w:rsidP="007A244F">
      <w:pPr>
        <w:spacing w:line="360" w:lineRule="auto"/>
        <w:jc w:val="both"/>
        <w:rPr>
          <w:sz w:val="24"/>
          <w:szCs w:val="24"/>
        </w:rPr>
      </w:pPr>
    </w:p>
    <w:p w14:paraId="65DD8925" w14:textId="77777777" w:rsidR="00CD09D1" w:rsidRDefault="00CD09D1" w:rsidP="007A244F">
      <w:pPr>
        <w:spacing w:line="360" w:lineRule="auto"/>
        <w:jc w:val="both"/>
        <w:rPr>
          <w:sz w:val="24"/>
          <w:szCs w:val="24"/>
        </w:rPr>
      </w:pPr>
    </w:p>
    <w:p w14:paraId="0000005E" w14:textId="77777777" w:rsidR="003503AB" w:rsidRPr="007A244F" w:rsidRDefault="00000000" w:rsidP="007A244F">
      <w:pPr>
        <w:spacing w:line="360" w:lineRule="auto"/>
        <w:jc w:val="both"/>
        <w:rPr>
          <w:b/>
          <w:bCs/>
          <w:sz w:val="24"/>
          <w:szCs w:val="24"/>
        </w:rPr>
      </w:pPr>
      <w:r w:rsidRPr="007A244F">
        <w:rPr>
          <w:b/>
          <w:bCs/>
          <w:sz w:val="24"/>
          <w:szCs w:val="24"/>
        </w:rPr>
        <w:lastRenderedPageBreak/>
        <w:t xml:space="preserve">3. Debt restructuring for better solvency </w:t>
      </w:r>
    </w:p>
    <w:p w14:paraId="0000005F" w14:textId="77777777" w:rsidR="003503AB" w:rsidRDefault="00000000" w:rsidP="007A244F">
      <w:pPr>
        <w:spacing w:line="360" w:lineRule="auto"/>
        <w:jc w:val="both"/>
        <w:rPr>
          <w:sz w:val="24"/>
          <w:szCs w:val="24"/>
        </w:rPr>
      </w:pPr>
      <w:r>
        <w:rPr>
          <w:sz w:val="24"/>
          <w:szCs w:val="24"/>
        </w:rPr>
        <w:t>Restructuring of debts is part of the turnaround strategy, which reduces debt to manageable levels for the hotel and lease obligations. In this way, The City Hotel will negotiate with lenders for a longer repayment period or even lower interest rates that could alleviate some of the current financial burdens to refocus on recovery (Knight Frank, 2023).</w:t>
      </w:r>
    </w:p>
    <w:p w14:paraId="00000060" w14:textId="77777777" w:rsidR="003503AB" w:rsidRDefault="003503AB" w:rsidP="007A244F">
      <w:pPr>
        <w:spacing w:line="360" w:lineRule="auto"/>
        <w:jc w:val="both"/>
        <w:rPr>
          <w:sz w:val="24"/>
          <w:szCs w:val="24"/>
        </w:rPr>
      </w:pPr>
    </w:p>
    <w:p w14:paraId="00000061" w14:textId="77777777" w:rsidR="003503AB" w:rsidRDefault="00000000" w:rsidP="007A244F">
      <w:pPr>
        <w:spacing w:line="360" w:lineRule="auto"/>
        <w:jc w:val="both"/>
        <w:rPr>
          <w:sz w:val="24"/>
          <w:szCs w:val="24"/>
        </w:rPr>
      </w:pPr>
      <w:r>
        <w:rPr>
          <w:sz w:val="24"/>
          <w:szCs w:val="24"/>
        </w:rPr>
        <w:t>The balance sheet of the hotel will improve, and its long-term solvency will increase as it pays off the debt using the surplus cash flows created by cost savings and new revenue streams. This is because the rise in interest rate could affect the cost of debt servicing in the hospitality industry (Deloitte, 2024).</w:t>
      </w:r>
    </w:p>
    <w:p w14:paraId="00000062" w14:textId="77777777" w:rsidR="003503AB" w:rsidRDefault="003503AB" w:rsidP="007A244F">
      <w:pPr>
        <w:spacing w:line="360" w:lineRule="auto"/>
        <w:jc w:val="both"/>
        <w:rPr>
          <w:sz w:val="24"/>
          <w:szCs w:val="24"/>
        </w:rPr>
      </w:pPr>
    </w:p>
    <w:p w14:paraId="00000063" w14:textId="77777777" w:rsidR="003503AB" w:rsidRPr="007A244F" w:rsidRDefault="00000000" w:rsidP="007A244F">
      <w:pPr>
        <w:spacing w:line="360" w:lineRule="auto"/>
        <w:jc w:val="both"/>
        <w:rPr>
          <w:b/>
          <w:bCs/>
          <w:sz w:val="24"/>
          <w:szCs w:val="24"/>
        </w:rPr>
      </w:pPr>
      <w:r w:rsidRPr="007A244F">
        <w:rPr>
          <w:b/>
          <w:bCs/>
          <w:sz w:val="24"/>
          <w:szCs w:val="24"/>
        </w:rPr>
        <w:t xml:space="preserve">4. External Conditions and Sustainability </w:t>
      </w:r>
    </w:p>
    <w:p w14:paraId="00000064" w14:textId="37A15A73" w:rsidR="003503AB" w:rsidRDefault="00000000" w:rsidP="007A244F">
      <w:pPr>
        <w:spacing w:line="360" w:lineRule="auto"/>
        <w:jc w:val="both"/>
        <w:rPr>
          <w:sz w:val="24"/>
          <w:szCs w:val="24"/>
        </w:rPr>
      </w:pPr>
      <w:r>
        <w:rPr>
          <w:sz w:val="24"/>
          <w:szCs w:val="24"/>
        </w:rPr>
        <w:t xml:space="preserve">Even though external factors, including inflation and cyclical fluctuations in consumer spending, continue to beset the sector, the suggested strategies represent best practice in the industry at present and demonstrate adaptability. Including revenue diversification, digital marketing, and cost-reduction measures will position The City Hotel in a better position </w:t>
      </w:r>
      <w:r w:rsidR="007A244F">
        <w:rPr>
          <w:sz w:val="24"/>
          <w:szCs w:val="24"/>
        </w:rPr>
        <w:t>vis-à-vis external factor</w:t>
      </w:r>
      <w:r>
        <w:rPr>
          <w:sz w:val="24"/>
          <w:szCs w:val="24"/>
        </w:rPr>
        <w:t>.</w:t>
      </w:r>
    </w:p>
    <w:p w14:paraId="00000065" w14:textId="77777777" w:rsidR="003503AB" w:rsidRDefault="00000000" w:rsidP="007A244F">
      <w:pPr>
        <w:spacing w:line="360" w:lineRule="auto"/>
        <w:jc w:val="both"/>
        <w:rPr>
          <w:sz w:val="24"/>
          <w:szCs w:val="24"/>
        </w:rPr>
      </w:pPr>
      <w:r>
        <w:rPr>
          <w:sz w:val="24"/>
          <w:szCs w:val="24"/>
        </w:rPr>
        <w:t>This flexibility will allow the hotel to adjust its operations according to shifts in market conditions, which would be much needed to sustain the competitive advantage for the urban hospitality sector (Liu, 2022).</w:t>
      </w:r>
    </w:p>
    <w:p w14:paraId="00000066" w14:textId="77777777" w:rsidR="003503AB" w:rsidRDefault="00000000" w:rsidP="007A244F">
      <w:pPr>
        <w:spacing w:line="360" w:lineRule="auto"/>
        <w:jc w:val="both"/>
        <w:rPr>
          <w:sz w:val="24"/>
          <w:szCs w:val="24"/>
        </w:rPr>
      </w:pPr>
      <w:r>
        <w:rPr>
          <w:sz w:val="24"/>
          <w:szCs w:val="24"/>
        </w:rPr>
        <w:t xml:space="preserve">The strategies proposed can be quite viable and sustainable to get out of this financial situation. If seriously followed, it is sure to stabilize the cash flows, reduce dependence on the traditional revenue sources, and increase the market standing of the hotel. This strategy makes The City Hotel survive well in the challenging environment as a resilient and diversified business that will help it prosper. </w:t>
      </w:r>
    </w:p>
    <w:p w14:paraId="00000067" w14:textId="77777777" w:rsidR="003503AB" w:rsidRDefault="003503AB" w:rsidP="007A244F">
      <w:pPr>
        <w:spacing w:line="360" w:lineRule="auto"/>
        <w:jc w:val="both"/>
        <w:rPr>
          <w:sz w:val="24"/>
          <w:szCs w:val="24"/>
        </w:rPr>
      </w:pPr>
    </w:p>
    <w:p w14:paraId="00000068" w14:textId="77777777" w:rsidR="003503AB" w:rsidRPr="007A244F" w:rsidRDefault="00000000" w:rsidP="007A244F">
      <w:pPr>
        <w:spacing w:line="360" w:lineRule="auto"/>
        <w:jc w:val="both"/>
        <w:rPr>
          <w:b/>
          <w:bCs/>
          <w:sz w:val="24"/>
          <w:szCs w:val="24"/>
        </w:rPr>
      </w:pPr>
      <w:r w:rsidRPr="007A244F">
        <w:rPr>
          <w:b/>
          <w:bCs/>
          <w:sz w:val="24"/>
          <w:szCs w:val="24"/>
        </w:rPr>
        <w:t xml:space="preserve">Conclusion: </w:t>
      </w:r>
    </w:p>
    <w:p w14:paraId="00000069" w14:textId="66EFB9C6" w:rsidR="003503AB" w:rsidRDefault="00000000" w:rsidP="007A244F">
      <w:pPr>
        <w:spacing w:line="360" w:lineRule="auto"/>
        <w:jc w:val="both"/>
        <w:rPr>
          <w:sz w:val="24"/>
          <w:szCs w:val="24"/>
        </w:rPr>
      </w:pPr>
      <w:r>
        <w:rPr>
          <w:sz w:val="24"/>
          <w:szCs w:val="24"/>
        </w:rPr>
        <w:t xml:space="preserve">This report analyzed The City Hotel and found that its financial decline emanated from outside pressures on the hotel, high running costs, and low returns in customer satisfaction. </w:t>
      </w:r>
      <w:r w:rsidR="007A244F">
        <w:rPr>
          <w:sz w:val="24"/>
          <w:szCs w:val="24"/>
        </w:rPr>
        <w:t>This</w:t>
      </w:r>
      <w:r>
        <w:rPr>
          <w:sz w:val="24"/>
          <w:szCs w:val="24"/>
        </w:rPr>
        <w:t xml:space="preserve"> </w:t>
      </w:r>
      <w:r w:rsidR="007A244F">
        <w:rPr>
          <w:sz w:val="24"/>
          <w:szCs w:val="24"/>
        </w:rPr>
        <w:t>report</w:t>
      </w:r>
      <w:r>
        <w:rPr>
          <w:sz w:val="24"/>
          <w:szCs w:val="24"/>
        </w:rPr>
        <w:t xml:space="preserve"> thus recommended complete turnaround strategies of revenue </w:t>
      </w:r>
      <w:r>
        <w:rPr>
          <w:sz w:val="24"/>
          <w:szCs w:val="24"/>
        </w:rPr>
        <w:lastRenderedPageBreak/>
        <w:t>maximization, cost control measures, and debt restructuring. A turnaround of these strategies implemented by The City Hotel will offer it a financially stable perspective, improved market positioning and alignment with ever-changing consumers' expectations (Jones &amp; Lockwood, 2023). Success will depend on careful execution and flexibility in fluctuating market conditions, but there is definitely a feasible route for regaining it, bringing long-term sustainability and growth to this very competitive landscape (Morrison, 2022).</w:t>
      </w:r>
    </w:p>
    <w:p w14:paraId="0000006A" w14:textId="77777777" w:rsidR="003503AB" w:rsidRDefault="003503AB" w:rsidP="007A244F">
      <w:pPr>
        <w:spacing w:line="360" w:lineRule="auto"/>
        <w:jc w:val="both"/>
        <w:rPr>
          <w:sz w:val="24"/>
          <w:szCs w:val="24"/>
        </w:rPr>
      </w:pPr>
    </w:p>
    <w:p w14:paraId="0CA767CD" w14:textId="494031E0" w:rsidR="007A244F" w:rsidRDefault="007A244F">
      <w:pPr>
        <w:rPr>
          <w:b/>
          <w:sz w:val="24"/>
          <w:szCs w:val="24"/>
        </w:rPr>
      </w:pPr>
      <w:r>
        <w:rPr>
          <w:b/>
          <w:sz w:val="24"/>
          <w:szCs w:val="24"/>
        </w:rPr>
        <w:br w:type="page"/>
      </w:r>
    </w:p>
    <w:p w14:paraId="0000006B" w14:textId="6857D586" w:rsidR="003503AB" w:rsidRDefault="00000000" w:rsidP="007A244F">
      <w:pPr>
        <w:spacing w:line="360" w:lineRule="auto"/>
        <w:jc w:val="both"/>
        <w:rPr>
          <w:b/>
          <w:sz w:val="24"/>
          <w:szCs w:val="24"/>
        </w:rPr>
      </w:pPr>
      <w:r>
        <w:rPr>
          <w:b/>
          <w:sz w:val="24"/>
          <w:szCs w:val="24"/>
        </w:rPr>
        <w:lastRenderedPageBreak/>
        <w:t xml:space="preserve">References: </w:t>
      </w:r>
    </w:p>
    <w:p w14:paraId="07020666" w14:textId="77777777" w:rsidR="00CD09D1" w:rsidRDefault="00CD09D1" w:rsidP="00CD09D1">
      <w:pPr>
        <w:numPr>
          <w:ilvl w:val="0"/>
          <w:numId w:val="3"/>
        </w:numPr>
        <w:spacing w:line="360" w:lineRule="auto"/>
        <w:rPr>
          <w:sz w:val="24"/>
          <w:szCs w:val="24"/>
        </w:rPr>
      </w:pPr>
      <w:r>
        <w:rPr>
          <w:sz w:val="24"/>
          <w:szCs w:val="24"/>
        </w:rPr>
        <w:t xml:space="preserve">Bader, E., 2005. </w:t>
      </w:r>
      <w:r>
        <w:rPr>
          <w:i/>
          <w:sz w:val="24"/>
          <w:szCs w:val="24"/>
        </w:rPr>
        <w:t>Sustainable Hotel Business Practices</w:t>
      </w:r>
      <w:r>
        <w:rPr>
          <w:sz w:val="24"/>
          <w:szCs w:val="24"/>
        </w:rPr>
        <w:t xml:space="preserve">. </w:t>
      </w:r>
      <w:r>
        <w:rPr>
          <w:i/>
          <w:sz w:val="24"/>
          <w:szCs w:val="24"/>
        </w:rPr>
        <w:t>Journal of Retail &amp; Leisure Property</w:t>
      </w:r>
      <w:r>
        <w:rPr>
          <w:sz w:val="24"/>
          <w:szCs w:val="24"/>
        </w:rPr>
        <w:t xml:space="preserve">, 5(1), pp. 70-77. Available at: </w:t>
      </w:r>
      <w:hyperlink r:id="rId10" w:history="1">
        <w:r w:rsidRPr="00CE1B4A">
          <w:rPr>
            <w:rStyle w:val="Hyperlink"/>
            <w:sz w:val="24"/>
            <w:szCs w:val="24"/>
          </w:rPr>
          <w:t>https://doi.org/10.1057/palgrave.rlp.5090008</w:t>
        </w:r>
      </w:hyperlink>
      <w:r>
        <w:rPr>
          <w:sz w:val="24"/>
          <w:szCs w:val="24"/>
        </w:rPr>
        <w:t xml:space="preserve">  [Accessed 3 November 2024].</w:t>
      </w:r>
    </w:p>
    <w:p w14:paraId="73BC1ED7" w14:textId="77777777" w:rsidR="00CD09D1" w:rsidRDefault="00CD09D1" w:rsidP="00CD09D1">
      <w:pPr>
        <w:numPr>
          <w:ilvl w:val="0"/>
          <w:numId w:val="1"/>
        </w:numPr>
        <w:spacing w:after="240" w:line="360" w:lineRule="auto"/>
        <w:rPr>
          <w:sz w:val="24"/>
          <w:szCs w:val="24"/>
        </w:rPr>
      </w:pPr>
      <w:r>
        <w:rPr>
          <w:sz w:val="24"/>
          <w:szCs w:val="24"/>
        </w:rPr>
        <w:t xml:space="preserve">CGA, 2023. </w:t>
      </w:r>
      <w:r>
        <w:rPr>
          <w:i/>
          <w:sz w:val="24"/>
          <w:szCs w:val="24"/>
        </w:rPr>
        <w:t>Cost of Living and Consumer Trends in the UK Hospitality Sector</w:t>
      </w:r>
      <w:r>
        <w:rPr>
          <w:sz w:val="24"/>
          <w:szCs w:val="24"/>
        </w:rPr>
        <w:t xml:space="preserve">. CGA. Available at: </w:t>
      </w:r>
      <w:hyperlink r:id="rId11" w:history="1">
        <w:r w:rsidRPr="00CE1B4A">
          <w:rPr>
            <w:rStyle w:val="Hyperlink"/>
            <w:sz w:val="24"/>
            <w:szCs w:val="24"/>
          </w:rPr>
          <w:t>https://cgastrategy.com/new-industry-report-reveals-hospitality-trends-for-2023/</w:t>
        </w:r>
      </w:hyperlink>
      <w:r>
        <w:rPr>
          <w:sz w:val="24"/>
          <w:szCs w:val="24"/>
        </w:rPr>
        <w:t xml:space="preserve">  [Accessed 3 November 2024].</w:t>
      </w:r>
    </w:p>
    <w:p w14:paraId="12F80942" w14:textId="77777777" w:rsidR="00CD09D1" w:rsidRDefault="00CD09D1" w:rsidP="00CD09D1">
      <w:pPr>
        <w:numPr>
          <w:ilvl w:val="0"/>
          <w:numId w:val="1"/>
        </w:numPr>
        <w:spacing w:line="360" w:lineRule="auto"/>
        <w:rPr>
          <w:sz w:val="24"/>
          <w:szCs w:val="24"/>
        </w:rPr>
      </w:pPr>
      <w:r>
        <w:rPr>
          <w:sz w:val="24"/>
          <w:szCs w:val="24"/>
        </w:rPr>
        <w:t xml:space="preserve">Deloitte, 2024. </w:t>
      </w:r>
      <w:r>
        <w:rPr>
          <w:i/>
          <w:sz w:val="24"/>
          <w:szCs w:val="24"/>
        </w:rPr>
        <w:t>UK Hospitality Industry Outlook: Trends and Future Directions</w:t>
      </w:r>
      <w:r>
        <w:rPr>
          <w:sz w:val="24"/>
          <w:szCs w:val="24"/>
        </w:rPr>
        <w:t xml:space="preserve">. Deloitte UK. Available at: </w:t>
      </w:r>
      <w:hyperlink r:id="rId12" w:history="1">
        <w:r w:rsidRPr="00CE1B4A">
          <w:rPr>
            <w:rStyle w:val="Hyperlink"/>
            <w:sz w:val="24"/>
            <w:szCs w:val="24"/>
          </w:rPr>
          <w:t>https://www.deloitte.com/uk/en/Industries/consumer/research/european-hotel-industry-and-investment-survey-2024.html</w:t>
        </w:r>
      </w:hyperlink>
      <w:r>
        <w:rPr>
          <w:sz w:val="24"/>
          <w:szCs w:val="24"/>
        </w:rPr>
        <w:t xml:space="preserve">  [Accessed 3 November 2024].</w:t>
      </w:r>
    </w:p>
    <w:p w14:paraId="5087D2DC" w14:textId="77777777" w:rsidR="00CD09D1" w:rsidRDefault="00CD09D1" w:rsidP="00CD09D1">
      <w:pPr>
        <w:numPr>
          <w:ilvl w:val="0"/>
          <w:numId w:val="3"/>
        </w:numPr>
        <w:spacing w:line="360" w:lineRule="auto"/>
        <w:rPr>
          <w:sz w:val="24"/>
          <w:szCs w:val="24"/>
        </w:rPr>
      </w:pPr>
      <w:r>
        <w:rPr>
          <w:sz w:val="24"/>
          <w:szCs w:val="24"/>
        </w:rPr>
        <w:t xml:space="preserve">Institute of Hospitality, 2024. </w:t>
      </w:r>
      <w:r>
        <w:rPr>
          <w:i/>
          <w:sz w:val="24"/>
          <w:szCs w:val="24"/>
        </w:rPr>
        <w:t>Cost of Living Impact on the UK Hospitality Sector</w:t>
      </w:r>
      <w:r>
        <w:rPr>
          <w:sz w:val="24"/>
          <w:szCs w:val="24"/>
        </w:rPr>
        <w:t xml:space="preserve">. Available at: </w:t>
      </w:r>
      <w:hyperlink r:id="rId13" w:history="1">
        <w:r w:rsidRPr="00CE1B4A">
          <w:rPr>
            <w:rStyle w:val="Hyperlink"/>
            <w:sz w:val="24"/>
            <w:szCs w:val="24"/>
          </w:rPr>
          <w:t>https://www.instituteofhospitality.org/wp-content/uploads/2024/04/Cost_of_Living_April_2024.pdf</w:t>
        </w:r>
      </w:hyperlink>
      <w:r>
        <w:rPr>
          <w:sz w:val="24"/>
          <w:szCs w:val="24"/>
        </w:rPr>
        <w:t xml:space="preserve">  [Accessed 3 November 2024].</w:t>
      </w:r>
    </w:p>
    <w:p w14:paraId="05B1305F" w14:textId="77777777" w:rsidR="00CD09D1" w:rsidRDefault="00CD09D1" w:rsidP="00CD09D1">
      <w:pPr>
        <w:numPr>
          <w:ilvl w:val="0"/>
          <w:numId w:val="2"/>
        </w:numPr>
        <w:spacing w:before="240" w:line="360" w:lineRule="auto"/>
        <w:rPr>
          <w:sz w:val="24"/>
          <w:szCs w:val="24"/>
        </w:rPr>
      </w:pPr>
      <w:r>
        <w:rPr>
          <w:sz w:val="24"/>
          <w:szCs w:val="24"/>
        </w:rPr>
        <w:t xml:space="preserve">Jones, P. &amp; Lockwood, A., 2023. </w:t>
      </w:r>
      <w:r>
        <w:rPr>
          <w:i/>
          <w:sz w:val="24"/>
          <w:szCs w:val="24"/>
        </w:rPr>
        <w:t>The Management of Hotel Operations</w:t>
      </w:r>
      <w:r>
        <w:rPr>
          <w:sz w:val="24"/>
          <w:szCs w:val="24"/>
        </w:rPr>
        <w:t>. 2nd ed. London: Routledge.</w:t>
      </w:r>
    </w:p>
    <w:p w14:paraId="799955F2" w14:textId="77777777" w:rsidR="00CD09D1" w:rsidRDefault="00CD09D1" w:rsidP="00CD09D1">
      <w:pPr>
        <w:numPr>
          <w:ilvl w:val="0"/>
          <w:numId w:val="1"/>
        </w:numPr>
        <w:spacing w:line="360" w:lineRule="auto"/>
        <w:rPr>
          <w:sz w:val="24"/>
          <w:szCs w:val="24"/>
        </w:rPr>
      </w:pPr>
      <w:r>
        <w:rPr>
          <w:sz w:val="24"/>
          <w:szCs w:val="24"/>
        </w:rPr>
        <w:t xml:space="preserve">Knight Frank, 2023. </w:t>
      </w:r>
      <w:r>
        <w:rPr>
          <w:i/>
          <w:sz w:val="24"/>
          <w:szCs w:val="24"/>
        </w:rPr>
        <w:t>UK Hotel Trading Performance Review 2023</w:t>
      </w:r>
      <w:r>
        <w:rPr>
          <w:sz w:val="24"/>
          <w:szCs w:val="24"/>
        </w:rPr>
        <w:t xml:space="preserve">. Knight Frank. Available at: </w:t>
      </w:r>
      <w:hyperlink r:id="rId14" w:history="1">
        <w:r w:rsidRPr="00CE1B4A">
          <w:rPr>
            <w:rStyle w:val="Hyperlink"/>
            <w:sz w:val="24"/>
            <w:szCs w:val="24"/>
          </w:rPr>
          <w:t>https://www.knightfrank.com/publications/uk-hotels-trading-performance-review-2023-10821.aspx</w:t>
        </w:r>
      </w:hyperlink>
      <w:r>
        <w:rPr>
          <w:sz w:val="24"/>
          <w:szCs w:val="24"/>
        </w:rPr>
        <w:t xml:space="preserve">  [Accessed 3 November 2024].</w:t>
      </w:r>
    </w:p>
    <w:p w14:paraId="0A830FEA" w14:textId="77777777" w:rsidR="00CD09D1" w:rsidRDefault="00CD09D1" w:rsidP="00CD09D1">
      <w:pPr>
        <w:numPr>
          <w:ilvl w:val="0"/>
          <w:numId w:val="3"/>
        </w:numPr>
        <w:spacing w:line="360" w:lineRule="auto"/>
        <w:rPr>
          <w:sz w:val="24"/>
          <w:szCs w:val="24"/>
        </w:rPr>
      </w:pPr>
      <w:r>
        <w:rPr>
          <w:sz w:val="24"/>
          <w:szCs w:val="24"/>
        </w:rPr>
        <w:t xml:space="preserve">Kwong, L.Y.L., Fang, M. &amp; </w:t>
      </w:r>
      <w:proofErr w:type="spellStart"/>
      <w:r>
        <w:rPr>
          <w:sz w:val="24"/>
          <w:szCs w:val="24"/>
        </w:rPr>
        <w:t>Gabrielova</w:t>
      </w:r>
      <w:proofErr w:type="spellEnd"/>
      <w:r>
        <w:rPr>
          <w:sz w:val="24"/>
          <w:szCs w:val="24"/>
        </w:rPr>
        <w:t xml:space="preserve">, Z., 2024. </w:t>
      </w:r>
      <w:r>
        <w:rPr>
          <w:i/>
          <w:sz w:val="24"/>
          <w:szCs w:val="24"/>
        </w:rPr>
        <w:t>Measuring Hotel and Resort Performances During and Post-COVID-19: A Balanced Scorecard Approach</w:t>
      </w:r>
      <w:r>
        <w:rPr>
          <w:sz w:val="24"/>
          <w:szCs w:val="24"/>
        </w:rPr>
        <w:t xml:space="preserve">. In: M. Sigala, M. Fang, A. Yeark, J.N. Albrecht, &amp; O. </w:t>
      </w:r>
      <w:proofErr w:type="spellStart"/>
      <w:r>
        <w:rPr>
          <w:sz w:val="24"/>
          <w:szCs w:val="24"/>
        </w:rPr>
        <w:t>Vorobjovas</w:t>
      </w:r>
      <w:proofErr w:type="spellEnd"/>
      <w:r>
        <w:rPr>
          <w:sz w:val="24"/>
          <w:szCs w:val="24"/>
        </w:rPr>
        <w:t xml:space="preserve">-Pinta, eds. </w:t>
      </w:r>
      <w:r>
        <w:rPr>
          <w:i/>
          <w:sz w:val="24"/>
          <w:szCs w:val="24"/>
        </w:rPr>
        <w:t>Case Based Research in Tourism, Travel, and Hospitality</w:t>
      </w:r>
      <w:r>
        <w:rPr>
          <w:sz w:val="24"/>
          <w:szCs w:val="24"/>
        </w:rPr>
        <w:t xml:space="preserve">. Singapore: Springer, pp. 91-115. Available at: </w:t>
      </w:r>
      <w:hyperlink r:id="rId15" w:history="1">
        <w:r w:rsidRPr="00CE1B4A">
          <w:rPr>
            <w:rStyle w:val="Hyperlink"/>
            <w:sz w:val="24"/>
            <w:szCs w:val="24"/>
          </w:rPr>
          <w:t>https://doi.org/10.1007/978-981-97-1891-7_6</w:t>
        </w:r>
      </w:hyperlink>
      <w:r>
        <w:rPr>
          <w:sz w:val="24"/>
          <w:szCs w:val="24"/>
        </w:rPr>
        <w:t xml:space="preserve">  [Accessed 3 November 2024].</w:t>
      </w:r>
    </w:p>
    <w:p w14:paraId="6106462B" w14:textId="77777777" w:rsidR="00CD09D1" w:rsidRDefault="00CD09D1" w:rsidP="00CD09D1">
      <w:pPr>
        <w:numPr>
          <w:ilvl w:val="0"/>
          <w:numId w:val="2"/>
        </w:numPr>
        <w:spacing w:line="360" w:lineRule="auto"/>
        <w:rPr>
          <w:sz w:val="24"/>
          <w:szCs w:val="24"/>
        </w:rPr>
      </w:pPr>
      <w:r>
        <w:rPr>
          <w:sz w:val="24"/>
          <w:szCs w:val="24"/>
        </w:rPr>
        <w:t xml:space="preserve">Lashley, C. &amp; Morrison, A., 2023. </w:t>
      </w:r>
      <w:r>
        <w:rPr>
          <w:i/>
          <w:sz w:val="24"/>
          <w:szCs w:val="24"/>
        </w:rPr>
        <w:t>In Search of Hospitality: Theoretical Perspectives and Debates</w:t>
      </w:r>
      <w:r>
        <w:rPr>
          <w:sz w:val="24"/>
          <w:szCs w:val="24"/>
        </w:rPr>
        <w:t>. 2nd ed. Oxford: Butterworth-Heinemann.</w:t>
      </w:r>
    </w:p>
    <w:p w14:paraId="48BEC85F" w14:textId="77777777" w:rsidR="00CD09D1" w:rsidRDefault="00CD09D1" w:rsidP="00CD09D1">
      <w:pPr>
        <w:numPr>
          <w:ilvl w:val="0"/>
          <w:numId w:val="2"/>
        </w:numPr>
        <w:spacing w:line="360" w:lineRule="auto"/>
        <w:rPr>
          <w:sz w:val="24"/>
          <w:szCs w:val="24"/>
        </w:rPr>
      </w:pPr>
      <w:r>
        <w:rPr>
          <w:sz w:val="24"/>
          <w:szCs w:val="24"/>
        </w:rPr>
        <w:lastRenderedPageBreak/>
        <w:t xml:space="preserve">Morrison, A.M., 2022. </w:t>
      </w:r>
      <w:r>
        <w:rPr>
          <w:i/>
          <w:sz w:val="24"/>
          <w:szCs w:val="24"/>
        </w:rPr>
        <w:t>Hospitality and Travel Marketing</w:t>
      </w:r>
      <w:r>
        <w:rPr>
          <w:sz w:val="24"/>
          <w:szCs w:val="24"/>
        </w:rPr>
        <w:t xml:space="preserve">. 5th ed. London: Routledge. Available at: </w:t>
      </w:r>
      <w:hyperlink r:id="rId16" w:history="1">
        <w:r w:rsidRPr="00CE1B4A">
          <w:rPr>
            <w:rStyle w:val="Hyperlink"/>
            <w:sz w:val="24"/>
            <w:szCs w:val="24"/>
          </w:rPr>
          <w:t>https://doi.org/10.4324/9781003292616</w:t>
        </w:r>
      </w:hyperlink>
      <w:r>
        <w:rPr>
          <w:sz w:val="24"/>
          <w:szCs w:val="24"/>
        </w:rPr>
        <w:t xml:space="preserve">  [Accessed 3 November 2024].</w:t>
      </w:r>
    </w:p>
    <w:p w14:paraId="5A19BBCD" w14:textId="77777777" w:rsidR="00CD09D1" w:rsidRDefault="00CD09D1" w:rsidP="00CD09D1">
      <w:pPr>
        <w:numPr>
          <w:ilvl w:val="0"/>
          <w:numId w:val="3"/>
        </w:numPr>
        <w:spacing w:line="360" w:lineRule="auto"/>
        <w:rPr>
          <w:sz w:val="24"/>
          <w:szCs w:val="24"/>
        </w:rPr>
      </w:pPr>
      <w:r>
        <w:rPr>
          <w:sz w:val="24"/>
          <w:szCs w:val="24"/>
        </w:rPr>
        <w:t xml:space="preserve">Ntounis, N., Parker, C., Skinner, H., Steadman, C. &amp; </w:t>
      </w:r>
      <w:proofErr w:type="spellStart"/>
      <w:r>
        <w:rPr>
          <w:sz w:val="24"/>
          <w:szCs w:val="24"/>
        </w:rPr>
        <w:t>Warnaby</w:t>
      </w:r>
      <w:proofErr w:type="spellEnd"/>
      <w:r>
        <w:rPr>
          <w:sz w:val="24"/>
          <w:szCs w:val="24"/>
        </w:rPr>
        <w:t xml:space="preserve">, G., 2022. </w:t>
      </w:r>
      <w:r>
        <w:rPr>
          <w:i/>
          <w:sz w:val="24"/>
          <w:szCs w:val="24"/>
        </w:rPr>
        <w:t>Tourism and Hospitality Industry Resilience During the COVID-19 Pandemic: Evidence from England</w:t>
      </w:r>
      <w:r>
        <w:rPr>
          <w:sz w:val="24"/>
          <w:szCs w:val="24"/>
        </w:rPr>
        <w:t xml:space="preserve">. </w:t>
      </w:r>
      <w:r>
        <w:rPr>
          <w:i/>
          <w:sz w:val="24"/>
          <w:szCs w:val="24"/>
        </w:rPr>
        <w:t>Current Issues in Tourism</w:t>
      </w:r>
      <w:r>
        <w:rPr>
          <w:sz w:val="24"/>
          <w:szCs w:val="24"/>
        </w:rPr>
        <w:t xml:space="preserve">, 25(1), pp. 46-59. Available at: </w:t>
      </w:r>
      <w:hyperlink r:id="rId17" w:history="1">
        <w:r w:rsidRPr="00CE1B4A">
          <w:rPr>
            <w:rStyle w:val="Hyperlink"/>
            <w:sz w:val="24"/>
            <w:szCs w:val="24"/>
          </w:rPr>
          <w:t>https://doi.org/10.1080/13683500.2021.1883556</w:t>
        </w:r>
      </w:hyperlink>
      <w:r>
        <w:rPr>
          <w:sz w:val="24"/>
          <w:szCs w:val="24"/>
        </w:rPr>
        <w:t xml:space="preserve">  [Accessed 3 November 2024].</w:t>
      </w:r>
    </w:p>
    <w:p w14:paraId="284698C4" w14:textId="77777777" w:rsidR="00CD09D1" w:rsidRDefault="00CD09D1" w:rsidP="00CD09D1">
      <w:pPr>
        <w:numPr>
          <w:ilvl w:val="0"/>
          <w:numId w:val="1"/>
        </w:numPr>
        <w:spacing w:line="360" w:lineRule="auto"/>
        <w:rPr>
          <w:sz w:val="24"/>
          <w:szCs w:val="24"/>
        </w:rPr>
      </w:pPr>
      <w:r>
        <w:rPr>
          <w:sz w:val="24"/>
          <w:szCs w:val="24"/>
        </w:rPr>
        <w:t xml:space="preserve">PwC, 2023. </w:t>
      </w:r>
      <w:proofErr w:type="gramStart"/>
      <w:r>
        <w:rPr>
          <w:i/>
          <w:sz w:val="24"/>
          <w:szCs w:val="24"/>
        </w:rPr>
        <w:t>Hotels</w:t>
      </w:r>
      <w:proofErr w:type="gramEnd"/>
      <w:r>
        <w:rPr>
          <w:i/>
          <w:sz w:val="24"/>
          <w:szCs w:val="24"/>
        </w:rPr>
        <w:t xml:space="preserve"> Forecast 2023-2024: Navigating Economic Challenges in the UK</w:t>
      </w:r>
      <w:r>
        <w:rPr>
          <w:sz w:val="24"/>
          <w:szCs w:val="24"/>
        </w:rPr>
        <w:t xml:space="preserve">. PwC UK. Available at: </w:t>
      </w:r>
      <w:hyperlink r:id="rId18" w:history="1">
        <w:r w:rsidRPr="00CE1B4A">
          <w:rPr>
            <w:rStyle w:val="Hyperlink"/>
            <w:sz w:val="24"/>
            <w:szCs w:val="24"/>
          </w:rPr>
          <w:t>https://www.pwc.co.uk/industries/hospitality-leisure/insights/uk-hotels-forecast.html</w:t>
        </w:r>
      </w:hyperlink>
      <w:r>
        <w:rPr>
          <w:sz w:val="24"/>
          <w:szCs w:val="24"/>
        </w:rPr>
        <w:t xml:space="preserve">  [Accessed 3 November 2024].</w:t>
      </w:r>
    </w:p>
    <w:p w14:paraId="375F6342" w14:textId="77777777" w:rsidR="00CD09D1" w:rsidRDefault="00CD09D1" w:rsidP="00CD09D1">
      <w:pPr>
        <w:numPr>
          <w:ilvl w:val="0"/>
          <w:numId w:val="3"/>
        </w:numPr>
        <w:spacing w:line="360" w:lineRule="auto"/>
        <w:rPr>
          <w:sz w:val="24"/>
          <w:szCs w:val="24"/>
        </w:rPr>
      </w:pPr>
      <w:r>
        <w:rPr>
          <w:sz w:val="24"/>
          <w:szCs w:val="24"/>
        </w:rPr>
        <w:t xml:space="preserve">Silva, M.J., Durão, M. &amp; De Lemos, F.F., 2023. </w:t>
      </w:r>
      <w:r>
        <w:rPr>
          <w:i/>
          <w:sz w:val="24"/>
          <w:szCs w:val="24"/>
        </w:rPr>
        <w:t>Leading Digital Transformation in Tourism and Hospitality</w:t>
      </w:r>
      <w:r>
        <w:rPr>
          <w:sz w:val="24"/>
          <w:szCs w:val="24"/>
        </w:rPr>
        <w:t xml:space="preserve">. In: J. Marques &amp; R.P. Marques, eds. </w:t>
      </w:r>
      <w:r>
        <w:rPr>
          <w:i/>
          <w:sz w:val="24"/>
          <w:szCs w:val="24"/>
        </w:rPr>
        <w:t>Digital Transformation of the Hotel Industry</w:t>
      </w:r>
      <w:r>
        <w:rPr>
          <w:sz w:val="24"/>
          <w:szCs w:val="24"/>
        </w:rPr>
        <w:t xml:space="preserve">. Cham: Springer, pp. 310-326. Available at: </w:t>
      </w:r>
      <w:hyperlink r:id="rId19" w:history="1">
        <w:r w:rsidRPr="00CE1B4A">
          <w:rPr>
            <w:rStyle w:val="Hyperlink"/>
            <w:sz w:val="24"/>
            <w:szCs w:val="24"/>
          </w:rPr>
          <w:t>https://doi.org/10.1007/978-3-031-31682-1_13</w:t>
        </w:r>
      </w:hyperlink>
      <w:r>
        <w:rPr>
          <w:sz w:val="24"/>
          <w:szCs w:val="24"/>
        </w:rPr>
        <w:t xml:space="preserve">  [Accessed 3 November 2024].</w:t>
      </w:r>
    </w:p>
    <w:p w14:paraId="616F9C76" w14:textId="77777777" w:rsidR="00CD09D1" w:rsidRDefault="00CD09D1" w:rsidP="00CD09D1">
      <w:pPr>
        <w:numPr>
          <w:ilvl w:val="0"/>
          <w:numId w:val="1"/>
        </w:numPr>
        <w:spacing w:line="360" w:lineRule="auto"/>
        <w:rPr>
          <w:sz w:val="24"/>
          <w:szCs w:val="24"/>
        </w:rPr>
      </w:pPr>
      <w:r>
        <w:rPr>
          <w:sz w:val="24"/>
          <w:szCs w:val="24"/>
        </w:rPr>
        <w:t xml:space="preserve">UKHospitality, 2024. </w:t>
      </w:r>
      <w:r>
        <w:rPr>
          <w:i/>
          <w:sz w:val="24"/>
          <w:szCs w:val="24"/>
        </w:rPr>
        <w:t>UKHospitality Quarterly Industry Report Q1 2024</w:t>
      </w:r>
      <w:r>
        <w:rPr>
          <w:sz w:val="24"/>
          <w:szCs w:val="24"/>
        </w:rPr>
        <w:t>. Available at: https://www.ukhospitality.org.uk/insight/quarterly-sales-tracker-edit/ [Accessed 3 November 2024].</w:t>
      </w:r>
    </w:p>
    <w:p w14:paraId="11D251A2" w14:textId="77777777" w:rsidR="00CD09D1" w:rsidRDefault="00CD09D1" w:rsidP="00CD09D1">
      <w:pPr>
        <w:numPr>
          <w:ilvl w:val="0"/>
          <w:numId w:val="2"/>
        </w:numPr>
        <w:spacing w:line="360" w:lineRule="auto"/>
        <w:rPr>
          <w:sz w:val="24"/>
          <w:szCs w:val="24"/>
        </w:rPr>
      </w:pPr>
      <w:r>
        <w:rPr>
          <w:sz w:val="24"/>
          <w:szCs w:val="24"/>
        </w:rPr>
        <w:t xml:space="preserve">Vanhove, N., 2017. </w:t>
      </w:r>
      <w:r>
        <w:rPr>
          <w:i/>
          <w:sz w:val="24"/>
          <w:szCs w:val="24"/>
        </w:rPr>
        <w:t>The Economics of Tourism Destinations: Theory and Practice</w:t>
      </w:r>
      <w:r>
        <w:rPr>
          <w:sz w:val="24"/>
          <w:szCs w:val="24"/>
        </w:rPr>
        <w:t xml:space="preserve">. 3rd ed. London: Routledge. Available at: </w:t>
      </w:r>
      <w:hyperlink r:id="rId20" w:history="1">
        <w:r w:rsidRPr="00CE1B4A">
          <w:rPr>
            <w:rStyle w:val="Hyperlink"/>
            <w:sz w:val="24"/>
            <w:szCs w:val="24"/>
          </w:rPr>
          <w:t>https://doi.org/10.4324/9781351263801</w:t>
        </w:r>
      </w:hyperlink>
      <w:r>
        <w:rPr>
          <w:sz w:val="24"/>
          <w:szCs w:val="24"/>
        </w:rPr>
        <w:t xml:space="preserve">  [Accessed 3 November 2024].</w:t>
      </w:r>
    </w:p>
    <w:p w14:paraId="4C926381" w14:textId="77777777" w:rsidR="00CD09D1" w:rsidRDefault="00CD09D1" w:rsidP="00CD09D1">
      <w:pPr>
        <w:numPr>
          <w:ilvl w:val="0"/>
          <w:numId w:val="2"/>
        </w:numPr>
        <w:spacing w:line="360" w:lineRule="auto"/>
        <w:rPr>
          <w:sz w:val="24"/>
          <w:szCs w:val="24"/>
        </w:rPr>
      </w:pPr>
      <w:r>
        <w:rPr>
          <w:sz w:val="24"/>
          <w:szCs w:val="24"/>
        </w:rPr>
        <w:t xml:space="preserve">Wood, R.C., 2023. </w:t>
      </w:r>
      <w:r>
        <w:rPr>
          <w:i/>
          <w:sz w:val="24"/>
          <w:szCs w:val="24"/>
        </w:rPr>
        <w:t>Hospitality Management: A Brief Introduction</w:t>
      </w:r>
      <w:r>
        <w:rPr>
          <w:sz w:val="24"/>
          <w:szCs w:val="24"/>
        </w:rPr>
        <w:t>. 4th ed. London: SAGE Publications.</w:t>
      </w:r>
    </w:p>
    <w:p w14:paraId="0000007B" w14:textId="77777777" w:rsidR="003503AB" w:rsidRDefault="003503AB" w:rsidP="007A244F">
      <w:pPr>
        <w:spacing w:line="360" w:lineRule="auto"/>
        <w:jc w:val="both"/>
        <w:rPr>
          <w:sz w:val="24"/>
          <w:szCs w:val="24"/>
        </w:rPr>
      </w:pPr>
    </w:p>
    <w:sectPr w:rsidR="003503AB" w:rsidSect="00CD09D1">
      <w:footerReference w:type="default" r:id="rId2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788605" w14:textId="77777777" w:rsidR="00535CCE" w:rsidRDefault="00535CCE" w:rsidP="00023C7D">
      <w:pPr>
        <w:spacing w:line="240" w:lineRule="auto"/>
      </w:pPr>
      <w:r>
        <w:separator/>
      </w:r>
    </w:p>
  </w:endnote>
  <w:endnote w:type="continuationSeparator" w:id="0">
    <w:p w14:paraId="62563578" w14:textId="77777777" w:rsidR="00535CCE" w:rsidRDefault="00535CCE" w:rsidP="00023C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altName w:val="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8179048"/>
      <w:docPartObj>
        <w:docPartGallery w:val="Page Numbers (Bottom of Page)"/>
        <w:docPartUnique/>
      </w:docPartObj>
    </w:sdtPr>
    <w:sdtContent>
      <w:p w14:paraId="30E205BB" w14:textId="39244A66" w:rsidR="00023C7D" w:rsidRDefault="00023C7D">
        <w:pPr>
          <w:pStyle w:val="Footer"/>
          <w:jc w:val="center"/>
        </w:pPr>
        <w:r>
          <w:fldChar w:fldCharType="begin"/>
        </w:r>
        <w:r>
          <w:instrText>PAGE   \* MERGEFORMAT</w:instrText>
        </w:r>
        <w:r>
          <w:fldChar w:fldCharType="separate"/>
        </w:r>
        <w:r>
          <w:rPr>
            <w:lang w:val="en-GB"/>
          </w:rPr>
          <w:t>2</w:t>
        </w:r>
        <w:r>
          <w:fldChar w:fldCharType="end"/>
        </w:r>
      </w:p>
    </w:sdtContent>
  </w:sdt>
  <w:p w14:paraId="1C3482C1" w14:textId="77777777" w:rsidR="00023C7D" w:rsidRDefault="00023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38F6BE" w14:textId="77777777" w:rsidR="00535CCE" w:rsidRDefault="00535CCE" w:rsidP="00023C7D">
      <w:pPr>
        <w:spacing w:line="240" w:lineRule="auto"/>
      </w:pPr>
      <w:r>
        <w:separator/>
      </w:r>
    </w:p>
  </w:footnote>
  <w:footnote w:type="continuationSeparator" w:id="0">
    <w:p w14:paraId="000DA9FE" w14:textId="77777777" w:rsidR="00535CCE" w:rsidRDefault="00535CCE" w:rsidP="00023C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11D6C"/>
    <w:multiLevelType w:val="multilevel"/>
    <w:tmpl w:val="C902F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992F09"/>
    <w:multiLevelType w:val="multilevel"/>
    <w:tmpl w:val="49362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113676D"/>
    <w:multiLevelType w:val="multilevel"/>
    <w:tmpl w:val="0B2AB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CC26D3"/>
    <w:multiLevelType w:val="multilevel"/>
    <w:tmpl w:val="646258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0351906">
    <w:abstractNumId w:val="0"/>
  </w:num>
  <w:num w:numId="2" w16cid:durableId="1320843126">
    <w:abstractNumId w:val="3"/>
  </w:num>
  <w:num w:numId="3" w16cid:durableId="1713844582">
    <w:abstractNumId w:val="2"/>
  </w:num>
  <w:num w:numId="4" w16cid:durableId="610017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3AB"/>
    <w:rsid w:val="00023C7D"/>
    <w:rsid w:val="003503AB"/>
    <w:rsid w:val="00535CCE"/>
    <w:rsid w:val="007A244F"/>
    <w:rsid w:val="007F4C76"/>
    <w:rsid w:val="008545F8"/>
    <w:rsid w:val="00CD09D1"/>
    <w:rsid w:val="00ED2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187E"/>
  <w15:docId w15:val="{AD5340E2-0B28-47E3-86B1-F66329905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23C7D"/>
    <w:pPr>
      <w:tabs>
        <w:tab w:val="center" w:pos="4513"/>
        <w:tab w:val="right" w:pos="9026"/>
      </w:tabs>
      <w:spacing w:line="240" w:lineRule="auto"/>
    </w:pPr>
  </w:style>
  <w:style w:type="character" w:customStyle="1" w:styleId="HeaderChar">
    <w:name w:val="Header Char"/>
    <w:basedOn w:val="DefaultParagraphFont"/>
    <w:link w:val="Header"/>
    <w:uiPriority w:val="99"/>
    <w:rsid w:val="00023C7D"/>
  </w:style>
  <w:style w:type="paragraph" w:styleId="Footer">
    <w:name w:val="footer"/>
    <w:basedOn w:val="Normal"/>
    <w:link w:val="FooterChar"/>
    <w:uiPriority w:val="99"/>
    <w:unhideWhenUsed/>
    <w:rsid w:val="00023C7D"/>
    <w:pPr>
      <w:tabs>
        <w:tab w:val="center" w:pos="4513"/>
        <w:tab w:val="right" w:pos="9026"/>
      </w:tabs>
      <w:spacing w:line="240" w:lineRule="auto"/>
    </w:pPr>
  </w:style>
  <w:style w:type="character" w:customStyle="1" w:styleId="FooterChar">
    <w:name w:val="Footer Char"/>
    <w:basedOn w:val="DefaultParagraphFont"/>
    <w:link w:val="Footer"/>
    <w:uiPriority w:val="99"/>
    <w:rsid w:val="00023C7D"/>
  </w:style>
  <w:style w:type="character" w:styleId="Hyperlink">
    <w:name w:val="Hyperlink"/>
    <w:basedOn w:val="DefaultParagraphFont"/>
    <w:uiPriority w:val="99"/>
    <w:unhideWhenUsed/>
    <w:rsid w:val="00CD09D1"/>
    <w:rPr>
      <w:color w:val="0000FF" w:themeColor="hyperlink"/>
      <w:u w:val="single"/>
    </w:rPr>
  </w:style>
  <w:style w:type="character" w:styleId="UnresolvedMention">
    <w:name w:val="Unresolved Mention"/>
    <w:basedOn w:val="DefaultParagraphFont"/>
    <w:uiPriority w:val="99"/>
    <w:semiHidden/>
    <w:unhideWhenUsed/>
    <w:rsid w:val="00CD09D1"/>
    <w:rPr>
      <w:color w:val="605E5C"/>
      <w:shd w:val="clear" w:color="auto" w:fill="E1DFDD"/>
    </w:rPr>
  </w:style>
  <w:style w:type="paragraph" w:styleId="NoSpacing">
    <w:name w:val="No Spacing"/>
    <w:link w:val="NoSpacingChar"/>
    <w:uiPriority w:val="1"/>
    <w:qFormat/>
    <w:rsid w:val="00CD09D1"/>
    <w:pPr>
      <w:spacing w:line="240" w:lineRule="auto"/>
    </w:pPr>
    <w:rPr>
      <w:rFonts w:asciiTheme="minorHAnsi" w:eastAsiaTheme="minorEastAsia" w:hAnsiTheme="minorHAnsi" w:cstheme="minorBidi"/>
      <w:lang w:val="en-GB"/>
    </w:rPr>
  </w:style>
  <w:style w:type="character" w:customStyle="1" w:styleId="NoSpacingChar">
    <w:name w:val="No Spacing Char"/>
    <w:basedOn w:val="DefaultParagraphFont"/>
    <w:link w:val="NoSpacing"/>
    <w:uiPriority w:val="1"/>
    <w:rsid w:val="00CD09D1"/>
    <w:rPr>
      <w:rFonts w:asciiTheme="minorHAnsi" w:eastAsiaTheme="minorEastAsia" w:hAnsiTheme="minorHAnsi" w:cstheme="minorBidi"/>
      <w:lang w:val="en-GB"/>
    </w:rPr>
  </w:style>
  <w:style w:type="character" w:customStyle="1" w:styleId="IntenseQuoteChar">
    <w:name w:val="Intense Quote Char"/>
    <w:basedOn w:val="DefaultParagraphFont"/>
    <w:link w:val="IntenseQuote"/>
    <w:uiPriority w:val="30"/>
    <w:rsid w:val="00CD09D1"/>
    <w:rPr>
      <w:i/>
      <w:iCs/>
      <w:color w:val="365F91" w:themeColor="accent1" w:themeShade="BF"/>
    </w:rPr>
  </w:style>
  <w:style w:type="paragraph" w:styleId="IntenseQuote">
    <w:name w:val="Intense Quote"/>
    <w:basedOn w:val="Normal"/>
    <w:next w:val="Normal"/>
    <w:link w:val="IntenseQuoteChar"/>
    <w:uiPriority w:val="30"/>
    <w:qFormat/>
    <w:rsid w:val="00CD09D1"/>
    <w:pPr>
      <w:pBdr>
        <w:top w:val="single" w:sz="4" w:space="10" w:color="365F91" w:themeColor="accent1" w:themeShade="BF"/>
        <w:bottom w:val="single" w:sz="4" w:space="10" w:color="365F91" w:themeColor="accent1" w:themeShade="BF"/>
      </w:pBdr>
      <w:spacing w:before="360" w:after="360" w:line="279" w:lineRule="auto"/>
      <w:ind w:left="864" w:right="864"/>
      <w:jc w:val="center"/>
    </w:pPr>
    <w:rPr>
      <w:i/>
      <w:iCs/>
      <w:color w:val="365F91" w:themeColor="accent1" w:themeShade="BF"/>
    </w:rPr>
  </w:style>
  <w:style w:type="character" w:customStyle="1" w:styleId="IntenseQuoteChar1">
    <w:name w:val="Intense Quote Char1"/>
    <w:basedOn w:val="DefaultParagraphFont"/>
    <w:uiPriority w:val="30"/>
    <w:rsid w:val="00CD09D1"/>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stituteofhospitality.org/wp-content/uploads/2024/04/Cost_of_Living_April_2024.pdf" TargetMode="External"/><Relationship Id="rId18" Type="http://schemas.openxmlformats.org/officeDocument/2006/relationships/hyperlink" Target="https://www.pwc.co.uk/industries/hospitality-leisure/insights/uk-hotels-forecast.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deloitte.com/uk/en/Industries/consumer/research/european-hotel-industry-and-investment-survey-2024.html" TargetMode="External"/><Relationship Id="rId17" Type="http://schemas.openxmlformats.org/officeDocument/2006/relationships/hyperlink" Target="https://doi.org/10.1080/13683500.2021.1883556" TargetMode="External"/><Relationship Id="rId2" Type="http://schemas.openxmlformats.org/officeDocument/2006/relationships/styles" Target="styles.xml"/><Relationship Id="rId16" Type="http://schemas.openxmlformats.org/officeDocument/2006/relationships/hyperlink" Target="https://doi.org/10.4324/9781003292616" TargetMode="External"/><Relationship Id="rId20" Type="http://schemas.openxmlformats.org/officeDocument/2006/relationships/hyperlink" Target="https://doi.org/10.4324/97813512638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gastrategy.com/new-industry-report-reveals-hospitality-trends-for-2023/" TargetMode="External"/><Relationship Id="rId5" Type="http://schemas.openxmlformats.org/officeDocument/2006/relationships/footnotes" Target="footnotes.xml"/><Relationship Id="rId15" Type="http://schemas.openxmlformats.org/officeDocument/2006/relationships/hyperlink" Target="https://doi.org/10.1007/978-981-97-1891-7_6" TargetMode="External"/><Relationship Id="rId23" Type="http://schemas.openxmlformats.org/officeDocument/2006/relationships/theme" Target="theme/theme1.xml"/><Relationship Id="rId10" Type="http://schemas.openxmlformats.org/officeDocument/2006/relationships/hyperlink" Target="https://doi.org/10.1057/palgrave.rlp.5090008" TargetMode="External"/><Relationship Id="rId19" Type="http://schemas.openxmlformats.org/officeDocument/2006/relationships/hyperlink" Target="https://doi.org/10.1007/978-3-031-31682-1_1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nightfrank.com/publications/uk-hotels-trading-performance-review-2023-10821.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 Evciuc</dc:creator>
  <cp:lastModifiedBy>Marin Evciuc</cp:lastModifiedBy>
  <cp:revision>2</cp:revision>
  <dcterms:created xsi:type="dcterms:W3CDTF">2024-11-03T14:56:00Z</dcterms:created>
  <dcterms:modified xsi:type="dcterms:W3CDTF">2024-11-03T14:56:00Z</dcterms:modified>
</cp:coreProperties>
</file>