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93CF56" w14:textId="77777777" w:rsidR="00FF668D" w:rsidRPr="009B3346" w:rsidRDefault="00FF668D" w:rsidP="00FF668D">
      <w:pPr>
        <w:jc w:val="center"/>
        <w:rPr>
          <w:sz w:val="32"/>
          <w:szCs w:val="28"/>
        </w:rPr>
      </w:pPr>
      <w:r w:rsidRPr="009B3346">
        <w:rPr>
          <w:noProof/>
          <w:lang w:val="en-US"/>
        </w:rPr>
        <w:drawing>
          <wp:inline distT="0" distB="0" distL="0" distR="0" wp14:anchorId="00F5F60E" wp14:editId="76ED1BF3">
            <wp:extent cx="1847850" cy="100012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1847850" cy="1000125"/>
                    </a:xfrm>
                    <a:prstGeom prst="rect">
                      <a:avLst/>
                    </a:prstGeom>
                  </pic:spPr>
                </pic:pic>
              </a:graphicData>
            </a:graphic>
          </wp:inline>
        </w:drawing>
      </w:r>
    </w:p>
    <w:p w14:paraId="1B85ED16" w14:textId="77777777" w:rsidR="00FF668D" w:rsidRPr="009B3346" w:rsidRDefault="00FF668D" w:rsidP="00FF668D">
      <w:pPr>
        <w:rPr>
          <w:sz w:val="32"/>
          <w:szCs w:val="28"/>
        </w:rPr>
      </w:pPr>
    </w:p>
    <w:p w14:paraId="7BE52C78" w14:textId="77777777" w:rsidR="00FF668D" w:rsidRPr="009B3346" w:rsidRDefault="00FF668D" w:rsidP="00FF668D">
      <w:pPr>
        <w:jc w:val="center"/>
        <w:rPr>
          <w:sz w:val="32"/>
          <w:szCs w:val="28"/>
        </w:rPr>
      </w:pPr>
      <w:r w:rsidRPr="009B3346">
        <w:rPr>
          <w:sz w:val="32"/>
          <w:szCs w:val="28"/>
        </w:rPr>
        <w:t>LCMB7024</w:t>
      </w:r>
    </w:p>
    <w:p w14:paraId="21E802BD" w14:textId="77777777" w:rsidR="00FF668D" w:rsidRPr="009B3346" w:rsidRDefault="00FF668D" w:rsidP="00FF668D">
      <w:pPr>
        <w:jc w:val="center"/>
        <w:rPr>
          <w:sz w:val="32"/>
          <w:szCs w:val="28"/>
        </w:rPr>
      </w:pPr>
      <w:r w:rsidRPr="009B3346">
        <w:rPr>
          <w:sz w:val="32"/>
          <w:szCs w:val="28"/>
        </w:rPr>
        <w:t xml:space="preserve">Marketing Management </w:t>
      </w:r>
    </w:p>
    <w:p w14:paraId="5CBDCBF9" w14:textId="77777777" w:rsidR="00FF668D" w:rsidRPr="009B3346" w:rsidRDefault="00FF668D" w:rsidP="00FF668D">
      <w:pPr>
        <w:rPr>
          <w:sz w:val="32"/>
          <w:szCs w:val="28"/>
        </w:rPr>
      </w:pPr>
    </w:p>
    <w:p w14:paraId="7846FBF3" w14:textId="77777777" w:rsidR="00FF668D" w:rsidRPr="009B3346" w:rsidRDefault="00FF668D" w:rsidP="00FF668D">
      <w:pPr>
        <w:jc w:val="center"/>
        <w:rPr>
          <w:sz w:val="28"/>
          <w:szCs w:val="28"/>
        </w:rPr>
      </w:pPr>
      <w:r w:rsidRPr="009B3346">
        <w:rPr>
          <w:sz w:val="28"/>
          <w:szCs w:val="28"/>
        </w:rPr>
        <w:t>Assessment Component 1</w:t>
      </w:r>
    </w:p>
    <w:p w14:paraId="563C9A14" w14:textId="77777777" w:rsidR="00FF668D" w:rsidRPr="009B3346" w:rsidRDefault="00FF668D" w:rsidP="00FF668D">
      <w:pPr>
        <w:jc w:val="center"/>
        <w:rPr>
          <w:sz w:val="28"/>
          <w:szCs w:val="28"/>
        </w:rPr>
      </w:pPr>
    </w:p>
    <w:p w14:paraId="6DEFD465" w14:textId="77777777" w:rsidR="00FF668D" w:rsidRPr="009B3346" w:rsidRDefault="00FF668D" w:rsidP="00FF668D">
      <w:pPr>
        <w:jc w:val="center"/>
        <w:rPr>
          <w:sz w:val="28"/>
          <w:szCs w:val="28"/>
        </w:rPr>
      </w:pPr>
      <w:r w:rsidRPr="009B3346">
        <w:rPr>
          <w:sz w:val="28"/>
          <w:szCs w:val="28"/>
        </w:rPr>
        <w:t>Marketing Environment Analysis</w:t>
      </w:r>
    </w:p>
    <w:p w14:paraId="24B40C72" w14:textId="77777777" w:rsidR="00FF668D" w:rsidRPr="009B3346" w:rsidRDefault="00FF668D" w:rsidP="00FF668D">
      <w:pPr>
        <w:jc w:val="center"/>
        <w:rPr>
          <w:sz w:val="32"/>
          <w:szCs w:val="28"/>
        </w:rPr>
      </w:pPr>
    </w:p>
    <w:p w14:paraId="2A4E3EAB" w14:textId="28FB4362" w:rsidR="00FF668D" w:rsidRPr="009B3346" w:rsidRDefault="00FF668D" w:rsidP="00FF668D">
      <w:pPr>
        <w:rPr>
          <w:sz w:val="28"/>
          <w:szCs w:val="28"/>
        </w:rPr>
      </w:pPr>
      <w:r w:rsidRPr="009B3346">
        <w:rPr>
          <w:sz w:val="28"/>
          <w:szCs w:val="28"/>
        </w:rPr>
        <w:t xml:space="preserve">Report Title: </w:t>
      </w:r>
      <w:r w:rsidR="000734F1" w:rsidRPr="009B3346">
        <w:rPr>
          <w:sz w:val="28"/>
          <w:szCs w:val="28"/>
        </w:rPr>
        <w:t>Marketing Environmental Analysis for Pioneers</w:t>
      </w:r>
      <w:r w:rsidR="00BD6BD6">
        <w:rPr>
          <w:sz w:val="28"/>
          <w:szCs w:val="28"/>
        </w:rPr>
        <w:t xml:space="preserve"> (</w:t>
      </w:r>
      <w:r w:rsidR="00BD6BD6" w:rsidRPr="009B3346">
        <w:rPr>
          <w:sz w:val="28"/>
          <w:szCs w:val="28"/>
        </w:rPr>
        <w:t>Monzo</w:t>
      </w:r>
      <w:r w:rsidR="00BD6BD6">
        <w:rPr>
          <w:sz w:val="28"/>
          <w:szCs w:val="28"/>
        </w:rPr>
        <w:t>)</w:t>
      </w:r>
      <w:r w:rsidR="000734F1" w:rsidRPr="009B3346">
        <w:rPr>
          <w:sz w:val="28"/>
          <w:szCs w:val="28"/>
        </w:rPr>
        <w:t xml:space="preserve"> and Followers</w:t>
      </w:r>
      <w:r w:rsidR="00BD6BD6">
        <w:rPr>
          <w:sz w:val="28"/>
          <w:szCs w:val="28"/>
        </w:rPr>
        <w:t xml:space="preserve"> (</w:t>
      </w:r>
      <w:r w:rsidR="00BD6BD6" w:rsidRPr="009B3346">
        <w:rPr>
          <w:sz w:val="28"/>
          <w:szCs w:val="28"/>
        </w:rPr>
        <w:t>Chase UK</w:t>
      </w:r>
      <w:r w:rsidR="00BD6BD6">
        <w:rPr>
          <w:sz w:val="28"/>
          <w:szCs w:val="28"/>
        </w:rPr>
        <w:t xml:space="preserve">) </w:t>
      </w:r>
      <w:r w:rsidR="000734F1" w:rsidRPr="009B3346">
        <w:rPr>
          <w:sz w:val="28"/>
          <w:szCs w:val="28"/>
        </w:rPr>
        <w:t>in Digital Banking (Fintech)</w:t>
      </w:r>
    </w:p>
    <w:p w14:paraId="16C6E404" w14:textId="77777777" w:rsidR="00FF668D" w:rsidRPr="009B3346" w:rsidRDefault="00FF668D" w:rsidP="00FF668D">
      <w:pPr>
        <w:spacing w:line="259" w:lineRule="auto"/>
        <w:jc w:val="left"/>
        <w:rPr>
          <w:sz w:val="32"/>
          <w:szCs w:val="28"/>
        </w:rPr>
      </w:pPr>
    </w:p>
    <w:p w14:paraId="67262247" w14:textId="77777777" w:rsidR="00FF668D" w:rsidRPr="009B3346" w:rsidRDefault="00FF668D" w:rsidP="00FF668D">
      <w:pPr>
        <w:spacing w:line="259" w:lineRule="auto"/>
        <w:jc w:val="left"/>
        <w:rPr>
          <w:sz w:val="32"/>
          <w:szCs w:val="28"/>
        </w:rPr>
      </w:pPr>
    </w:p>
    <w:p w14:paraId="3CFDD9CE" w14:textId="77777777" w:rsidR="00FF668D" w:rsidRPr="009B3346" w:rsidRDefault="00FF668D" w:rsidP="00FF668D">
      <w:pPr>
        <w:rPr>
          <w:b/>
        </w:rPr>
      </w:pPr>
      <w:r w:rsidRPr="009B3346">
        <w:rPr>
          <w:b/>
        </w:rPr>
        <w:t>Submitted by-</w:t>
      </w:r>
    </w:p>
    <w:p w14:paraId="71998FC5" w14:textId="466331E9" w:rsidR="00FF668D" w:rsidRPr="009B3346" w:rsidRDefault="00FF668D" w:rsidP="00FF668D">
      <w:r w:rsidRPr="009B3346">
        <w:t xml:space="preserve">Student Name- </w:t>
      </w:r>
      <w:r w:rsidR="00342E55" w:rsidRPr="009B3346">
        <w:t>Ashraful Hoque</w:t>
      </w:r>
    </w:p>
    <w:p w14:paraId="2B2D73E6" w14:textId="55C0AA32" w:rsidR="00FF668D" w:rsidRPr="009B3346" w:rsidRDefault="00FF668D" w:rsidP="00FF668D">
      <w:r w:rsidRPr="009B3346">
        <w:t>Student ID-</w:t>
      </w:r>
      <w:r w:rsidR="000B397A">
        <w:t>2522430</w:t>
      </w:r>
    </w:p>
    <w:p w14:paraId="09C417CC" w14:textId="77777777" w:rsidR="00FF668D" w:rsidRPr="009B3346" w:rsidRDefault="00FF668D" w:rsidP="00FF668D"/>
    <w:p w14:paraId="7A64829F" w14:textId="42D1AD66" w:rsidR="00554FED" w:rsidRPr="009B3346" w:rsidRDefault="00FF668D" w:rsidP="005B7631">
      <w:pPr>
        <w:jc w:val="center"/>
      </w:pPr>
      <w:r w:rsidRPr="009B3346">
        <w:t>Submission deadline: 27th March 2026 by 2PM</w:t>
      </w:r>
    </w:p>
    <w:p w14:paraId="2A64248F" w14:textId="16524CED" w:rsidR="00554FED" w:rsidRPr="009B3346" w:rsidRDefault="00554FED" w:rsidP="00623A22"/>
    <w:sdt>
      <w:sdtPr>
        <w:rPr>
          <w:rFonts w:ascii="Times New Roman" w:eastAsia="Aptos" w:hAnsi="Times New Roman" w:cs="Times New Roman"/>
          <w:color w:val="auto"/>
          <w:kern w:val="2"/>
          <w:sz w:val="24"/>
          <w:szCs w:val="22"/>
          <w:lang w:val="en-GB"/>
        </w:rPr>
        <w:id w:val="-554080733"/>
        <w:docPartObj>
          <w:docPartGallery w:val="Table of Contents"/>
          <w:docPartUnique/>
        </w:docPartObj>
      </w:sdtPr>
      <w:sdtEndPr>
        <w:rPr>
          <w:b/>
          <w:bCs/>
          <w:noProof/>
        </w:rPr>
      </w:sdtEndPr>
      <w:sdtContent>
        <w:p w14:paraId="264AAAF7" w14:textId="097F768C" w:rsidR="00AF04C1" w:rsidRPr="009B3346" w:rsidRDefault="00AF04C1" w:rsidP="00623A22">
          <w:pPr>
            <w:pStyle w:val="TOCHeading"/>
            <w:jc w:val="center"/>
            <w:rPr>
              <w:rFonts w:ascii="Times New Roman" w:hAnsi="Times New Roman" w:cs="Times New Roman"/>
            </w:rPr>
          </w:pPr>
          <w:r w:rsidRPr="009B3346">
            <w:rPr>
              <w:rFonts w:ascii="Times New Roman" w:hAnsi="Times New Roman" w:cs="Times New Roman"/>
            </w:rPr>
            <w:t>Table of Contents</w:t>
          </w:r>
        </w:p>
        <w:p w14:paraId="759D6943" w14:textId="7C4AB521" w:rsidR="00AF04C1" w:rsidRPr="009B3346" w:rsidRDefault="00AF04C1">
          <w:pPr>
            <w:pStyle w:val="TOC1"/>
            <w:tabs>
              <w:tab w:val="right" w:leader="dot" w:pos="9350"/>
            </w:tabs>
            <w:rPr>
              <w:noProof/>
            </w:rPr>
          </w:pPr>
          <w:r w:rsidRPr="009B3346">
            <w:fldChar w:fldCharType="begin"/>
          </w:r>
          <w:r w:rsidRPr="009B3346">
            <w:instrText xml:space="preserve"> TOC \o "1-3" \h \z \u </w:instrText>
          </w:r>
          <w:r w:rsidRPr="009B3346">
            <w:fldChar w:fldCharType="separate"/>
          </w:r>
          <w:hyperlink w:anchor="_Toc225456341" w:history="1">
            <w:r w:rsidRPr="009B3346">
              <w:rPr>
                <w:rStyle w:val="Hyperlink"/>
                <w:noProof/>
              </w:rPr>
              <w:t>Introduction</w:t>
            </w:r>
            <w:r w:rsidRPr="009B3346">
              <w:rPr>
                <w:noProof/>
                <w:webHidden/>
              </w:rPr>
              <w:tab/>
            </w:r>
            <w:r w:rsidRPr="009B3346">
              <w:rPr>
                <w:noProof/>
                <w:webHidden/>
              </w:rPr>
              <w:fldChar w:fldCharType="begin"/>
            </w:r>
            <w:r w:rsidRPr="009B3346">
              <w:rPr>
                <w:noProof/>
                <w:webHidden/>
              </w:rPr>
              <w:instrText xml:space="preserve"> PAGEREF _Toc225456341 \h </w:instrText>
            </w:r>
            <w:r w:rsidRPr="009B3346">
              <w:rPr>
                <w:noProof/>
                <w:webHidden/>
              </w:rPr>
            </w:r>
            <w:r w:rsidRPr="009B3346">
              <w:rPr>
                <w:noProof/>
                <w:webHidden/>
              </w:rPr>
              <w:fldChar w:fldCharType="separate"/>
            </w:r>
            <w:r w:rsidRPr="009B3346">
              <w:rPr>
                <w:noProof/>
                <w:webHidden/>
              </w:rPr>
              <w:t>3</w:t>
            </w:r>
            <w:r w:rsidRPr="009B3346">
              <w:rPr>
                <w:noProof/>
                <w:webHidden/>
              </w:rPr>
              <w:fldChar w:fldCharType="end"/>
            </w:r>
          </w:hyperlink>
        </w:p>
        <w:p w14:paraId="32DC1565" w14:textId="135778D8" w:rsidR="00AF04C1" w:rsidRPr="009B3346" w:rsidRDefault="00AF04C1">
          <w:pPr>
            <w:pStyle w:val="TOC1"/>
            <w:tabs>
              <w:tab w:val="right" w:leader="dot" w:pos="9350"/>
            </w:tabs>
            <w:rPr>
              <w:noProof/>
            </w:rPr>
          </w:pPr>
          <w:hyperlink w:anchor="_Toc225456342" w:history="1">
            <w:r w:rsidRPr="009B3346">
              <w:rPr>
                <w:rStyle w:val="Hyperlink"/>
                <w:noProof/>
              </w:rPr>
              <w:t>Task 1: Critical Evaluation of the Macro Marketing Environment</w:t>
            </w:r>
            <w:r w:rsidRPr="009B3346">
              <w:rPr>
                <w:noProof/>
                <w:webHidden/>
              </w:rPr>
              <w:tab/>
            </w:r>
            <w:r w:rsidRPr="009B3346">
              <w:rPr>
                <w:noProof/>
                <w:webHidden/>
              </w:rPr>
              <w:fldChar w:fldCharType="begin"/>
            </w:r>
            <w:r w:rsidRPr="009B3346">
              <w:rPr>
                <w:noProof/>
                <w:webHidden/>
              </w:rPr>
              <w:instrText xml:space="preserve"> PAGEREF _Toc225456342 \h </w:instrText>
            </w:r>
            <w:r w:rsidRPr="009B3346">
              <w:rPr>
                <w:noProof/>
                <w:webHidden/>
              </w:rPr>
            </w:r>
            <w:r w:rsidRPr="009B3346">
              <w:rPr>
                <w:noProof/>
                <w:webHidden/>
              </w:rPr>
              <w:fldChar w:fldCharType="separate"/>
            </w:r>
            <w:r w:rsidRPr="009B3346">
              <w:rPr>
                <w:noProof/>
                <w:webHidden/>
              </w:rPr>
              <w:t>4</w:t>
            </w:r>
            <w:r w:rsidRPr="009B3346">
              <w:rPr>
                <w:noProof/>
                <w:webHidden/>
              </w:rPr>
              <w:fldChar w:fldCharType="end"/>
            </w:r>
          </w:hyperlink>
        </w:p>
        <w:p w14:paraId="402D8674" w14:textId="15F55B2C" w:rsidR="00AF04C1" w:rsidRPr="009B3346" w:rsidRDefault="00AF04C1">
          <w:pPr>
            <w:pStyle w:val="TOC2"/>
            <w:tabs>
              <w:tab w:val="right" w:leader="dot" w:pos="9350"/>
            </w:tabs>
            <w:rPr>
              <w:noProof/>
            </w:rPr>
          </w:pPr>
          <w:hyperlink w:anchor="_Toc225456343" w:history="1">
            <w:r w:rsidRPr="009B3346">
              <w:rPr>
                <w:rStyle w:val="Hyperlink"/>
                <w:noProof/>
              </w:rPr>
              <w:t>1.1 The Macro Marketing Environment.</w:t>
            </w:r>
            <w:r w:rsidRPr="009B3346">
              <w:rPr>
                <w:noProof/>
                <w:webHidden/>
              </w:rPr>
              <w:tab/>
            </w:r>
            <w:r w:rsidRPr="009B3346">
              <w:rPr>
                <w:noProof/>
                <w:webHidden/>
              </w:rPr>
              <w:fldChar w:fldCharType="begin"/>
            </w:r>
            <w:r w:rsidRPr="009B3346">
              <w:rPr>
                <w:noProof/>
                <w:webHidden/>
              </w:rPr>
              <w:instrText xml:space="preserve"> PAGEREF _Toc225456343 \h </w:instrText>
            </w:r>
            <w:r w:rsidRPr="009B3346">
              <w:rPr>
                <w:noProof/>
                <w:webHidden/>
              </w:rPr>
            </w:r>
            <w:r w:rsidRPr="009B3346">
              <w:rPr>
                <w:noProof/>
                <w:webHidden/>
              </w:rPr>
              <w:fldChar w:fldCharType="separate"/>
            </w:r>
            <w:r w:rsidRPr="009B3346">
              <w:rPr>
                <w:noProof/>
                <w:webHidden/>
              </w:rPr>
              <w:t>4</w:t>
            </w:r>
            <w:r w:rsidRPr="009B3346">
              <w:rPr>
                <w:noProof/>
                <w:webHidden/>
              </w:rPr>
              <w:fldChar w:fldCharType="end"/>
            </w:r>
          </w:hyperlink>
        </w:p>
        <w:p w14:paraId="2D8BE3E9" w14:textId="28698AEB" w:rsidR="00AF04C1" w:rsidRPr="009B3346" w:rsidRDefault="00AF04C1">
          <w:pPr>
            <w:pStyle w:val="TOC2"/>
            <w:tabs>
              <w:tab w:val="right" w:leader="dot" w:pos="9350"/>
            </w:tabs>
            <w:rPr>
              <w:noProof/>
            </w:rPr>
          </w:pPr>
          <w:hyperlink w:anchor="_Toc225456344" w:history="1">
            <w:r w:rsidRPr="009B3346">
              <w:rPr>
                <w:rStyle w:val="Hyperlink"/>
                <w:noProof/>
              </w:rPr>
              <w:t>1.2 Macro-Environmental Factor 1: Technological Environment.</w:t>
            </w:r>
            <w:r w:rsidRPr="009B3346">
              <w:rPr>
                <w:noProof/>
                <w:webHidden/>
              </w:rPr>
              <w:tab/>
            </w:r>
            <w:r w:rsidRPr="009B3346">
              <w:rPr>
                <w:noProof/>
                <w:webHidden/>
              </w:rPr>
              <w:fldChar w:fldCharType="begin"/>
            </w:r>
            <w:r w:rsidRPr="009B3346">
              <w:rPr>
                <w:noProof/>
                <w:webHidden/>
              </w:rPr>
              <w:instrText xml:space="preserve"> PAGEREF _Toc225456344 \h </w:instrText>
            </w:r>
            <w:r w:rsidRPr="009B3346">
              <w:rPr>
                <w:noProof/>
                <w:webHidden/>
              </w:rPr>
            </w:r>
            <w:r w:rsidRPr="009B3346">
              <w:rPr>
                <w:noProof/>
                <w:webHidden/>
              </w:rPr>
              <w:fldChar w:fldCharType="separate"/>
            </w:r>
            <w:r w:rsidRPr="009B3346">
              <w:rPr>
                <w:noProof/>
                <w:webHidden/>
              </w:rPr>
              <w:t>4</w:t>
            </w:r>
            <w:r w:rsidRPr="009B3346">
              <w:rPr>
                <w:noProof/>
                <w:webHidden/>
              </w:rPr>
              <w:fldChar w:fldCharType="end"/>
            </w:r>
          </w:hyperlink>
        </w:p>
        <w:p w14:paraId="6AB33E54" w14:textId="28670ABC" w:rsidR="00AF04C1" w:rsidRPr="009B3346" w:rsidRDefault="00AF04C1">
          <w:pPr>
            <w:pStyle w:val="TOC2"/>
            <w:tabs>
              <w:tab w:val="right" w:leader="dot" w:pos="9350"/>
            </w:tabs>
            <w:rPr>
              <w:noProof/>
            </w:rPr>
          </w:pPr>
          <w:hyperlink w:anchor="_Toc225456345" w:history="1">
            <w:r w:rsidRPr="009B3346">
              <w:rPr>
                <w:rStyle w:val="Hyperlink"/>
                <w:noProof/>
              </w:rPr>
              <w:t>1.3 Macro-Environmental Factor 2: Regulatory and Political Environment.</w:t>
            </w:r>
            <w:r w:rsidRPr="009B3346">
              <w:rPr>
                <w:noProof/>
                <w:webHidden/>
              </w:rPr>
              <w:tab/>
            </w:r>
            <w:r w:rsidRPr="009B3346">
              <w:rPr>
                <w:noProof/>
                <w:webHidden/>
              </w:rPr>
              <w:fldChar w:fldCharType="begin"/>
            </w:r>
            <w:r w:rsidRPr="009B3346">
              <w:rPr>
                <w:noProof/>
                <w:webHidden/>
              </w:rPr>
              <w:instrText xml:space="preserve"> PAGEREF _Toc225456345 \h </w:instrText>
            </w:r>
            <w:r w:rsidRPr="009B3346">
              <w:rPr>
                <w:noProof/>
                <w:webHidden/>
              </w:rPr>
            </w:r>
            <w:r w:rsidRPr="009B3346">
              <w:rPr>
                <w:noProof/>
                <w:webHidden/>
              </w:rPr>
              <w:fldChar w:fldCharType="separate"/>
            </w:r>
            <w:r w:rsidRPr="009B3346">
              <w:rPr>
                <w:noProof/>
                <w:webHidden/>
              </w:rPr>
              <w:t>6</w:t>
            </w:r>
            <w:r w:rsidRPr="009B3346">
              <w:rPr>
                <w:noProof/>
                <w:webHidden/>
              </w:rPr>
              <w:fldChar w:fldCharType="end"/>
            </w:r>
          </w:hyperlink>
        </w:p>
        <w:p w14:paraId="796B10CD" w14:textId="56185305" w:rsidR="00AF04C1" w:rsidRPr="009B3346" w:rsidRDefault="00AF04C1">
          <w:pPr>
            <w:pStyle w:val="TOC1"/>
            <w:tabs>
              <w:tab w:val="right" w:leader="dot" w:pos="9350"/>
            </w:tabs>
            <w:rPr>
              <w:noProof/>
            </w:rPr>
          </w:pPr>
          <w:hyperlink w:anchor="_Toc225456346" w:history="1">
            <w:r w:rsidRPr="009B3346">
              <w:rPr>
                <w:rStyle w:val="Hyperlink"/>
                <w:noProof/>
              </w:rPr>
              <w:t>Task 2: Strategic Responses - Comparative Assessment.</w:t>
            </w:r>
            <w:r w:rsidRPr="009B3346">
              <w:rPr>
                <w:noProof/>
                <w:webHidden/>
              </w:rPr>
              <w:tab/>
            </w:r>
            <w:r w:rsidRPr="009B3346">
              <w:rPr>
                <w:noProof/>
                <w:webHidden/>
              </w:rPr>
              <w:fldChar w:fldCharType="begin"/>
            </w:r>
            <w:r w:rsidRPr="009B3346">
              <w:rPr>
                <w:noProof/>
                <w:webHidden/>
              </w:rPr>
              <w:instrText xml:space="preserve"> PAGEREF _Toc225456346 \h </w:instrText>
            </w:r>
            <w:r w:rsidRPr="009B3346">
              <w:rPr>
                <w:noProof/>
                <w:webHidden/>
              </w:rPr>
            </w:r>
            <w:r w:rsidRPr="009B3346">
              <w:rPr>
                <w:noProof/>
                <w:webHidden/>
              </w:rPr>
              <w:fldChar w:fldCharType="separate"/>
            </w:r>
            <w:r w:rsidRPr="009B3346">
              <w:rPr>
                <w:noProof/>
                <w:webHidden/>
              </w:rPr>
              <w:t>8</w:t>
            </w:r>
            <w:r w:rsidRPr="009B3346">
              <w:rPr>
                <w:noProof/>
                <w:webHidden/>
              </w:rPr>
              <w:fldChar w:fldCharType="end"/>
            </w:r>
          </w:hyperlink>
        </w:p>
        <w:p w14:paraId="1B708515" w14:textId="13E4AF67" w:rsidR="00AF04C1" w:rsidRPr="009B3346" w:rsidRDefault="00AF04C1">
          <w:pPr>
            <w:pStyle w:val="TOC2"/>
            <w:tabs>
              <w:tab w:val="right" w:leader="dot" w:pos="9350"/>
            </w:tabs>
            <w:rPr>
              <w:noProof/>
            </w:rPr>
          </w:pPr>
          <w:hyperlink w:anchor="_Toc225456347" w:history="1">
            <w:r w:rsidRPr="009B3346">
              <w:rPr>
                <w:rStyle w:val="Hyperlink"/>
                <w:noProof/>
              </w:rPr>
              <w:t>2.1 Background of the Strategic Marketing Frameworks.</w:t>
            </w:r>
            <w:r w:rsidRPr="009B3346">
              <w:rPr>
                <w:noProof/>
                <w:webHidden/>
              </w:rPr>
              <w:tab/>
            </w:r>
            <w:r w:rsidRPr="009B3346">
              <w:rPr>
                <w:noProof/>
                <w:webHidden/>
              </w:rPr>
              <w:fldChar w:fldCharType="begin"/>
            </w:r>
            <w:r w:rsidRPr="009B3346">
              <w:rPr>
                <w:noProof/>
                <w:webHidden/>
              </w:rPr>
              <w:instrText xml:space="preserve"> PAGEREF _Toc225456347 \h </w:instrText>
            </w:r>
            <w:r w:rsidRPr="009B3346">
              <w:rPr>
                <w:noProof/>
                <w:webHidden/>
              </w:rPr>
            </w:r>
            <w:r w:rsidRPr="009B3346">
              <w:rPr>
                <w:noProof/>
                <w:webHidden/>
              </w:rPr>
              <w:fldChar w:fldCharType="separate"/>
            </w:r>
            <w:r w:rsidRPr="009B3346">
              <w:rPr>
                <w:noProof/>
                <w:webHidden/>
              </w:rPr>
              <w:t>8</w:t>
            </w:r>
            <w:r w:rsidRPr="009B3346">
              <w:rPr>
                <w:noProof/>
                <w:webHidden/>
              </w:rPr>
              <w:fldChar w:fldCharType="end"/>
            </w:r>
          </w:hyperlink>
        </w:p>
        <w:p w14:paraId="46AE2CCD" w14:textId="3D28382F" w:rsidR="00AF04C1" w:rsidRPr="009B3346" w:rsidRDefault="00AF04C1">
          <w:pPr>
            <w:pStyle w:val="TOC2"/>
            <w:tabs>
              <w:tab w:val="right" w:leader="dot" w:pos="9350"/>
            </w:tabs>
            <w:rPr>
              <w:noProof/>
            </w:rPr>
          </w:pPr>
          <w:hyperlink w:anchor="_Toc225456348" w:history="1">
            <w:r w:rsidRPr="009B3346">
              <w:rPr>
                <w:rStyle w:val="Hyperlink"/>
                <w:noProof/>
              </w:rPr>
              <w:t>2.2 Monzo's Strategic Response</w:t>
            </w:r>
            <w:r w:rsidRPr="009B3346">
              <w:rPr>
                <w:noProof/>
                <w:webHidden/>
              </w:rPr>
              <w:tab/>
            </w:r>
            <w:r w:rsidRPr="009B3346">
              <w:rPr>
                <w:noProof/>
                <w:webHidden/>
              </w:rPr>
              <w:fldChar w:fldCharType="begin"/>
            </w:r>
            <w:r w:rsidRPr="009B3346">
              <w:rPr>
                <w:noProof/>
                <w:webHidden/>
              </w:rPr>
              <w:instrText xml:space="preserve"> PAGEREF _Toc225456348 \h </w:instrText>
            </w:r>
            <w:r w:rsidRPr="009B3346">
              <w:rPr>
                <w:noProof/>
                <w:webHidden/>
              </w:rPr>
            </w:r>
            <w:r w:rsidRPr="009B3346">
              <w:rPr>
                <w:noProof/>
                <w:webHidden/>
              </w:rPr>
              <w:fldChar w:fldCharType="separate"/>
            </w:r>
            <w:r w:rsidRPr="009B3346">
              <w:rPr>
                <w:noProof/>
                <w:webHidden/>
              </w:rPr>
              <w:t>8</w:t>
            </w:r>
            <w:r w:rsidRPr="009B3346">
              <w:rPr>
                <w:noProof/>
                <w:webHidden/>
              </w:rPr>
              <w:fldChar w:fldCharType="end"/>
            </w:r>
          </w:hyperlink>
        </w:p>
        <w:p w14:paraId="22F99AD4" w14:textId="3EC0A565" w:rsidR="00AF04C1" w:rsidRPr="009B3346" w:rsidRDefault="00AF04C1">
          <w:pPr>
            <w:pStyle w:val="TOC2"/>
            <w:tabs>
              <w:tab w:val="right" w:leader="dot" w:pos="9350"/>
            </w:tabs>
            <w:rPr>
              <w:noProof/>
            </w:rPr>
          </w:pPr>
          <w:hyperlink w:anchor="_Toc225456349" w:history="1">
            <w:r w:rsidRPr="009B3346">
              <w:rPr>
                <w:rStyle w:val="Hyperlink"/>
                <w:noProof/>
              </w:rPr>
              <w:t>2.3 Strategic Response of Chase UK</w:t>
            </w:r>
            <w:r w:rsidRPr="009B3346">
              <w:rPr>
                <w:noProof/>
                <w:webHidden/>
              </w:rPr>
              <w:tab/>
            </w:r>
            <w:r w:rsidRPr="009B3346">
              <w:rPr>
                <w:noProof/>
                <w:webHidden/>
              </w:rPr>
              <w:fldChar w:fldCharType="begin"/>
            </w:r>
            <w:r w:rsidRPr="009B3346">
              <w:rPr>
                <w:noProof/>
                <w:webHidden/>
              </w:rPr>
              <w:instrText xml:space="preserve"> PAGEREF _Toc225456349 \h </w:instrText>
            </w:r>
            <w:r w:rsidRPr="009B3346">
              <w:rPr>
                <w:noProof/>
                <w:webHidden/>
              </w:rPr>
            </w:r>
            <w:r w:rsidRPr="009B3346">
              <w:rPr>
                <w:noProof/>
                <w:webHidden/>
              </w:rPr>
              <w:fldChar w:fldCharType="separate"/>
            </w:r>
            <w:r w:rsidRPr="009B3346">
              <w:rPr>
                <w:noProof/>
                <w:webHidden/>
              </w:rPr>
              <w:t>9</w:t>
            </w:r>
            <w:r w:rsidRPr="009B3346">
              <w:rPr>
                <w:noProof/>
                <w:webHidden/>
              </w:rPr>
              <w:fldChar w:fldCharType="end"/>
            </w:r>
          </w:hyperlink>
        </w:p>
        <w:p w14:paraId="5CB56F23" w14:textId="20274C5F" w:rsidR="00AF04C1" w:rsidRPr="009B3346" w:rsidRDefault="00AF04C1">
          <w:pPr>
            <w:pStyle w:val="TOC2"/>
            <w:tabs>
              <w:tab w:val="right" w:leader="dot" w:pos="9350"/>
            </w:tabs>
            <w:rPr>
              <w:noProof/>
            </w:rPr>
          </w:pPr>
          <w:hyperlink w:anchor="_Toc225456350" w:history="1">
            <w:r w:rsidRPr="009B3346">
              <w:rPr>
                <w:rStyle w:val="Hyperlink"/>
                <w:noProof/>
              </w:rPr>
              <w:t>2.4 Comparative Assessment of strategic responses</w:t>
            </w:r>
            <w:r w:rsidRPr="009B3346">
              <w:rPr>
                <w:noProof/>
                <w:webHidden/>
              </w:rPr>
              <w:tab/>
            </w:r>
            <w:r w:rsidRPr="009B3346">
              <w:rPr>
                <w:noProof/>
                <w:webHidden/>
              </w:rPr>
              <w:fldChar w:fldCharType="begin"/>
            </w:r>
            <w:r w:rsidRPr="009B3346">
              <w:rPr>
                <w:noProof/>
                <w:webHidden/>
              </w:rPr>
              <w:instrText xml:space="preserve"> PAGEREF _Toc225456350 \h </w:instrText>
            </w:r>
            <w:r w:rsidRPr="009B3346">
              <w:rPr>
                <w:noProof/>
                <w:webHidden/>
              </w:rPr>
            </w:r>
            <w:r w:rsidRPr="009B3346">
              <w:rPr>
                <w:noProof/>
                <w:webHidden/>
              </w:rPr>
              <w:fldChar w:fldCharType="separate"/>
            </w:r>
            <w:r w:rsidRPr="009B3346">
              <w:rPr>
                <w:noProof/>
                <w:webHidden/>
              </w:rPr>
              <w:t>11</w:t>
            </w:r>
            <w:r w:rsidRPr="009B3346">
              <w:rPr>
                <w:noProof/>
                <w:webHidden/>
              </w:rPr>
              <w:fldChar w:fldCharType="end"/>
            </w:r>
          </w:hyperlink>
        </w:p>
        <w:p w14:paraId="37756D6E" w14:textId="50D53D25" w:rsidR="00AF04C1" w:rsidRPr="009B3346" w:rsidRDefault="00AF04C1">
          <w:pPr>
            <w:pStyle w:val="TOC1"/>
            <w:tabs>
              <w:tab w:val="right" w:leader="dot" w:pos="9350"/>
            </w:tabs>
            <w:rPr>
              <w:noProof/>
            </w:rPr>
          </w:pPr>
          <w:hyperlink w:anchor="_Toc225456351" w:history="1">
            <w:r w:rsidRPr="009B3346">
              <w:rPr>
                <w:rStyle w:val="Hyperlink"/>
                <w:noProof/>
              </w:rPr>
              <w:t>Conclusion</w:t>
            </w:r>
            <w:r w:rsidRPr="009B3346">
              <w:rPr>
                <w:noProof/>
                <w:webHidden/>
              </w:rPr>
              <w:tab/>
            </w:r>
            <w:r w:rsidRPr="009B3346">
              <w:rPr>
                <w:noProof/>
                <w:webHidden/>
              </w:rPr>
              <w:fldChar w:fldCharType="begin"/>
            </w:r>
            <w:r w:rsidRPr="009B3346">
              <w:rPr>
                <w:noProof/>
                <w:webHidden/>
              </w:rPr>
              <w:instrText xml:space="preserve"> PAGEREF _Toc225456351 \h </w:instrText>
            </w:r>
            <w:r w:rsidRPr="009B3346">
              <w:rPr>
                <w:noProof/>
                <w:webHidden/>
              </w:rPr>
            </w:r>
            <w:r w:rsidRPr="009B3346">
              <w:rPr>
                <w:noProof/>
                <w:webHidden/>
              </w:rPr>
              <w:fldChar w:fldCharType="separate"/>
            </w:r>
            <w:r w:rsidRPr="009B3346">
              <w:rPr>
                <w:noProof/>
                <w:webHidden/>
              </w:rPr>
              <w:t>13</w:t>
            </w:r>
            <w:r w:rsidRPr="009B3346">
              <w:rPr>
                <w:noProof/>
                <w:webHidden/>
              </w:rPr>
              <w:fldChar w:fldCharType="end"/>
            </w:r>
          </w:hyperlink>
        </w:p>
        <w:p w14:paraId="2EF3D507" w14:textId="2000E99F" w:rsidR="00AF04C1" w:rsidRPr="009B3346" w:rsidRDefault="00AF04C1">
          <w:pPr>
            <w:pStyle w:val="TOC1"/>
            <w:tabs>
              <w:tab w:val="right" w:leader="dot" w:pos="9350"/>
            </w:tabs>
            <w:rPr>
              <w:noProof/>
            </w:rPr>
          </w:pPr>
          <w:hyperlink w:anchor="_Toc225456352" w:history="1">
            <w:r w:rsidRPr="009B3346">
              <w:rPr>
                <w:rStyle w:val="Hyperlink"/>
                <w:noProof/>
              </w:rPr>
              <w:t>References</w:t>
            </w:r>
            <w:r w:rsidRPr="009B3346">
              <w:rPr>
                <w:noProof/>
                <w:webHidden/>
              </w:rPr>
              <w:tab/>
            </w:r>
            <w:r w:rsidRPr="009B3346">
              <w:rPr>
                <w:noProof/>
                <w:webHidden/>
              </w:rPr>
              <w:fldChar w:fldCharType="begin"/>
            </w:r>
            <w:r w:rsidRPr="009B3346">
              <w:rPr>
                <w:noProof/>
                <w:webHidden/>
              </w:rPr>
              <w:instrText xml:space="preserve"> PAGEREF _Toc225456352 \h </w:instrText>
            </w:r>
            <w:r w:rsidRPr="009B3346">
              <w:rPr>
                <w:noProof/>
                <w:webHidden/>
              </w:rPr>
            </w:r>
            <w:r w:rsidRPr="009B3346">
              <w:rPr>
                <w:noProof/>
                <w:webHidden/>
              </w:rPr>
              <w:fldChar w:fldCharType="separate"/>
            </w:r>
            <w:r w:rsidRPr="009B3346">
              <w:rPr>
                <w:noProof/>
                <w:webHidden/>
              </w:rPr>
              <w:t>14</w:t>
            </w:r>
            <w:r w:rsidRPr="009B3346">
              <w:rPr>
                <w:noProof/>
                <w:webHidden/>
              </w:rPr>
              <w:fldChar w:fldCharType="end"/>
            </w:r>
          </w:hyperlink>
        </w:p>
        <w:p w14:paraId="198D8D4A" w14:textId="5E0F3C0C" w:rsidR="00AF04C1" w:rsidRPr="009B3346" w:rsidRDefault="00AF04C1">
          <w:r w:rsidRPr="009B3346">
            <w:rPr>
              <w:b/>
              <w:bCs/>
              <w:noProof/>
            </w:rPr>
            <w:fldChar w:fldCharType="end"/>
          </w:r>
        </w:p>
      </w:sdtContent>
    </w:sdt>
    <w:p w14:paraId="08089CE0" w14:textId="77777777" w:rsidR="00554FED" w:rsidRPr="009B3346" w:rsidRDefault="00554FED" w:rsidP="00AF04C1"/>
    <w:p w14:paraId="5768D1A4" w14:textId="77777777" w:rsidR="00554FED" w:rsidRPr="009B3346" w:rsidRDefault="00554FED">
      <w:pPr>
        <w:spacing w:line="259" w:lineRule="auto"/>
        <w:jc w:val="left"/>
      </w:pPr>
      <w:r w:rsidRPr="009B3346">
        <w:br w:type="page"/>
      </w:r>
    </w:p>
    <w:p w14:paraId="14CD4A3A" w14:textId="77777777" w:rsidR="00554FED" w:rsidRPr="009B3346" w:rsidRDefault="00554FED" w:rsidP="00554FED">
      <w:pPr>
        <w:pStyle w:val="Heading1"/>
        <w:rPr>
          <w:rFonts w:cs="Times New Roman"/>
        </w:rPr>
      </w:pPr>
      <w:bookmarkStart w:id="0" w:name="_Toc225456341"/>
      <w:r w:rsidRPr="009B3346">
        <w:rPr>
          <w:rFonts w:cs="Times New Roman"/>
        </w:rPr>
        <w:t>Introduction</w:t>
      </w:r>
      <w:bookmarkEnd w:id="0"/>
    </w:p>
    <w:p w14:paraId="22A55D8D" w14:textId="0BB37B03" w:rsidR="00554FED" w:rsidRDefault="00554FED" w:rsidP="00554FED">
      <w:r w:rsidRPr="009B3346">
        <w:t>The banking sector has been rapidly changing during the last ten years, and fintech primarily alter the consumer-financial experience. The report presents a critical analysis of the macro marketing environment of two major organisations that compete in the UK digital banking sector, benefitting by launching successful nonbanks to challenge conventional banking: Monzo as an early neo bank entering the market in 2015, and Chase UK, the digital bank of JPMorgan Chase that entered the UK market in 2021 as a follower with access to significant institutional resources. This report evaluates how macro-environmental forces, both external, have generated opportunities and threats to both organisations and how they have responded strategically to these environments in a bid to maintain their competitive positions and sustainability.</w:t>
      </w:r>
    </w:p>
    <w:bookmarkStart w:id="1" w:name="_Toc225456342"/>
    <w:p w14:paraId="307852FB" w14:textId="78C4F7D7" w:rsidR="008405E5" w:rsidRDefault="009C1929">
      <w:pPr>
        <w:spacing w:line="259" w:lineRule="auto"/>
        <w:jc w:val="left"/>
        <w:rPr>
          <w:rFonts w:eastAsia="Times New Roman"/>
          <w:sz w:val="32"/>
          <w:szCs w:val="40"/>
        </w:rPr>
      </w:pPr>
      <w:r>
        <w:rPr>
          <w:noProof/>
          <w:lang w:val="en-US"/>
        </w:rPr>
        <mc:AlternateContent>
          <mc:Choice Requires="wps">
            <w:drawing>
              <wp:anchor distT="0" distB="0" distL="114300" distR="114300" simplePos="0" relativeHeight="251660288" behindDoc="0" locked="0" layoutInCell="1" allowOverlap="1" wp14:anchorId="3764E61F" wp14:editId="016E93EF">
                <wp:simplePos x="0" y="0"/>
                <wp:positionH relativeFrom="margin">
                  <wp:align>right</wp:align>
                </wp:positionH>
                <wp:positionV relativeFrom="paragraph">
                  <wp:posOffset>62923</wp:posOffset>
                </wp:positionV>
                <wp:extent cx="2802577" cy="3170712"/>
                <wp:effectExtent l="0" t="0" r="0" b="0"/>
                <wp:wrapNone/>
                <wp:docPr id="8" name="Text Box 8"/>
                <wp:cNvGraphicFramePr/>
                <a:graphic xmlns:a="http://schemas.openxmlformats.org/drawingml/2006/main">
                  <a:graphicData uri="http://schemas.microsoft.com/office/word/2010/wordprocessingShape">
                    <wps:wsp>
                      <wps:cNvSpPr txBox="1"/>
                      <wps:spPr>
                        <a:xfrm>
                          <a:off x="0" y="0"/>
                          <a:ext cx="2802577" cy="3170712"/>
                        </a:xfrm>
                        <a:prstGeom prst="rect">
                          <a:avLst/>
                        </a:prstGeom>
                        <a:solidFill>
                          <a:schemeClr val="lt1"/>
                        </a:solidFill>
                        <a:ln w="6350">
                          <a:noFill/>
                        </a:ln>
                      </wps:spPr>
                      <wps:txbx>
                        <w:txbxContent>
                          <w:p w14:paraId="2480E15B" w14:textId="77777777" w:rsidR="009C1929" w:rsidRPr="009B3346" w:rsidRDefault="009C1929" w:rsidP="009C1929">
                            <w:pPr>
                              <w:jc w:val="right"/>
                            </w:pPr>
                            <w:r>
                              <w:rPr>
                                <w:noProof/>
                                <w:lang w:val="en-US"/>
                              </w:rPr>
                              <w:drawing>
                                <wp:inline distT="0" distB="0" distL="0" distR="0" wp14:anchorId="0F0E4F0B" wp14:editId="5820EA1B">
                                  <wp:extent cx="2825142" cy="1739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853280" cy="1757229"/>
                                          </a:xfrm>
                                          <a:prstGeom prst="rect">
                                            <a:avLst/>
                                          </a:prstGeom>
                                        </pic:spPr>
                                      </pic:pic>
                                    </a:graphicData>
                                  </a:graphic>
                                </wp:inline>
                              </w:drawing>
                            </w:r>
                          </w:p>
                          <w:p w14:paraId="7F523027" w14:textId="076956B3" w:rsidR="009C1929" w:rsidRPr="008254FB" w:rsidRDefault="009C1929" w:rsidP="008254FB">
                            <w:pPr>
                              <w:jc w:val="center"/>
                            </w:pPr>
                            <w:r w:rsidRPr="008254FB">
                              <w:t xml:space="preserve">Figure: Chase UK </w:t>
                            </w:r>
                            <w:r w:rsidR="00E527F5" w:rsidRPr="008254FB">
                              <w:t xml:space="preserve"> (Followers )</w:t>
                            </w:r>
                            <w:r w:rsidRPr="008254FB">
                              <w:br w:type="page"/>
                            </w:r>
                          </w:p>
                          <w:p w14:paraId="3127FA59" w14:textId="77777777" w:rsidR="009C1929" w:rsidRDefault="009C192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3764E61F" id="_x0000_t202" coordsize="21600,21600" o:spt="202" path="m,l,21600r21600,l21600,xe">
                <v:stroke joinstyle="miter"/>
                <v:path gradientshapeok="t" o:connecttype="rect"/>
              </v:shapetype>
              <v:shape id="Text Box 8" o:spid="_x0000_s1026" type="#_x0000_t202" style="position:absolute;margin-left:169.5pt;margin-top:4.95pt;width:220.7pt;height:249.65pt;z-index:25166028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" fillcolor="white [3201]" stroked="f" strokeweight=".5pt">
                <v:textbox>
                  <w:txbxContent>
                    <w:p w14:paraId="2480E15B" w14:textId="77777777" w:rsidR="009C1929" w:rsidRPr="009B3346" w:rsidRDefault="009C1929" w:rsidP="009C1929">
                      <w:pPr>
                        <w:jc w:val="right"/>
                      </w:pPr>
                      <w:r>
                        <w:rPr>
                          <w:noProof/>
                          <w:lang w:val="en-US"/>
                        </w:rPr>
                        <w:drawing>
                          <wp:inline distT="0" distB="0" distL="0" distR="0" wp14:anchorId="0F0E4F0B" wp14:editId="5820EA1B">
                            <wp:extent cx="2825142" cy="1739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853280" cy="1757229"/>
                                    </a:xfrm>
                                    <a:prstGeom prst="rect">
                                      <a:avLst/>
                                    </a:prstGeom>
                                  </pic:spPr>
                                </pic:pic>
                              </a:graphicData>
                            </a:graphic>
                          </wp:inline>
                        </w:drawing>
                      </w:r>
                    </w:p>
                    <w:p w14:paraId="7F523027" w14:textId="076956B3" w:rsidR="009C1929" w:rsidRPr="008254FB" w:rsidRDefault="009C1929" w:rsidP="008254FB">
                      <w:pPr>
                        <w:jc w:val="center"/>
                      </w:pPr>
                      <w:r w:rsidRPr="008254FB">
                        <w:t xml:space="preserve">Figure: Chase UK </w:t>
                      </w:r>
                      <w:r w:rsidR="00E527F5" w:rsidRPr="008254FB">
                        <w:t xml:space="preserve"> (Followers )</w:t>
                      </w:r>
                      <w:r w:rsidRPr="008254FB">
                        <w:br w:type="page"/>
                      </w:r>
                    </w:p>
                    <w:p w14:paraId="3127FA59" w14:textId="77777777" w:rsidR="009C1929" w:rsidRDefault="009C1929"/>
                  </w:txbxContent>
                </v:textbox>
                <w10:wrap anchorx="margin"/>
              </v:shape>
            </w:pict>
          </mc:Fallback>
        </mc:AlternateContent>
      </w:r>
      <w:r>
        <w:rPr>
          <w:noProof/>
          <w:lang w:val="en-US"/>
        </w:rPr>
        <mc:AlternateContent>
          <mc:Choice Requires="wps">
            <w:drawing>
              <wp:anchor distT="0" distB="0" distL="114300" distR="114300" simplePos="0" relativeHeight="251659264" behindDoc="0" locked="0" layoutInCell="1" allowOverlap="1" wp14:anchorId="03CE3E47" wp14:editId="54F99C30">
                <wp:simplePos x="0" y="0"/>
                <wp:positionH relativeFrom="column">
                  <wp:posOffset>35626</wp:posOffset>
                </wp:positionH>
                <wp:positionV relativeFrom="paragraph">
                  <wp:posOffset>99901</wp:posOffset>
                </wp:positionV>
                <wp:extent cx="2671948" cy="3040083"/>
                <wp:effectExtent l="0" t="0" r="0" b="8255"/>
                <wp:wrapNone/>
                <wp:docPr id="7" name="Text Box 7"/>
                <wp:cNvGraphicFramePr/>
                <a:graphic xmlns:a="http://schemas.openxmlformats.org/drawingml/2006/main">
                  <a:graphicData uri="http://schemas.microsoft.com/office/word/2010/wordprocessingShape">
                    <wps:wsp>
                      <wps:cNvSpPr txBox="1"/>
                      <wps:spPr>
                        <a:xfrm>
                          <a:off x="0" y="0"/>
                          <a:ext cx="2671948" cy="3040083"/>
                        </a:xfrm>
                        <a:prstGeom prst="rect">
                          <a:avLst/>
                        </a:prstGeom>
                        <a:solidFill>
                          <a:schemeClr val="lt1"/>
                        </a:solidFill>
                        <a:ln w="6350">
                          <a:noFill/>
                        </a:ln>
                      </wps:spPr>
                      <wps:txbx>
                        <w:txbxContent>
                          <w:p w14:paraId="7F36BB08" w14:textId="7841643A" w:rsidR="0075763C" w:rsidRPr="00083DB1" w:rsidRDefault="0075763C" w:rsidP="00083DB1">
                            <w:pPr>
                              <w:jc w:val="center"/>
                            </w:pPr>
                            <w:r w:rsidRPr="00083DB1">
                              <w:rPr>
                                <w:noProof/>
                                <w:lang w:val="en-US"/>
                              </w:rPr>
                              <w:drawing>
                                <wp:inline distT="0" distB="0" distL="0" distR="0" wp14:anchorId="432B8454" wp14:editId="17F791B0">
                                  <wp:extent cx="2481580" cy="1935678"/>
                                  <wp:effectExtent l="0" t="0" r="0" b="0"/>
                                  <wp:docPr id="10" name="Picture 10" descr="C:\Users\FB PC\Desktop\Monzo_logo_stacked_RGB_blu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B PC\Desktop\Monzo_logo_stacked_RGB_blue.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87478" cy="1940278"/>
                                          </a:xfrm>
                                          <a:prstGeom prst="rect">
                                            <a:avLst/>
                                          </a:prstGeom>
                                          <a:noFill/>
                                          <a:ln>
                                            <a:noFill/>
                                          </a:ln>
                                        </pic:spPr>
                                      </pic:pic>
                                    </a:graphicData>
                                  </a:graphic>
                                </wp:inline>
                              </w:drawing>
                            </w:r>
                          </w:p>
                          <w:p w14:paraId="58D0A98F" w14:textId="2135AC36" w:rsidR="0075763C" w:rsidRPr="00083DB1" w:rsidRDefault="0075763C" w:rsidP="00083DB1">
                            <w:pPr>
                              <w:jc w:val="center"/>
                            </w:pPr>
                            <w:r w:rsidRPr="00083DB1">
                              <w:t>Figure: Monzo (Pioneers)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3CE3E47" id="Text Box 7" o:spid="_x0000_s1027" type="#_x0000_t202" style="position:absolute;margin-left:2.8pt;margin-top:7.85pt;width:210.4pt;height:239.4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" fillcolor="white [3201]" stroked="f" strokeweight=".5pt">
                <v:textbox>
                  <w:txbxContent>
                    <w:p w14:paraId="7F36BB08" w14:textId="7841643A" w:rsidR="0075763C" w:rsidRPr="00083DB1" w:rsidRDefault="0075763C" w:rsidP="00083DB1">
                      <w:pPr>
                        <w:jc w:val="center"/>
                      </w:pPr>
                      <w:r w:rsidRPr="00083DB1">
                        <w:drawing>
                          <wp:inline distT="0" distB="0" distL="0" distR="0" wp14:anchorId="432B8454" wp14:editId="17F791B0">
                            <wp:extent cx="2481580" cy="1935678"/>
                            <wp:effectExtent l="0" t="0" r="0" b="0"/>
                            <wp:docPr id="10" name="Picture 10" descr="C:\Users\FB PC\Desktop\Monzo_logo_stacked_RGB_blu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B PC\Desktop\Monzo_logo_stacked_RGB_blue.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87478" cy="1940278"/>
                                    </a:xfrm>
                                    <a:prstGeom prst="rect">
                                      <a:avLst/>
                                    </a:prstGeom>
                                    <a:noFill/>
                                    <a:ln>
                                      <a:noFill/>
                                    </a:ln>
                                  </pic:spPr>
                                </pic:pic>
                              </a:graphicData>
                            </a:graphic>
                          </wp:inline>
                        </w:drawing>
                      </w:r>
                    </w:p>
                    <w:p w14:paraId="58D0A98F" w14:textId="2135AC36" w:rsidR="0075763C" w:rsidRPr="00083DB1" w:rsidRDefault="0075763C" w:rsidP="00083DB1">
                      <w:pPr>
                        <w:jc w:val="center"/>
                      </w:pPr>
                      <w:r w:rsidRPr="00083DB1">
                        <w:t xml:space="preserve">Figure: </w:t>
                      </w:r>
                      <w:proofErr w:type="spellStart"/>
                      <w:r w:rsidRPr="00083DB1">
                        <w:t>Monzo</w:t>
                      </w:r>
                      <w:proofErr w:type="spellEnd"/>
                      <w:r w:rsidRPr="00083DB1">
                        <w:t xml:space="preserve"> (Pioneers)</w:t>
                      </w:r>
                    </w:p>
                  </w:txbxContent>
                </v:textbox>
              </v:shape>
            </w:pict>
          </mc:Fallback>
        </mc:AlternateContent>
      </w:r>
      <w:r w:rsidR="008405E5">
        <w:br w:type="page"/>
      </w:r>
    </w:p>
    <w:p w14:paraId="2B93493B" w14:textId="75D611DD" w:rsidR="00554FED" w:rsidRPr="009B3346" w:rsidRDefault="00554FED" w:rsidP="00554FED">
      <w:pPr>
        <w:pStyle w:val="Heading1"/>
        <w:rPr>
          <w:rFonts w:cs="Times New Roman"/>
        </w:rPr>
      </w:pPr>
      <w:r w:rsidRPr="009B3346">
        <w:rPr>
          <w:rFonts w:cs="Times New Roman"/>
        </w:rPr>
        <w:t>Task 1: Critical Evaluation of the Macro Marketing Environment</w:t>
      </w:r>
      <w:bookmarkEnd w:id="1"/>
    </w:p>
    <w:p w14:paraId="4C6D2A95" w14:textId="77777777" w:rsidR="00554FED" w:rsidRPr="009B3346" w:rsidRDefault="00554FED" w:rsidP="00554FED">
      <w:pPr>
        <w:pStyle w:val="Heading2"/>
        <w:rPr>
          <w:rFonts w:cs="Times New Roman"/>
        </w:rPr>
      </w:pPr>
      <w:bookmarkStart w:id="2" w:name="_Toc225456343"/>
      <w:r w:rsidRPr="009B3346">
        <w:rPr>
          <w:rFonts w:cs="Times New Roman"/>
        </w:rPr>
        <w:t>1.1 The Macro Marketing Environment.</w:t>
      </w:r>
      <w:bookmarkEnd w:id="2"/>
    </w:p>
    <w:p w14:paraId="571C56C1" w14:textId="77777777" w:rsidR="00554FED" w:rsidRPr="009B3346" w:rsidRDefault="00554FED" w:rsidP="00554FED">
      <w:r w:rsidRPr="009B3346">
        <w:t xml:space="preserve">The macro marketing environment is made up of forces, which are external to individual organisations, but which considerably affect their strategic direction and competitive positioning (Kotler and Keller, 2021). These forces consist of: political, economic, social, technological, legal, and environmental forces that are seen to constitute a PESTEL framework. In the case of organisations within the digital banking sector, the macro environment is especially dynamic as both elements of blistering technological development and changing regulatory priorities converge (Anagnostopoulos, 2021). </w:t>
      </w:r>
    </w:p>
    <w:p w14:paraId="21F750E5" w14:textId="2F46EAD4" w:rsidR="00554FED" w:rsidRPr="009B3346" w:rsidRDefault="00554FED" w:rsidP="00554FED">
      <w:r w:rsidRPr="009B3346">
        <w:t>A rigorous knowledge of these external forces helps firms predict changes in the market, leverage on new opportunities as well as cope with possible threats. Reflecting the situation with Monzo as a leader and Chase UK as a follower, there are two macro-environmental issues that should be closely considered: the technological environment and the regulatory-political environment.</w:t>
      </w:r>
    </w:p>
    <w:p w14:paraId="4EAB983D" w14:textId="3CD3343E" w:rsidR="00554FED" w:rsidRPr="009B3346" w:rsidRDefault="00554FED" w:rsidP="00AF04C1">
      <w:pPr>
        <w:jc w:val="center"/>
      </w:pPr>
      <w:r w:rsidRPr="009B3346">
        <w:rPr>
          <w:noProof/>
          <w:lang w:val="en-US"/>
        </w:rPr>
        <w:drawing>
          <wp:inline distT="0" distB="0" distL="0" distR="0" wp14:anchorId="2561E54C" wp14:editId="38AC15F5">
            <wp:extent cx="4572000" cy="257272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76145" cy="2575059"/>
                    </a:xfrm>
                    <a:prstGeom prst="rect">
                      <a:avLst/>
                    </a:prstGeom>
                    <a:noFill/>
                    <a:ln>
                      <a:noFill/>
                    </a:ln>
                  </pic:spPr>
                </pic:pic>
              </a:graphicData>
            </a:graphic>
          </wp:inline>
        </w:drawing>
      </w:r>
    </w:p>
    <w:p w14:paraId="0D87F901" w14:textId="7CAD60A0" w:rsidR="00554FED" w:rsidRDefault="00554FED" w:rsidP="00AF04C1">
      <w:pPr>
        <w:jc w:val="center"/>
      </w:pPr>
      <w:r w:rsidRPr="009B3346">
        <w:t xml:space="preserve">Figure: Macro marketing </w:t>
      </w:r>
      <w:r w:rsidR="00AF04C1" w:rsidRPr="009B3346">
        <w:t>(Akbar &amp; Tracogna, 2020).</w:t>
      </w:r>
    </w:p>
    <w:p w14:paraId="2260C2F4" w14:textId="7523C29C" w:rsidR="003D1645" w:rsidRDefault="003D1645" w:rsidP="00AF04C1">
      <w:pPr>
        <w:jc w:val="center"/>
      </w:pPr>
    </w:p>
    <w:p w14:paraId="77EDCECF" w14:textId="77777777" w:rsidR="003D1645" w:rsidRPr="009B3346" w:rsidRDefault="003D1645" w:rsidP="00AF04C1">
      <w:pPr>
        <w:jc w:val="center"/>
      </w:pPr>
    </w:p>
    <w:p w14:paraId="27E71B56" w14:textId="14559B6C" w:rsidR="00554FED" w:rsidRPr="009B3346" w:rsidRDefault="00554FED" w:rsidP="00554FED">
      <w:pPr>
        <w:pStyle w:val="Heading2"/>
        <w:rPr>
          <w:rFonts w:cs="Times New Roman"/>
        </w:rPr>
      </w:pPr>
      <w:bookmarkStart w:id="3" w:name="_Toc225456344"/>
      <w:r w:rsidRPr="009B3346">
        <w:rPr>
          <w:rFonts w:cs="Times New Roman"/>
        </w:rPr>
        <w:t>1.2 Macro-Environmental Factor 1: Technological Environment.</w:t>
      </w:r>
      <w:bookmarkEnd w:id="3"/>
    </w:p>
    <w:p w14:paraId="68108A48" w14:textId="33384D23" w:rsidR="00554FED" w:rsidRPr="009B3346" w:rsidRDefault="00554FED" w:rsidP="00554FED">
      <w:pPr>
        <w:rPr>
          <w:b/>
          <w:bCs/>
        </w:rPr>
      </w:pPr>
      <w:r w:rsidRPr="009B3346">
        <w:rPr>
          <w:b/>
          <w:bCs/>
        </w:rPr>
        <w:t>The Impact of Technological Development in Digital Banking.</w:t>
      </w:r>
    </w:p>
    <w:p w14:paraId="584F1CFC" w14:textId="75390E5D" w:rsidR="00554FED" w:rsidRPr="009B3346" w:rsidRDefault="00554FED" w:rsidP="00554FED">
      <w:r w:rsidRPr="009B3346">
        <w:t>The dynamism of technological innovation has been the only redefining factor in the fintech business, changing consumer expectations and facilitating completely new business models (Lagna and Ravishankar, 2022). The rise of smartphone usage, the promotion of cloud computing infrastructure, open banking APIs and the embrace of artificial intelligence have all formed a successful ecosystem where direct competition to established high-street institutions is a possibility of a digital-only bank. Such technological advances have reduced entry barriers and, at the same time, elevated the level of customer experience that customers expect of financial service providers (Tanda and Schena, 2022).</w:t>
      </w:r>
    </w:p>
    <w:p w14:paraId="6E17DB24" w14:textId="28E90757" w:rsidR="00554FED" w:rsidRPr="009B3346" w:rsidRDefault="00554FED" w:rsidP="00554FED">
      <w:pPr>
        <w:rPr>
          <w:b/>
          <w:bCs/>
        </w:rPr>
      </w:pPr>
      <w:r w:rsidRPr="009B3346">
        <w:rPr>
          <w:b/>
          <w:bCs/>
        </w:rPr>
        <w:t>Monzo (Pioneer) Opportunities and Threats.</w:t>
      </w:r>
    </w:p>
    <w:p w14:paraId="38B67218" w14:textId="77777777" w:rsidR="00554FED" w:rsidRPr="009B3346" w:rsidRDefault="00554FED" w:rsidP="00554FED">
      <w:r w:rsidRPr="009B3346">
        <w:t xml:space="preserve">Being a digital pioneer, Monzo was one of the first to take advantage of the possibilities offered by mobile-first technology in the UK banking sector. The technological space provided a major point of opportunity which Monzo could use to fully base its value around a well-developed, app-based banking experience that the legacy banking system had failed to match (Akbar and Tracogna, 2020). Designs like instant spending alerts, budget controls, free overseas expense, and quickly establishing new accounts with smartphone verification placed Monzo as a category-creating innovator. The same technological environment, however, brings threats to the competitive position of Monzo. </w:t>
      </w:r>
    </w:p>
    <w:p w14:paraId="1D3CCAC5" w14:textId="2C134B25" w:rsidR="00554FED" w:rsidRDefault="00554FED" w:rsidP="00554FED">
      <w:r w:rsidRPr="009B3346">
        <w:t>The commoditisation of technology implies that the strategic benefits that Monzo previously possessed can have been duplicated by better-capitalised rivals, such as Chase UK (Mention, 2021). Moreover, technological upheaval requires unceasing innovation investment and imposes significant financial strain on Monzo that has long been on a lossing spiral. The development of artificial intelligence and machine learning are also a two-sided phenomenon; whereas Monzo can lever newer technologies to our advantage, larger companies with more data analytics and more capital reserves can eventually do so to a greater impact (Shankar and Kushwaha, 2023).</w:t>
      </w:r>
    </w:p>
    <w:p w14:paraId="7B36A686" w14:textId="18E0172B" w:rsidR="0002524D" w:rsidRDefault="0002524D" w:rsidP="00554FED"/>
    <w:p w14:paraId="67E5826B" w14:textId="77777777" w:rsidR="0002524D" w:rsidRPr="009B3346" w:rsidRDefault="0002524D" w:rsidP="00554FED"/>
    <w:p w14:paraId="403BA276" w14:textId="27EF5B6C" w:rsidR="00554FED" w:rsidRPr="009B3346" w:rsidRDefault="00554FED" w:rsidP="00554FED">
      <w:pPr>
        <w:rPr>
          <w:b/>
          <w:bCs/>
        </w:rPr>
      </w:pPr>
      <w:r w:rsidRPr="009B3346">
        <w:rPr>
          <w:b/>
          <w:bCs/>
        </w:rPr>
        <w:t>Chase UK (Follower) Opportunities and Threats.</w:t>
      </w:r>
    </w:p>
    <w:p w14:paraId="6395A6EE" w14:textId="77777777" w:rsidR="00554FED" w:rsidRPr="009B3346" w:rsidRDefault="00554FED" w:rsidP="00554FED">
      <w:r w:rsidRPr="009B3346">
        <w:t>In the case of Chase UK, the technological environment has offered a unique opportunity as a follower venturing into an already already-built digital banking market. JPMorgan Chase has one of the most significant technology budgets of any financial institution worldwide, and in this way, Chase UK can roll out a highly refined digital banking application when the time comes without entering the cycle of trial and error, which first movers such as Monzo did (Bradford, 2023). One area has been the maturity of technological infrastructure such as advanced fraud detection tools and the presence of data analytics derived, which drug Chase UK inherited by its parent organisation.</w:t>
      </w:r>
    </w:p>
    <w:p w14:paraId="4F885AB0" w14:textId="4197C37C" w:rsidR="00554FED" w:rsidRPr="009B3346" w:rsidRDefault="00554FED" w:rsidP="00554FED">
      <w:r w:rsidRPr="009B3346">
        <w:t>Other technological opportunities available to chase UK through the open banking framework provided by PSD2 also enable it to integrate financial services with other services and formulate a complete ecosystem (Diener and Spacek, 2021). But Chase UK has the risk that its follower position erodes its capacity to build the same extent of technological brand reputation that Monzo has built because consumers might view it as a conventional bank providing a digital frontend and no longer as a true tech innovator. Moreover, the blistering development of decentralised finance and blockchain technologies is an additional disruptive threat that might make the existing digital banking tools less topical (Buchak et al., 2024).</w:t>
      </w:r>
    </w:p>
    <w:p w14:paraId="763349DB" w14:textId="2F5AA773" w:rsidR="00554FED" w:rsidRPr="009B3346" w:rsidRDefault="00AF04C1" w:rsidP="00AF04C1">
      <w:pPr>
        <w:jc w:val="center"/>
      </w:pPr>
      <w:r w:rsidRPr="009B3346">
        <w:rPr>
          <w:noProof/>
          <w:lang w:val="en-US"/>
        </w:rPr>
        <w:drawing>
          <wp:inline distT="0" distB="0" distL="0" distR="0" wp14:anchorId="77CDE4EA" wp14:editId="4DA3E448">
            <wp:extent cx="4599296" cy="2477526"/>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606910" cy="2481628"/>
                    </a:xfrm>
                    <a:prstGeom prst="rect">
                      <a:avLst/>
                    </a:prstGeom>
                    <a:noFill/>
                    <a:ln>
                      <a:noFill/>
                    </a:ln>
                  </pic:spPr>
                </pic:pic>
              </a:graphicData>
            </a:graphic>
          </wp:inline>
        </w:drawing>
      </w:r>
    </w:p>
    <w:p w14:paraId="43D6AC50" w14:textId="55D099BF" w:rsidR="00AF04C1" w:rsidRPr="009B3346" w:rsidRDefault="00AF04C1" w:rsidP="00AF04C1">
      <w:pPr>
        <w:jc w:val="center"/>
      </w:pPr>
      <w:r w:rsidRPr="009B3346">
        <w:t>Figure: Political environment (Ansoff et al., 2022).</w:t>
      </w:r>
    </w:p>
    <w:p w14:paraId="3D0BDEE4" w14:textId="77777777" w:rsidR="00554FED" w:rsidRPr="009B3346" w:rsidRDefault="00554FED" w:rsidP="00554FED">
      <w:pPr>
        <w:pStyle w:val="Heading2"/>
        <w:rPr>
          <w:rFonts w:cs="Times New Roman"/>
        </w:rPr>
      </w:pPr>
      <w:bookmarkStart w:id="4" w:name="_Toc225456345"/>
      <w:r w:rsidRPr="009B3346">
        <w:rPr>
          <w:rFonts w:cs="Times New Roman"/>
        </w:rPr>
        <w:t>1.3 Macro-Environmental Factor 2: Regulatory and Political Environment.</w:t>
      </w:r>
      <w:bookmarkEnd w:id="4"/>
    </w:p>
    <w:p w14:paraId="0B729936" w14:textId="50004065" w:rsidR="00554FED" w:rsidRPr="009B3346" w:rsidRDefault="00554FED" w:rsidP="00554FED">
      <w:pPr>
        <w:rPr>
          <w:b/>
          <w:bCs/>
        </w:rPr>
      </w:pPr>
      <w:r w:rsidRPr="009B3346">
        <w:rPr>
          <w:b/>
          <w:bCs/>
        </w:rPr>
        <w:t>Evolving Regulatory Landscape.</w:t>
      </w:r>
    </w:p>
    <w:p w14:paraId="495B6B9C" w14:textId="34B33304" w:rsidR="00554FED" w:rsidRPr="009B3346" w:rsidRDefault="00554FED" w:rsidP="00554FED">
      <w:r w:rsidRPr="009B3346">
        <w:t>One of the major forces that have influenced the nature of competition in the UK digital banking sector has been the regulatory and political environment. Governments and regulatory bodies in the UK have taken a two-pronged approach of enhancing fintech innovation alongside improving consumer protection and other financial stability conditions (Sahay et al., 2020). Programmes like the regulatory sandbox of the FCA, the launch of open banking as part of the mandate of the Competition and Markets Authority, and the changing nature of anti-money laundering rules collectively have facilitated and hindered digital banking operators through a complicated regulatory landscape (Anagnostopoulos, 2021).</w:t>
      </w:r>
    </w:p>
    <w:p w14:paraId="533C29B2" w14:textId="28F0DAB6" w:rsidR="00554FED" w:rsidRPr="009B3346" w:rsidRDefault="00554FED" w:rsidP="00554FED">
      <w:pPr>
        <w:rPr>
          <w:b/>
          <w:bCs/>
        </w:rPr>
      </w:pPr>
      <w:r w:rsidRPr="009B3346">
        <w:rPr>
          <w:b/>
          <w:bCs/>
        </w:rPr>
        <w:t>Monzo (Pioneer) Opportunities and Threats</w:t>
      </w:r>
    </w:p>
    <w:p w14:paraId="06738ACD" w14:textId="77777777" w:rsidR="00947E55" w:rsidRDefault="00554FED" w:rsidP="00554FED">
      <w:r w:rsidRPr="009B3346">
        <w:t xml:space="preserve">The regulated environment has served as a facilitator as well as a limiting factor at Monzo. The regulatory sandbox operated by the FCA allowed Monzo to experiment with novel financial products in a low-stakes setting was a key driver in its initial development stage before rolling them out to the wider market (Moro-Visconti, 2021). The open banking requirement presented an additional opportunity, allowing Monzo to consolidate data on various providers and improving its value chain as a financial management consolidation centre. Nevertheless, the regulatory climate is also very threatening. </w:t>
      </w:r>
    </w:p>
    <w:p w14:paraId="63EAD887" w14:textId="77777777" w:rsidR="00947E55" w:rsidRPr="009B3346" w:rsidRDefault="00947E55" w:rsidP="00947E55">
      <w:pPr>
        <w:jc w:val="center"/>
      </w:pPr>
      <w:r w:rsidRPr="009B3346">
        <w:rPr>
          <w:noProof/>
          <w:lang w:val="en-US"/>
        </w:rPr>
        <w:drawing>
          <wp:inline distT="0" distB="0" distL="0" distR="0" wp14:anchorId="5CEC816D" wp14:editId="62395CA4">
            <wp:extent cx="2709943" cy="2476459"/>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717482" cy="2483348"/>
                    </a:xfrm>
                    <a:prstGeom prst="rect">
                      <a:avLst/>
                    </a:prstGeom>
                    <a:noFill/>
                  </pic:spPr>
                </pic:pic>
              </a:graphicData>
            </a:graphic>
          </wp:inline>
        </w:drawing>
      </w:r>
    </w:p>
    <w:p w14:paraId="3FF98EDF" w14:textId="18F86A78" w:rsidR="00947E55" w:rsidRDefault="00947E55" w:rsidP="005145D6">
      <w:pPr>
        <w:jc w:val="center"/>
      </w:pPr>
      <w:r w:rsidRPr="009B3346">
        <w:t>Figure: Fintech Inclusion (Anagnostopoulos, 2021).</w:t>
      </w:r>
    </w:p>
    <w:p w14:paraId="3200A41D" w14:textId="66586084" w:rsidR="00554FED" w:rsidRPr="009B3346" w:rsidRDefault="00554FED" w:rsidP="00554FED">
      <w:r w:rsidRPr="009B3346">
        <w:t>As Monzo has grown, these controls have led to a rise in regulatory oversight of the bank in terms of compliance with anti-money laundering regulations, the customer due diligence process, and the prevention of financial crime. AML scrutiny intensified affects Monzo in 2021 and 2022, burdening operational resources and undermining adverse publicity (Lagna and Ravishankar, 2022). Moreover, evolving consumer duty laws necessitate a constant spending on compliance facilities, which falls dispro</w:t>
      </w:r>
      <w:r w:rsidR="000C4883">
        <w:t>portionately on smaller F</w:t>
      </w:r>
      <w:r w:rsidR="00D04D73">
        <w:t>intech</w:t>
      </w:r>
      <w:r w:rsidRPr="009B3346">
        <w:t xml:space="preserve"> with reference to their more successful counterparts.</w:t>
      </w:r>
    </w:p>
    <w:p w14:paraId="5DA4BEF4" w14:textId="06CA5DDF" w:rsidR="00554FED" w:rsidRPr="009B3346" w:rsidRDefault="00554FED" w:rsidP="00554FED">
      <w:pPr>
        <w:rPr>
          <w:b/>
          <w:bCs/>
        </w:rPr>
      </w:pPr>
      <w:r w:rsidRPr="009B3346">
        <w:rPr>
          <w:b/>
          <w:bCs/>
        </w:rPr>
        <w:t>Chase UK (Follower) Opportunities and Threats</w:t>
      </w:r>
    </w:p>
    <w:p w14:paraId="4BB49E7E" w14:textId="77777777" w:rsidR="00E42778" w:rsidRDefault="00554FED" w:rsidP="00AF04C1">
      <w:r w:rsidRPr="009B3346">
        <w:t xml:space="preserve">With this previous experience in global regulation, Chase UK has been largely supportive and is well placed to manage the UK regulatory environment because it is supported by JPMorgan Chase. The compliance frameworks, legal skills, and institutional ties of the organisation to regulators are a strong competitive edge in a more highly regulated marketplace (Johnson et al., 2020). The focus on consumer protection and financial stability imposed by regulators indirectly applies to both Chase UK because these elements increase the costs of complying with them among smaller businesses such as Monzo, implying barriers to the entry of better-capitalised entrants. </w:t>
      </w:r>
    </w:p>
    <w:p w14:paraId="6F4875F4" w14:textId="59F5F493" w:rsidR="00554FED" w:rsidRDefault="00554FED" w:rsidP="00AF04C1">
      <w:r w:rsidRPr="009B3346">
        <w:t>Nevertheless, Chase UK is not deprived of regulatory risks, specifically, data protection under UK GDPR, cross-border data transfer intricacies in the wake of Brexit and political matters of what role huge American banking institutions play in the UK market (Drummond, Ensor and Ashford, 2020). The political aspect is also particularly topical, with policy changes in post-Brexit Britain potentially introducing further regulatory divergence against EU guidelines, introducing complexity in compliance with an operationally global institution.</w:t>
      </w:r>
    </w:p>
    <w:p w14:paraId="0F765263" w14:textId="77777777" w:rsidR="00A80C90" w:rsidRPr="009B3346" w:rsidRDefault="00A80C90" w:rsidP="00A80C90">
      <w:pPr>
        <w:jc w:val="center"/>
      </w:pPr>
      <w:r w:rsidRPr="009B3346">
        <w:rPr>
          <w:noProof/>
          <w:lang w:val="en-US"/>
        </w:rPr>
        <w:drawing>
          <wp:inline distT="0" distB="0" distL="0" distR="0" wp14:anchorId="355279D4" wp14:editId="5B4E344D">
            <wp:extent cx="4254465" cy="1840675"/>
            <wp:effectExtent l="0" t="0" r="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268808" cy="1846881"/>
                    </a:xfrm>
                    <a:prstGeom prst="rect">
                      <a:avLst/>
                    </a:prstGeom>
                    <a:noFill/>
                    <a:ln>
                      <a:noFill/>
                    </a:ln>
                  </pic:spPr>
                </pic:pic>
              </a:graphicData>
            </a:graphic>
          </wp:inline>
        </w:drawing>
      </w:r>
    </w:p>
    <w:p w14:paraId="69294E0A" w14:textId="1692B449" w:rsidR="005145D6" w:rsidRPr="009B3346" w:rsidRDefault="00A80C90" w:rsidP="00A80C90">
      <w:pPr>
        <w:jc w:val="center"/>
      </w:pPr>
      <w:r w:rsidRPr="009B3346">
        <w:t>Figure: Content marketing (Bradford, 2023).</w:t>
      </w:r>
    </w:p>
    <w:p w14:paraId="1FFD1767" w14:textId="1C7FD62E" w:rsidR="00554FED" w:rsidRPr="009B3346" w:rsidRDefault="00554FED" w:rsidP="00554FED">
      <w:pPr>
        <w:pStyle w:val="Heading1"/>
        <w:rPr>
          <w:rFonts w:cs="Times New Roman"/>
        </w:rPr>
      </w:pPr>
      <w:bookmarkStart w:id="5" w:name="_Toc225456346"/>
      <w:r w:rsidRPr="009B3346">
        <w:rPr>
          <w:rFonts w:cs="Times New Roman"/>
        </w:rPr>
        <w:t>Task 2: Strategic Responses - Comparative Assessment.</w:t>
      </w:r>
      <w:bookmarkEnd w:id="5"/>
    </w:p>
    <w:p w14:paraId="4B77998B" w14:textId="77777777" w:rsidR="00554FED" w:rsidRPr="009B3346" w:rsidRDefault="00554FED" w:rsidP="00554FED">
      <w:pPr>
        <w:pStyle w:val="Heading2"/>
        <w:rPr>
          <w:rFonts w:cs="Times New Roman"/>
        </w:rPr>
      </w:pPr>
      <w:bookmarkStart w:id="6" w:name="_Toc225456347"/>
      <w:r w:rsidRPr="009B3346">
        <w:rPr>
          <w:rFonts w:cs="Times New Roman"/>
        </w:rPr>
        <w:t>2.1 Background of the Strategic Marketing Frameworks.</w:t>
      </w:r>
      <w:bookmarkEnd w:id="6"/>
    </w:p>
    <w:p w14:paraId="28F21855" w14:textId="7AB8A61B" w:rsidR="00554FED" w:rsidRPr="009B3346" w:rsidRDefault="00554FED" w:rsidP="00554FED">
      <w:r w:rsidRPr="009B3346">
        <w:t>Two well-known strategic marketing frameworks are used to assess the strategic responses of both Monzo and Chase UK to the above identified macro-environmental factors. It is stated in the Porters Generic Strategies framework that the three general competitive advantage approaches can be cost leadership, differentiation, and focus (Porter and Heppelmann, 2020). The Growth Matrix by Ansoff is a tool used to examine growth strategy based on four measures: market penetration, market development, product development, and diversification (Ansoff et al., 2022). Collectively, the structures facilitate a holistic consideration of how every organisation tries to sustain or improve competitive position.</w:t>
      </w:r>
    </w:p>
    <w:p w14:paraId="6A9C33E4" w14:textId="77777777" w:rsidR="00554FED" w:rsidRPr="009B3346" w:rsidRDefault="00554FED" w:rsidP="00554FED">
      <w:pPr>
        <w:pStyle w:val="Heading2"/>
        <w:rPr>
          <w:rFonts w:cs="Times New Roman"/>
        </w:rPr>
      </w:pPr>
      <w:bookmarkStart w:id="7" w:name="_Toc225456348"/>
      <w:r w:rsidRPr="009B3346">
        <w:rPr>
          <w:rFonts w:cs="Times New Roman"/>
        </w:rPr>
        <w:t>2.2 Monzo's Strategic Response</w:t>
      </w:r>
      <w:bookmarkEnd w:id="7"/>
    </w:p>
    <w:p w14:paraId="057FA8D1" w14:textId="7FB10A59" w:rsidR="00554FED" w:rsidRPr="009B3346" w:rsidRDefault="00554FED" w:rsidP="00554FED">
      <w:pPr>
        <w:rPr>
          <w:b/>
          <w:bCs/>
        </w:rPr>
      </w:pPr>
      <w:r w:rsidRPr="009B3346">
        <w:rPr>
          <w:b/>
          <w:bCs/>
        </w:rPr>
        <w:t>Porters Generic Strategies.</w:t>
      </w:r>
    </w:p>
    <w:p w14:paraId="7FC37AF8" w14:textId="301B988D" w:rsidR="00EA005B" w:rsidRDefault="00554FED" w:rsidP="00554FED">
      <w:r w:rsidRPr="009B3346">
        <w:t xml:space="preserve">Monzo has mainly taken a differentiation-oriented approach, scouting out digital-native users who attach importance to transparency, convenience, and innovative fintech more than the full range of products that conventional bank provides (Kotler and Keller, 2021). The differentiation is underpinned by Monzo, which puts its user-oriented design attitude, community-oriented product creation and a unique brand identity expressed through its coral-coloured card and informal style of communication. </w:t>
      </w:r>
    </w:p>
    <w:p w14:paraId="2DB835E9" w14:textId="68A50C71" w:rsidR="00F732CA" w:rsidRPr="00F732CA" w:rsidRDefault="00F732CA" w:rsidP="00F732CA">
      <w:pPr>
        <w:jc w:val="center"/>
      </w:pPr>
      <w:r w:rsidRPr="00F732CA">
        <w:rPr>
          <w:noProof/>
          <w:lang w:val="en-US"/>
        </w:rPr>
        <w:drawing>
          <wp:inline distT="0" distB="0" distL="0" distR="0" wp14:anchorId="762166C8" wp14:editId="71450078">
            <wp:extent cx="3325091" cy="2426828"/>
            <wp:effectExtent l="0" t="0" r="8890" b="0"/>
            <wp:docPr id="11" name="Picture 11" descr="C:\Users\FB PC\Desktop\imag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FB PC\Desktop\images.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338002" cy="2436251"/>
                    </a:xfrm>
                    <a:prstGeom prst="rect">
                      <a:avLst/>
                    </a:prstGeom>
                    <a:noFill/>
                    <a:ln>
                      <a:noFill/>
                    </a:ln>
                  </pic:spPr>
                </pic:pic>
              </a:graphicData>
            </a:graphic>
          </wp:inline>
        </w:drawing>
      </w:r>
    </w:p>
    <w:p w14:paraId="7B6055E6" w14:textId="0AB44E70" w:rsidR="00A80C90" w:rsidRPr="00F732CA" w:rsidRDefault="00731EDD" w:rsidP="00601C9B">
      <w:pPr>
        <w:jc w:val="center"/>
      </w:pPr>
      <w:r w:rsidRPr="00F732CA">
        <w:t>Figure: Porters Generic Strategies</w:t>
      </w:r>
      <w:r w:rsidR="00601C9B">
        <w:t xml:space="preserve"> </w:t>
      </w:r>
      <w:r w:rsidR="00601C9B" w:rsidRPr="009B3346">
        <w:t>(Drummond, Ensor and Ashford, 2020).</w:t>
      </w:r>
    </w:p>
    <w:p w14:paraId="6DAA5C9A" w14:textId="1A610DD9" w:rsidR="00554FED" w:rsidRPr="009B3346" w:rsidRDefault="00554FED" w:rsidP="00554FED">
      <w:r w:rsidRPr="009B3346">
        <w:t xml:space="preserve">To better respond to the growing technological threat posed by Monzo Stone Age competitors, including Chase UK, Monzo has further fancied its differentiation by introducing premium levels of subscriptions. </w:t>
      </w:r>
      <w:r w:rsidR="00EA005B">
        <w:t xml:space="preserve"> </w:t>
      </w:r>
      <w:r w:rsidR="00AF04C1" w:rsidRPr="009B3346">
        <w:t>Specifically,</w:t>
      </w:r>
      <w:r w:rsidRPr="009B3346">
        <w:t xml:space="preserve"> Monzo Plus and Monzo Premium, which include new features like credit tracking, advanced budget proposals and travel insurance (Akbar and Tracogna, 2020). This premium approach also considers the risk of that a competitor may copy the features by establishing value layers that competitors find more challenging to directly replicate. Also, one-way Monzo has reacted to regulatory pressures has been major investment in compliance technology, turning around a potential threat into a differentiating capability by becoming a reliable, transparent financial institution (Sahay et al., 2020).</w:t>
      </w:r>
    </w:p>
    <w:p w14:paraId="3BAF6CD1" w14:textId="5AA285FB" w:rsidR="00554FED" w:rsidRPr="009B3346" w:rsidRDefault="00554FED" w:rsidP="00554FED">
      <w:pPr>
        <w:rPr>
          <w:b/>
          <w:bCs/>
        </w:rPr>
      </w:pPr>
      <w:r w:rsidRPr="009B3346">
        <w:rPr>
          <w:b/>
          <w:bCs/>
        </w:rPr>
        <w:t>Application of Ansoff Growth Matrix</w:t>
      </w:r>
    </w:p>
    <w:p w14:paraId="5AA7820C" w14:textId="77777777" w:rsidR="00554FED" w:rsidRPr="009B3346" w:rsidRDefault="00554FED" w:rsidP="00554FED">
      <w:r w:rsidRPr="009B3346">
        <w:t xml:space="preserve">Using the Growth Matrix provided by Ansoff, Monzo has undertaken several growth vectors concurrently. It has mostly relied on market penetration by increasing its user base in the UK current account market by using referral programmes, word-of-mouth, and ongoing feature development (Drummond, Ensor and Ashford, 2020). Monzo has also been aggressively developing products allowing its business to extend beyond simple current accounts to business banking, personal loans, energy switching and a salary advance interface. </w:t>
      </w:r>
    </w:p>
    <w:p w14:paraId="53EE64EB" w14:textId="1985CCD9" w:rsidR="00554FED" w:rsidRDefault="00554FED" w:rsidP="00554FED">
      <w:r w:rsidRPr="009B3346">
        <w:t>More recently, Market development has seen Monzo attempt market entry into the US, albeit in a more cautious manner than initially expected given the unique regulation and competition dynamics (Bradford, 2023). This lack of diversification has been reflected in Monzo diversifying into products of the investment and savings marketplace, and simply fulfilling a matching role of pairing customers with third partner providers as opposed to building up company products on the side of investments (Mention, 2021).</w:t>
      </w:r>
    </w:p>
    <w:p w14:paraId="3D105E46" w14:textId="37FD7B2C" w:rsidR="00C4180E" w:rsidRDefault="00C4180E" w:rsidP="00554FED"/>
    <w:p w14:paraId="126B155D" w14:textId="311F441D" w:rsidR="00C4180E" w:rsidRDefault="00C4180E" w:rsidP="00554FED"/>
    <w:p w14:paraId="1784D046" w14:textId="33F04FA9" w:rsidR="00C4180E" w:rsidRDefault="00C4180E" w:rsidP="00554FED"/>
    <w:p w14:paraId="252CD539" w14:textId="5BDE6EF7" w:rsidR="00C4180E" w:rsidRDefault="00C4180E" w:rsidP="00554FED"/>
    <w:p w14:paraId="7F53D870" w14:textId="4EA3314E" w:rsidR="00C4180E" w:rsidRDefault="00C4180E" w:rsidP="00554FED"/>
    <w:p w14:paraId="65A75779" w14:textId="77777777" w:rsidR="00C4180E" w:rsidRPr="009B3346" w:rsidRDefault="00C4180E" w:rsidP="00554FED"/>
    <w:p w14:paraId="1F6801EC" w14:textId="76F1A28C" w:rsidR="00554FED" w:rsidRPr="009B3346" w:rsidRDefault="00554FED" w:rsidP="00A82C7B">
      <w:pPr>
        <w:pStyle w:val="Heading2"/>
        <w:rPr>
          <w:rFonts w:cs="Times New Roman"/>
        </w:rPr>
      </w:pPr>
      <w:bookmarkStart w:id="8" w:name="_Toc225456349"/>
      <w:r w:rsidRPr="009B3346">
        <w:rPr>
          <w:rFonts w:cs="Times New Roman"/>
        </w:rPr>
        <w:t>2.3 Chase UK</w:t>
      </w:r>
      <w:bookmarkEnd w:id="8"/>
      <w:r w:rsidR="00A82C7B">
        <w:rPr>
          <w:rFonts w:cs="Times New Roman"/>
        </w:rPr>
        <w:t xml:space="preserve"> Strategic Response</w:t>
      </w:r>
    </w:p>
    <w:p w14:paraId="4D9DB853" w14:textId="5EBEC7FC" w:rsidR="00554FED" w:rsidRPr="009B3346" w:rsidRDefault="00554FED" w:rsidP="00554FED">
      <w:pPr>
        <w:rPr>
          <w:b/>
          <w:bCs/>
        </w:rPr>
      </w:pPr>
      <w:r w:rsidRPr="009B3346">
        <w:rPr>
          <w:b/>
          <w:bCs/>
        </w:rPr>
        <w:t>Porters Generic Strategies</w:t>
      </w:r>
    </w:p>
    <w:p w14:paraId="662EFE29" w14:textId="77777777" w:rsidR="00554FED" w:rsidRPr="009B3346" w:rsidRDefault="00554FED" w:rsidP="00554FED">
      <w:r w:rsidRPr="009B3346">
        <w:t xml:space="preserve">The competitor Chase UK has also implemented a unique new competitive approach, combining aspects of the cost leadership and differentiation strategy, utilizing its massive parent-company financial resources to provide market-lead incentives with a premium digital experience (Tanda and Schena, 2022). When Chase UK was launched, the cashback on daily expenses was extremely competitive, and savings interest rates were attractive, which many competitors such as Monzo could not offer. The effect of this aggressive pricing style is that it is a form of cost leadership through the consumer lens because customers get an enhanced financial benefit out of their banking service. </w:t>
      </w:r>
    </w:p>
    <w:p w14:paraId="1F96710E" w14:textId="33D9549F" w:rsidR="00554FED" w:rsidRPr="009B3346" w:rsidRDefault="00554FED" w:rsidP="00554FED">
      <w:r w:rsidRPr="009B3346">
        <w:t>At the same time, Chase UK stands out as a company with the quality of its online experience, the security infrastructure purchased by JPMorgan, and the trust as a global financial corporation that is implicit and related to its name and brand (Johnson et al., 2020). To respond to the technological macro-environment, CHD Chase UK has spent significant resources on creating proprietary functionality, and making sure that its application compares or surpasses the user experience standards set by innovators such as Monzo. When negotiating within the regulatory context, Chase UK can take advantage of the compliance infrastructure already established by its parent organization and adope regulatory adaptations much faster without not solving the commensurate costs of its smaller fintech counterparts (Buchak et al., 2024).</w:t>
      </w:r>
    </w:p>
    <w:p w14:paraId="697BF475" w14:textId="39BE014E" w:rsidR="00554FED" w:rsidRPr="009B3346" w:rsidRDefault="00554FED" w:rsidP="00554FED">
      <w:pPr>
        <w:rPr>
          <w:b/>
          <w:bCs/>
        </w:rPr>
      </w:pPr>
      <w:r w:rsidRPr="009B3346">
        <w:rPr>
          <w:b/>
          <w:bCs/>
        </w:rPr>
        <w:t>Using the Growth Matrix by Ansoff</w:t>
      </w:r>
    </w:p>
    <w:p w14:paraId="265D951C" w14:textId="77777777" w:rsidR="005740D6" w:rsidRDefault="00554FED" w:rsidP="00554FED">
      <w:r w:rsidRPr="009B3346">
        <w:t xml:space="preserve">The Growth Strategy of Chase UK, evaluated on the basis of the Growth Matrix of Ansoff, has identified market penetration to amazing intensity since the strategy was launched in 2021. Aggressive marketing, lucrative cashback offers, and competitive savings rates helped the organisation to gain more than one million customers in the first year (Diener and Spacek, 2021). </w:t>
      </w:r>
    </w:p>
    <w:p w14:paraId="58FD63B6" w14:textId="77777777" w:rsidR="005740D6" w:rsidRDefault="00554FED" w:rsidP="00554FED">
      <w:r w:rsidRPr="009B3346">
        <w:t xml:space="preserve">This is a direct art of penetration strategy that makes strong use of the deep capital reserves of JPMorgan that can be used to invest in fixed customer acquisition pools which would prove to be not economically viable to smaller businesses. </w:t>
      </w:r>
    </w:p>
    <w:p w14:paraId="53CF65DA" w14:textId="77777777" w:rsidR="008F1441" w:rsidRDefault="00554FED" w:rsidP="00554FED">
      <w:r w:rsidRPr="009B3346">
        <w:t xml:space="preserve">Chase UK has since focused on product diversification, such as adding investment products to its existing current account and savings products by launching a joint venture with Nutmeg, the online wealth manager that JPMorgan acquired (Lagna and Ravishankar, 2022). </w:t>
      </w:r>
      <w:r w:rsidR="005740D6">
        <w:t xml:space="preserve"> </w:t>
      </w:r>
      <w:r w:rsidRPr="009B3346">
        <w:t xml:space="preserve">This product development plan targets the technology opportunity of integrated financial ecosystems and developing more revenue streams outside the net interest income. </w:t>
      </w:r>
    </w:p>
    <w:p w14:paraId="5EE02DAF" w14:textId="3065FE09" w:rsidR="00554FED" w:rsidRPr="009B3346" w:rsidRDefault="00554FED" w:rsidP="00554FED">
      <w:r w:rsidRPr="009B3346">
        <w:t>In market development terms, the actual introduction of Chase UK into the UK market is a part of the overall international retail banking growth plan of JPMorgan, where the UK market acts as a pilot of the potential further European market access (Shankar and Kushwaha, 2023). At Chase UK, early-stage diversification, like the addition of wealth management solutions to everyday banking, can also be seen, leaving the expected neobank paradigm and transitioning to a general digital financial solutions ecosystem (Moro-Visconti, 2021).</w:t>
      </w:r>
    </w:p>
    <w:p w14:paraId="5B589A0B" w14:textId="2C95C013" w:rsidR="00AF04C1" w:rsidRPr="009B3346" w:rsidRDefault="00AF04C1" w:rsidP="00AF04C1">
      <w:pPr>
        <w:jc w:val="center"/>
      </w:pPr>
      <w:r w:rsidRPr="009B3346">
        <w:rPr>
          <w:noProof/>
          <w:lang w:val="en-US"/>
        </w:rPr>
        <w:drawing>
          <wp:inline distT="0" distB="0" distL="0" distR="0" wp14:anchorId="248CD931" wp14:editId="177C5BB2">
            <wp:extent cx="4852536" cy="2729552"/>
            <wp:effectExtent l="0" t="0" r="571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861737" cy="2734728"/>
                    </a:xfrm>
                    <a:prstGeom prst="rect">
                      <a:avLst/>
                    </a:prstGeom>
                    <a:noFill/>
                    <a:ln>
                      <a:noFill/>
                    </a:ln>
                  </pic:spPr>
                </pic:pic>
              </a:graphicData>
            </a:graphic>
          </wp:inline>
        </w:drawing>
      </w:r>
    </w:p>
    <w:p w14:paraId="07F6725F" w14:textId="1EDB9BC9" w:rsidR="00AF04C1" w:rsidRDefault="00AF04C1" w:rsidP="00AF04C1">
      <w:pPr>
        <w:jc w:val="center"/>
      </w:pPr>
      <w:r w:rsidRPr="009B3346">
        <w:t>Figure: Ansoff growth matrix (Buchak et al., 2024).</w:t>
      </w:r>
    </w:p>
    <w:p w14:paraId="69F44130" w14:textId="5A75C01A" w:rsidR="00684D45" w:rsidRDefault="00684D45" w:rsidP="00AF04C1">
      <w:pPr>
        <w:jc w:val="center"/>
      </w:pPr>
    </w:p>
    <w:p w14:paraId="72579456" w14:textId="24E2A0DA" w:rsidR="00684D45" w:rsidRDefault="00684D45" w:rsidP="00AF04C1">
      <w:pPr>
        <w:jc w:val="center"/>
      </w:pPr>
    </w:p>
    <w:p w14:paraId="25419D8B" w14:textId="6145A8DF" w:rsidR="00684D45" w:rsidRDefault="00684D45" w:rsidP="00AF04C1">
      <w:pPr>
        <w:jc w:val="center"/>
      </w:pPr>
    </w:p>
    <w:p w14:paraId="486C68E0" w14:textId="02002881" w:rsidR="00684D45" w:rsidRDefault="00684D45" w:rsidP="00AF04C1">
      <w:pPr>
        <w:jc w:val="center"/>
      </w:pPr>
    </w:p>
    <w:p w14:paraId="5B1E8925" w14:textId="77777777" w:rsidR="00684D45" w:rsidRPr="009B3346" w:rsidRDefault="00684D45" w:rsidP="00AF04C1">
      <w:pPr>
        <w:jc w:val="center"/>
      </w:pPr>
    </w:p>
    <w:p w14:paraId="59457434" w14:textId="36BE9F80" w:rsidR="00554FED" w:rsidRPr="009B3346" w:rsidRDefault="00554FED" w:rsidP="00554FED">
      <w:pPr>
        <w:pStyle w:val="Heading2"/>
        <w:rPr>
          <w:rFonts w:cs="Times New Roman"/>
        </w:rPr>
      </w:pPr>
      <w:bookmarkStart w:id="9" w:name="_Toc225456350"/>
      <w:r w:rsidRPr="009B3346">
        <w:rPr>
          <w:rFonts w:cs="Times New Roman"/>
        </w:rPr>
        <w:t>2.4 Comparative Assessment of strategic responses</w:t>
      </w:r>
      <w:bookmarkEnd w:id="9"/>
    </w:p>
    <w:p w14:paraId="7AE57DAE" w14:textId="77777777" w:rsidR="00684D45" w:rsidRDefault="00554FED" w:rsidP="00554FED">
      <w:r w:rsidRPr="009B3346">
        <w:t>In the comparison between the strategic response of Monzo and Chase UK, a number of key differences and similarities stand out. The two organisations are acutely aware that the ongoing transformation of the digital banking sector cannot be sustained without permanent product development projects and enhanced customer relationship development beyond mere transactional banking (Ansoff et al., 2022). Their strategies however differ deeply in terms of distributing resources and their strategic focus.</w:t>
      </w:r>
    </w:p>
    <w:p w14:paraId="0E84BF95" w14:textId="3D8037B2" w:rsidR="00554FED" w:rsidRPr="009B3346" w:rsidRDefault="00554FED" w:rsidP="00554FED">
      <w:r w:rsidRPr="009B3346">
        <w:t xml:space="preserve"> The pioneer Monzo has been using its first-mover brand name, community building, and innovation culture to create a competitive edge but faces mounting sustaining-profit pressures to ensure it continues to differentiate itself against its heavily-financed imitators. Chase UK, as a follower, has therefore effectively taken the market validation offered by pioneers, and used the high financial assets to compete vigorously on both price and quality fronts. </w:t>
      </w:r>
    </w:p>
    <w:p w14:paraId="7011F2BA" w14:textId="3B2EDCFE" w:rsidR="00554FED" w:rsidRPr="009B3346" w:rsidRDefault="00554FED" w:rsidP="00554FED">
      <w:r w:rsidRPr="009B3346">
        <w:t xml:space="preserve">In the long term, the technological macro-environment is arguably more favourable to Chase UK due to the democratisation of digital banking technology that removes the technological advantages of Monzo as the first-mover; and </w:t>
      </w:r>
      <w:r w:rsidR="00770FBE" w:rsidRPr="009B3346">
        <w:t>JPMorgan’s</w:t>
      </w:r>
      <w:r w:rsidRPr="009B3346">
        <w:t xml:space="preserve"> ability to invest, which makes it possible to engage in perennial technological improvement (Porter and Heppelmann, 2020). The regulatory environment, on the other hand, introduces a more subtle competitive landscape: agility and knowledge of UK-specific fintech regulations can have benefits of is rapid product iteration that cannot be easily replicated by Chase UK which has a more bureaucratic compliance set-up (Kotler and Keller, 2021).</w:t>
      </w:r>
    </w:p>
    <w:p w14:paraId="34B0D399" w14:textId="77777777" w:rsidR="00554FED" w:rsidRPr="009B3346" w:rsidRDefault="00554FED">
      <w:pPr>
        <w:spacing w:line="259" w:lineRule="auto"/>
        <w:jc w:val="left"/>
      </w:pPr>
      <w:r w:rsidRPr="009B3346">
        <w:br w:type="page"/>
      </w:r>
    </w:p>
    <w:p w14:paraId="7B99BEC1" w14:textId="146653FD" w:rsidR="00554FED" w:rsidRPr="009B3346" w:rsidRDefault="00554FED" w:rsidP="00554FED">
      <w:pPr>
        <w:pStyle w:val="Heading1"/>
        <w:rPr>
          <w:rFonts w:cs="Times New Roman"/>
        </w:rPr>
      </w:pPr>
      <w:bookmarkStart w:id="10" w:name="_Toc225456351"/>
      <w:r w:rsidRPr="009B3346">
        <w:rPr>
          <w:rFonts w:cs="Times New Roman"/>
        </w:rPr>
        <w:t>Conclusion</w:t>
      </w:r>
      <w:bookmarkEnd w:id="10"/>
    </w:p>
    <w:p w14:paraId="1E51FD98" w14:textId="1DCEF909" w:rsidR="00554FED" w:rsidRPr="009B3346" w:rsidRDefault="00554FED" w:rsidP="00554FED">
      <w:r w:rsidRPr="009B3346">
        <w:t>This report has critically studied the ways in which two macro-environmental forces namely, the technological environment and regulatory-political environment, have presented unique opportunities and threats to Monzo and Chase UK as a leader and follower in the UK digital banking sector respectively. By using Porters Strategies of generic strategy and the theory of Ansof</w:t>
      </w:r>
      <w:r w:rsidR="00AA6EF2">
        <w:t>f</w:t>
      </w:r>
      <w:r w:rsidRPr="009B3346">
        <w:t xml:space="preserve">s Growth strategy, the analysis shows that despite Monzo gaining a good market position based on their option in differentiation strategy and advantages of first mover, the competitive threat posed by Chase UK using resource-based leadership and differentiation model combined with a vigorous entry into the market cannot be overlooked. </w:t>
      </w:r>
    </w:p>
    <w:p w14:paraId="0B13406F" w14:textId="77777777" w:rsidR="00554FED" w:rsidRPr="009B3346" w:rsidRDefault="00554FED">
      <w:pPr>
        <w:spacing w:line="259" w:lineRule="auto"/>
        <w:jc w:val="left"/>
      </w:pPr>
      <w:r w:rsidRPr="009B3346">
        <w:br w:type="page"/>
      </w:r>
    </w:p>
    <w:p w14:paraId="1C4ECD69" w14:textId="00E8C49B" w:rsidR="00554FED" w:rsidRPr="009B3346" w:rsidRDefault="00554FED" w:rsidP="00554FED">
      <w:pPr>
        <w:pStyle w:val="Heading1"/>
        <w:rPr>
          <w:rFonts w:cs="Times New Roman"/>
        </w:rPr>
      </w:pPr>
      <w:bookmarkStart w:id="11" w:name="_Toc225456352"/>
      <w:r w:rsidRPr="009B3346">
        <w:rPr>
          <w:rFonts w:cs="Times New Roman"/>
        </w:rPr>
        <w:t>References</w:t>
      </w:r>
      <w:bookmarkEnd w:id="11"/>
    </w:p>
    <w:p w14:paraId="5C660B89" w14:textId="77777777" w:rsidR="00554FED" w:rsidRPr="009B3346" w:rsidRDefault="00554FED" w:rsidP="00F55950">
      <w:r w:rsidRPr="009B3346">
        <w:t>Akbar, Y.H. and Tracogna, A. (2020) 'The digital banking revolution: How fintech firms are transforming the retail banking industry through disruptive innovation', </w:t>
      </w:r>
      <w:r w:rsidRPr="009B3346">
        <w:rPr>
          <w:i/>
          <w:iCs/>
        </w:rPr>
        <w:t>International Journal of Financial Studies</w:t>
      </w:r>
      <w:r w:rsidRPr="009B3346">
        <w:t>, 8(2), pp. 1–18.</w:t>
      </w:r>
    </w:p>
    <w:p w14:paraId="51D56E52" w14:textId="77777777" w:rsidR="00554FED" w:rsidRPr="009B3346" w:rsidRDefault="00554FED" w:rsidP="00F55950">
      <w:r w:rsidRPr="009B3346">
        <w:t>Anagnostopoulos, I. (2021) 'Fintech and regtech: Impact on regulators and banks', </w:t>
      </w:r>
      <w:r w:rsidRPr="009B3346">
        <w:rPr>
          <w:i/>
          <w:iCs/>
        </w:rPr>
        <w:t>Journal of Economics and Business</w:t>
      </w:r>
      <w:r w:rsidRPr="009B3346">
        <w:t>, 113, pp. 1–20.</w:t>
      </w:r>
    </w:p>
    <w:p w14:paraId="03F61AAE" w14:textId="77777777" w:rsidR="00554FED" w:rsidRPr="009B3346" w:rsidRDefault="00554FED" w:rsidP="00F55950">
      <w:r w:rsidRPr="009B3346">
        <w:t>Ansoff, H.I., Kipley, D., Lewis, A.O., Helm-Stevens, R. and Ansoff, R. (2022) </w:t>
      </w:r>
      <w:r w:rsidRPr="009B3346">
        <w:rPr>
          <w:i/>
          <w:iCs/>
        </w:rPr>
        <w:t>Implanting Strategic Management</w:t>
      </w:r>
      <w:r w:rsidRPr="009B3346">
        <w:t>. 4th edn. Cham: Springer.</w:t>
      </w:r>
    </w:p>
    <w:p w14:paraId="136A455A" w14:textId="77777777" w:rsidR="00554FED" w:rsidRPr="009B3346" w:rsidRDefault="00554FED" w:rsidP="00F55950">
      <w:r w:rsidRPr="009B3346">
        <w:t>Bradford, T. (2023) 'Neobanks and the future of banking: Competitive dynamics in digital finance', </w:t>
      </w:r>
      <w:r w:rsidRPr="009B3346">
        <w:rPr>
          <w:i/>
          <w:iCs/>
        </w:rPr>
        <w:t>Federal Reserve Bank of Kansas City Payments System Research Briefing</w:t>
      </w:r>
      <w:r w:rsidRPr="009B3346">
        <w:t>, March, pp. 1–8.</w:t>
      </w:r>
    </w:p>
    <w:p w14:paraId="6EF353C0" w14:textId="77777777" w:rsidR="00554FED" w:rsidRPr="009B3346" w:rsidRDefault="00554FED" w:rsidP="00F55950">
      <w:r w:rsidRPr="009B3346">
        <w:t>Buchak, G., Matvos, G., Piskorski, T. and Seru, A. (2024) 'Fintech, regulatory arbitrage, and the rise of shadow banks', </w:t>
      </w:r>
      <w:r w:rsidRPr="009B3346">
        <w:rPr>
          <w:i/>
          <w:iCs/>
        </w:rPr>
        <w:t>Journal of Financial Economics</w:t>
      </w:r>
      <w:r w:rsidRPr="009B3346">
        <w:t>, 154(1), pp. 1–25.</w:t>
      </w:r>
    </w:p>
    <w:p w14:paraId="07E0E696" w14:textId="77777777" w:rsidR="00554FED" w:rsidRPr="009B3346" w:rsidRDefault="00554FED" w:rsidP="00F55950">
      <w:r w:rsidRPr="009B3346">
        <w:t>Diener, F. and Špaček, M. (2021) 'Digital transformation in banking: A managerial perspective on barriers to change', </w:t>
      </w:r>
      <w:r w:rsidRPr="009B3346">
        <w:rPr>
          <w:i/>
          <w:iCs/>
        </w:rPr>
        <w:t>Sustainability</w:t>
      </w:r>
      <w:r w:rsidRPr="009B3346">
        <w:t>, 13(4), pp. 1–19.</w:t>
      </w:r>
    </w:p>
    <w:p w14:paraId="59FAC974" w14:textId="77777777" w:rsidR="00554FED" w:rsidRPr="009B3346" w:rsidRDefault="00554FED" w:rsidP="00F55950">
      <w:r w:rsidRPr="009B3346">
        <w:t>Drummond, G., Ensor, J. and Ashford, R. (2020) </w:t>
      </w:r>
      <w:r w:rsidRPr="009B3346">
        <w:rPr>
          <w:i/>
          <w:iCs/>
        </w:rPr>
        <w:t>Strategic Marketing: Planning and Control</w:t>
      </w:r>
      <w:r w:rsidRPr="009B3346">
        <w:t>. 5th edn. London: Red Globe Press.</w:t>
      </w:r>
    </w:p>
    <w:p w14:paraId="050F537E" w14:textId="77777777" w:rsidR="00554FED" w:rsidRPr="009B3346" w:rsidRDefault="00554FED" w:rsidP="00F55950">
      <w:r w:rsidRPr="009B3346">
        <w:t>Johnson, G., Whittington, R., Regnér, P., Angwin, D. and Scholes, K. (2020) </w:t>
      </w:r>
      <w:r w:rsidRPr="009B3346">
        <w:rPr>
          <w:i/>
          <w:iCs/>
        </w:rPr>
        <w:t>Exploring Strategy: Text and Cases</w:t>
      </w:r>
      <w:r w:rsidRPr="009B3346">
        <w:t>. 12th edn. Harlow: Pearson.</w:t>
      </w:r>
    </w:p>
    <w:p w14:paraId="3802AEEA" w14:textId="77777777" w:rsidR="00554FED" w:rsidRPr="009B3346" w:rsidRDefault="00554FED" w:rsidP="00F55950">
      <w:r w:rsidRPr="009B3346">
        <w:t>Kotler, P. and Keller, K.L. (2021) </w:t>
      </w:r>
      <w:r w:rsidRPr="009B3346">
        <w:rPr>
          <w:i/>
          <w:iCs/>
        </w:rPr>
        <w:t>Marketing Management</w:t>
      </w:r>
      <w:r w:rsidRPr="009B3346">
        <w:t>. 16th edn. Harlow: Pearson.</w:t>
      </w:r>
    </w:p>
    <w:p w14:paraId="59FD0BF1" w14:textId="77777777" w:rsidR="00554FED" w:rsidRPr="009B3346" w:rsidRDefault="00554FED" w:rsidP="00F55950">
      <w:r w:rsidRPr="009B3346">
        <w:t>Lagna, A. and Ravishankar, M.N. (2022) 'Making the world a better place with fintech research', </w:t>
      </w:r>
      <w:r w:rsidRPr="009B3346">
        <w:rPr>
          <w:i/>
          <w:iCs/>
        </w:rPr>
        <w:t>Information Systems Journal</w:t>
      </w:r>
      <w:r w:rsidRPr="009B3346">
        <w:t>, 32(1), pp. 61–84.</w:t>
      </w:r>
    </w:p>
    <w:p w14:paraId="5BBFFA96" w14:textId="77777777" w:rsidR="00554FED" w:rsidRPr="009B3346" w:rsidRDefault="00554FED" w:rsidP="00F55950">
      <w:r w:rsidRPr="009B3346">
        <w:t>Mention, A.L. (2021) 'The age of FinTech: Implications for research, policy and practice', </w:t>
      </w:r>
      <w:r w:rsidRPr="009B3346">
        <w:rPr>
          <w:i/>
          <w:iCs/>
        </w:rPr>
        <w:t>Journal of FinTech</w:t>
      </w:r>
      <w:r w:rsidRPr="009B3346">
        <w:t>, 1(1), pp. 1–14.</w:t>
      </w:r>
    </w:p>
    <w:p w14:paraId="6EFD24C1" w14:textId="77777777" w:rsidR="00554FED" w:rsidRPr="009B3346" w:rsidRDefault="00554FED" w:rsidP="00F55950">
      <w:r w:rsidRPr="009B3346">
        <w:t>Moro-Visconti, R. (2021) </w:t>
      </w:r>
      <w:r w:rsidRPr="009B3346">
        <w:rPr>
          <w:i/>
          <w:iCs/>
        </w:rPr>
        <w:t>MicroFinTech: Competition and Cooperation between FinTech and Microfinance</w:t>
      </w:r>
      <w:r w:rsidRPr="009B3346">
        <w:t>. Cham: Springer.</w:t>
      </w:r>
    </w:p>
    <w:p w14:paraId="0077FF45" w14:textId="77777777" w:rsidR="00554FED" w:rsidRPr="009B3346" w:rsidRDefault="00554FED" w:rsidP="00F55950">
      <w:r w:rsidRPr="009B3346">
        <w:t>Porter, M.E. and Heppelmann, J.E. (2020) 'How smart, connected products are transforming competition', </w:t>
      </w:r>
      <w:r w:rsidRPr="009B3346">
        <w:rPr>
          <w:i/>
          <w:iCs/>
        </w:rPr>
        <w:t>Harvard Business Review Digital Articles</w:t>
      </w:r>
      <w:r w:rsidRPr="009B3346">
        <w:t>, pp. 1–23. Available at: </w:t>
      </w:r>
      <w:hyperlink r:id="rId17" w:history="1">
        <w:r w:rsidRPr="009B3346">
          <w:rPr>
            <w:rStyle w:val="Hyperlink"/>
          </w:rPr>
          <w:t>https://hbr.org</w:t>
        </w:r>
      </w:hyperlink>
      <w:r w:rsidRPr="009B3346">
        <w:t> (Accessed: 26 March 2026).</w:t>
      </w:r>
    </w:p>
    <w:p w14:paraId="1688B6FC" w14:textId="77777777" w:rsidR="00554FED" w:rsidRPr="009B3346" w:rsidRDefault="00554FED" w:rsidP="00F55950">
      <w:r w:rsidRPr="009B3346">
        <w:t>Sahay, R., von Allmen, U.E., Lahreche, A., Khera, P., Ogawa, S., Bazarbash, M. and Beaton, K. (2020) </w:t>
      </w:r>
      <w:r w:rsidRPr="009B3346">
        <w:rPr>
          <w:i/>
          <w:iCs/>
        </w:rPr>
        <w:t>The Promise of Fintech: Financial Inclusion in the Post COVID-19 Era</w:t>
      </w:r>
      <w:r w:rsidRPr="009B3346">
        <w:t>. Washington, DC: International Monetary Fund.</w:t>
      </w:r>
    </w:p>
    <w:p w14:paraId="15E0AEE0" w14:textId="77777777" w:rsidR="00554FED" w:rsidRPr="009B3346" w:rsidRDefault="00554FED" w:rsidP="00F55950">
      <w:r w:rsidRPr="009B3346">
        <w:t>Shankar, V. and Kushwaha, T. (2023) 'Digital marketing strategy in the era of artificial intelligence and big data', </w:t>
      </w:r>
      <w:r w:rsidRPr="009B3346">
        <w:rPr>
          <w:i/>
          <w:iCs/>
        </w:rPr>
        <w:t>Journal of the Academy of Marketing Science</w:t>
      </w:r>
      <w:r w:rsidRPr="009B3346">
        <w:t>, 51(3), pp. 519–537.</w:t>
      </w:r>
    </w:p>
    <w:p w14:paraId="67A197BC" w14:textId="77777777" w:rsidR="00554FED" w:rsidRPr="009B3346" w:rsidRDefault="00554FED" w:rsidP="00F55950">
      <w:r w:rsidRPr="009B3346">
        <w:t>Tanda, A. and Schena, C.-M. (2022) </w:t>
      </w:r>
      <w:r w:rsidRPr="009B3346">
        <w:rPr>
          <w:i/>
          <w:iCs/>
        </w:rPr>
        <w:t>FinTech, BigTech and Banks: Digitalisation and Its Impact on Banking Business Models</w:t>
      </w:r>
      <w:r w:rsidRPr="009B3346">
        <w:t>. Cham: Palgrave Macmillan.</w:t>
      </w:r>
    </w:p>
    <w:p w14:paraId="7CCB1CB0" w14:textId="77777777" w:rsidR="00554FED" w:rsidRPr="009B3346" w:rsidRDefault="00554FED" w:rsidP="00554FED"/>
    <w:sectPr w:rsidR="00554FED" w:rsidRPr="009B3346" w:rsidSect="005B077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Aptos">
    <w:panose1 w:val="020B0004020202020204"/>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EA94604"/>
    <w:multiLevelType w:val="multilevel"/>
    <w:tmpl w:val="A52AD7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638204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D461E"/>
    <w:rsid w:val="0002524D"/>
    <w:rsid w:val="000734F1"/>
    <w:rsid w:val="00083DB1"/>
    <w:rsid w:val="000B397A"/>
    <w:rsid w:val="000C4883"/>
    <w:rsid w:val="00134C71"/>
    <w:rsid w:val="001E4043"/>
    <w:rsid w:val="00203B26"/>
    <w:rsid w:val="00342E55"/>
    <w:rsid w:val="003443E4"/>
    <w:rsid w:val="003A3AE3"/>
    <w:rsid w:val="003D1645"/>
    <w:rsid w:val="00447A3C"/>
    <w:rsid w:val="00484564"/>
    <w:rsid w:val="00500DFF"/>
    <w:rsid w:val="005145D6"/>
    <w:rsid w:val="00524976"/>
    <w:rsid w:val="00554FED"/>
    <w:rsid w:val="005740D6"/>
    <w:rsid w:val="005B0773"/>
    <w:rsid w:val="005B60D1"/>
    <w:rsid w:val="005B7631"/>
    <w:rsid w:val="00601C9B"/>
    <w:rsid w:val="00623A22"/>
    <w:rsid w:val="00684D45"/>
    <w:rsid w:val="006C7643"/>
    <w:rsid w:val="00731EDD"/>
    <w:rsid w:val="0075763C"/>
    <w:rsid w:val="00770FBE"/>
    <w:rsid w:val="007E6734"/>
    <w:rsid w:val="008254FB"/>
    <w:rsid w:val="008405E5"/>
    <w:rsid w:val="00877076"/>
    <w:rsid w:val="008B307B"/>
    <w:rsid w:val="008F1441"/>
    <w:rsid w:val="00947E55"/>
    <w:rsid w:val="00970289"/>
    <w:rsid w:val="009B3346"/>
    <w:rsid w:val="009C1929"/>
    <w:rsid w:val="009D461E"/>
    <w:rsid w:val="009F07E5"/>
    <w:rsid w:val="009F7AA9"/>
    <w:rsid w:val="00A80C90"/>
    <w:rsid w:val="00A82C7B"/>
    <w:rsid w:val="00AA6EF2"/>
    <w:rsid w:val="00AF04C1"/>
    <w:rsid w:val="00B05D4F"/>
    <w:rsid w:val="00B61CC7"/>
    <w:rsid w:val="00BD6BD6"/>
    <w:rsid w:val="00C25C65"/>
    <w:rsid w:val="00C4180E"/>
    <w:rsid w:val="00C47D80"/>
    <w:rsid w:val="00C71DBF"/>
    <w:rsid w:val="00D04D73"/>
    <w:rsid w:val="00D326C1"/>
    <w:rsid w:val="00DF6AE7"/>
    <w:rsid w:val="00E42778"/>
    <w:rsid w:val="00E527F5"/>
    <w:rsid w:val="00EA005B"/>
    <w:rsid w:val="00EE54D5"/>
    <w:rsid w:val="00F3777A"/>
    <w:rsid w:val="00F55950"/>
    <w:rsid w:val="00F714A5"/>
    <w:rsid w:val="00F732CA"/>
    <w:rsid w:val="00FF668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1544C9"/>
  <w15:chartTrackingRefBased/>
  <w15:docId w15:val="{9498CADE-3423-47E6-BAE1-79BC188E14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Aptos"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1C9B"/>
    <w:pPr>
      <w:spacing w:line="360" w:lineRule="auto"/>
      <w:jc w:val="both"/>
    </w:pPr>
    <w:rPr>
      <w:rFonts w:ascii="Times New Roman" w:hAnsi="Times New Roman" w:cs="Times New Roman"/>
      <w:kern w:val="2"/>
      <w:sz w:val="24"/>
    </w:rPr>
  </w:style>
  <w:style w:type="paragraph" w:styleId="Heading1">
    <w:name w:val="heading 1"/>
    <w:basedOn w:val="Normal"/>
    <w:next w:val="Normal"/>
    <w:link w:val="Heading1Char"/>
    <w:autoRedefine/>
    <w:uiPriority w:val="9"/>
    <w:qFormat/>
    <w:rsid w:val="00447A3C"/>
    <w:pPr>
      <w:keepNext/>
      <w:keepLines/>
      <w:spacing w:before="360" w:after="80"/>
      <w:jc w:val="center"/>
      <w:outlineLvl w:val="0"/>
    </w:pPr>
    <w:rPr>
      <w:rFonts w:eastAsia="Times New Roman" w:cstheme="minorBidi"/>
      <w:sz w:val="32"/>
      <w:szCs w:val="40"/>
    </w:rPr>
  </w:style>
  <w:style w:type="paragraph" w:styleId="Heading2">
    <w:name w:val="heading 2"/>
    <w:basedOn w:val="Normal"/>
    <w:next w:val="Normal"/>
    <w:link w:val="Heading2Char"/>
    <w:autoRedefine/>
    <w:uiPriority w:val="9"/>
    <w:qFormat/>
    <w:rsid w:val="00447A3C"/>
    <w:pPr>
      <w:keepNext/>
      <w:keepLines/>
      <w:spacing w:before="160" w:after="80"/>
      <w:jc w:val="left"/>
      <w:outlineLvl w:val="1"/>
    </w:pPr>
    <w:rPr>
      <w:rFonts w:eastAsia="Times New Roman" w:cstheme="minorBidi"/>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447A3C"/>
    <w:rPr>
      <w:rFonts w:ascii="Times New Roman" w:eastAsia="Times New Roman" w:hAnsi="Times New Roman"/>
      <w:kern w:val="2"/>
      <w:sz w:val="32"/>
      <w:szCs w:val="40"/>
    </w:rPr>
  </w:style>
  <w:style w:type="character" w:customStyle="1" w:styleId="Heading2Char">
    <w:name w:val="Heading 2 Char"/>
    <w:link w:val="Heading2"/>
    <w:uiPriority w:val="9"/>
    <w:rsid w:val="00447A3C"/>
    <w:rPr>
      <w:rFonts w:ascii="Times New Roman" w:eastAsia="Times New Roman" w:hAnsi="Times New Roman"/>
      <w:kern w:val="2"/>
      <w:sz w:val="28"/>
      <w:szCs w:val="32"/>
    </w:rPr>
  </w:style>
  <w:style w:type="character" w:styleId="Hyperlink">
    <w:name w:val="Hyperlink"/>
    <w:basedOn w:val="DefaultParagraphFont"/>
    <w:uiPriority w:val="99"/>
    <w:unhideWhenUsed/>
    <w:rsid w:val="00554FED"/>
    <w:rPr>
      <w:color w:val="0563C1" w:themeColor="hyperlink"/>
      <w:u w:val="single"/>
    </w:rPr>
  </w:style>
  <w:style w:type="character" w:customStyle="1" w:styleId="UnresolvedMention1">
    <w:name w:val="Unresolved Mention1"/>
    <w:basedOn w:val="DefaultParagraphFont"/>
    <w:uiPriority w:val="99"/>
    <w:semiHidden/>
    <w:unhideWhenUsed/>
    <w:rsid w:val="00554FED"/>
    <w:rPr>
      <w:color w:val="605E5C"/>
      <w:shd w:val="clear" w:color="auto" w:fill="E1DFDD"/>
    </w:rPr>
  </w:style>
  <w:style w:type="paragraph" w:styleId="TOCHeading">
    <w:name w:val="TOC Heading"/>
    <w:basedOn w:val="Heading1"/>
    <w:next w:val="Normal"/>
    <w:uiPriority w:val="39"/>
    <w:unhideWhenUsed/>
    <w:qFormat/>
    <w:rsid w:val="00AF04C1"/>
    <w:pPr>
      <w:spacing w:before="240" w:after="0" w:line="259" w:lineRule="auto"/>
      <w:jc w:val="left"/>
      <w:outlineLvl w:val="9"/>
    </w:pPr>
    <w:rPr>
      <w:rFonts w:asciiTheme="majorHAnsi" w:eastAsiaTheme="majorEastAsia" w:hAnsiTheme="majorHAnsi" w:cstheme="majorBidi"/>
      <w:color w:val="2F5496" w:themeColor="accent1" w:themeShade="BF"/>
      <w:kern w:val="0"/>
      <w:szCs w:val="32"/>
      <w:lang w:val="en-US"/>
    </w:rPr>
  </w:style>
  <w:style w:type="paragraph" w:styleId="TOC1">
    <w:name w:val="toc 1"/>
    <w:basedOn w:val="Normal"/>
    <w:next w:val="Normal"/>
    <w:autoRedefine/>
    <w:uiPriority w:val="39"/>
    <w:unhideWhenUsed/>
    <w:rsid w:val="00AF04C1"/>
    <w:pPr>
      <w:spacing w:after="100"/>
    </w:pPr>
  </w:style>
  <w:style w:type="paragraph" w:styleId="TOC2">
    <w:name w:val="toc 2"/>
    <w:basedOn w:val="Normal"/>
    <w:next w:val="Normal"/>
    <w:autoRedefine/>
    <w:uiPriority w:val="39"/>
    <w:unhideWhenUsed/>
    <w:rsid w:val="00AF04C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91041955">
      <w:bodyDiv w:val="1"/>
      <w:marLeft w:val="0"/>
      <w:marRight w:val="0"/>
      <w:marTop w:val="0"/>
      <w:marBottom w:val="0"/>
      <w:divBdr>
        <w:top w:val="none" w:sz="0" w:space="0" w:color="auto"/>
        <w:left w:val="none" w:sz="0" w:space="0" w:color="auto"/>
        <w:bottom w:val="none" w:sz="0" w:space="0" w:color="auto"/>
        <w:right w:val="none" w:sz="0" w:space="0" w:color="auto"/>
      </w:divBdr>
    </w:div>
    <w:div w:id="20279761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0.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5.png"/><Relationship Id="rId17" Type="http://schemas.openxmlformats.org/officeDocument/2006/relationships/hyperlink" Target="https://hbr.org/" TargetMode="External"/><Relationship Id="rId2" Type="http://schemas.openxmlformats.org/officeDocument/2006/relationships/numbering" Target="numbering.xml"/><Relationship Id="rId16"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0.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145BFB-0152-4046-9D24-0BBC47A0DDA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3320</Words>
  <Characters>18930</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dc:creator>
  <cp:keywords/>
  <dc:description/>
  <cp:lastModifiedBy>Ashraful Hoque</cp:lastModifiedBy>
  <cp:revision>2</cp:revision>
  <dcterms:created xsi:type="dcterms:W3CDTF">2026-03-27T08:18:00Z</dcterms:created>
  <dcterms:modified xsi:type="dcterms:W3CDTF">2026-03-27T08:18:00Z</dcterms:modified>
</cp:coreProperties>
</file>