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643AC1" w14:textId="77777777" w:rsidR="007E1526" w:rsidRDefault="00263BCB">
      <w:pPr>
        <w:spacing w:before="200" w:after="200" w:line="360" w:lineRule="auto"/>
        <w:jc w:val="center"/>
        <w:rPr>
          <w:b/>
          <w:bCs/>
          <w:sz w:val="36"/>
          <w:szCs w:val="36"/>
        </w:rPr>
      </w:pPr>
      <w:r>
        <w:rPr>
          <w:b/>
          <w:bCs/>
          <w:sz w:val="36"/>
          <w:szCs w:val="36"/>
        </w:rPr>
        <w:t>Module: International Business Concepts</w:t>
      </w:r>
    </w:p>
    <w:p w14:paraId="532ED3AE" w14:textId="77777777" w:rsidR="007E1526" w:rsidRDefault="00263BCB">
      <w:pPr>
        <w:spacing w:before="200" w:after="200" w:line="360" w:lineRule="auto"/>
        <w:jc w:val="center"/>
        <w:rPr>
          <w:b/>
          <w:bCs/>
          <w:sz w:val="36"/>
          <w:szCs w:val="36"/>
        </w:rPr>
      </w:pPr>
      <w:r>
        <w:rPr>
          <w:b/>
          <w:bCs/>
          <w:sz w:val="36"/>
          <w:szCs w:val="36"/>
        </w:rPr>
        <w:t>Module code: LCMB7034</w:t>
      </w:r>
    </w:p>
    <w:p w14:paraId="467BA4AF" w14:textId="77777777" w:rsidR="007E1526" w:rsidRDefault="00263BCB">
      <w:pPr>
        <w:spacing w:before="200" w:after="200" w:line="360" w:lineRule="auto"/>
        <w:jc w:val="center"/>
        <w:rPr>
          <w:b/>
          <w:bCs/>
          <w:sz w:val="36"/>
          <w:szCs w:val="36"/>
        </w:rPr>
      </w:pPr>
      <w:r>
        <w:rPr>
          <w:b/>
          <w:bCs/>
          <w:sz w:val="36"/>
          <w:szCs w:val="36"/>
        </w:rPr>
        <w:t>Assignment Title: Individual Report</w:t>
      </w:r>
    </w:p>
    <w:p w14:paraId="1069ABB0" w14:textId="77777777" w:rsidR="007E1526" w:rsidRDefault="007E1526">
      <w:pPr>
        <w:spacing w:before="200" w:after="200" w:line="360" w:lineRule="auto"/>
        <w:jc w:val="center"/>
        <w:rPr>
          <w:b/>
          <w:bCs/>
          <w:sz w:val="36"/>
          <w:szCs w:val="36"/>
        </w:rPr>
      </w:pPr>
    </w:p>
    <w:p w14:paraId="40EC37CF" w14:textId="77777777" w:rsidR="007E1526" w:rsidRDefault="007E1526">
      <w:pPr>
        <w:spacing w:before="200" w:after="200" w:line="360" w:lineRule="auto"/>
        <w:jc w:val="both"/>
        <w:rPr>
          <w:sz w:val="24"/>
          <w:szCs w:val="24"/>
        </w:rPr>
      </w:pPr>
    </w:p>
    <w:p w14:paraId="4125D4DE" w14:textId="77777777" w:rsidR="007E1526" w:rsidRDefault="00263BCB">
      <w:pPr>
        <w:spacing w:before="200" w:after="200" w:line="360" w:lineRule="auto"/>
        <w:jc w:val="center"/>
        <w:rPr>
          <w:sz w:val="24"/>
          <w:szCs w:val="24"/>
        </w:rPr>
      </w:pPr>
      <w:r>
        <w:rPr>
          <w:noProof/>
        </w:rPr>
        <w:drawing>
          <wp:inline distT="0" distB="0" distL="0" distR="0" wp14:anchorId="27FC9CFF" wp14:editId="211FA1E1">
            <wp:extent cx="2044968" cy="2726624"/>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044968" cy="2726624"/>
                    </a:xfrm>
                    <a:prstGeom prst="rect">
                      <a:avLst/>
                    </a:prstGeom>
                    <a:ln/>
                  </pic:spPr>
                </pic:pic>
              </a:graphicData>
            </a:graphic>
          </wp:inline>
        </w:drawing>
      </w:r>
    </w:p>
    <w:p w14:paraId="63642C3A" w14:textId="77777777" w:rsidR="007E1526" w:rsidRDefault="007E1526">
      <w:pPr>
        <w:spacing w:before="200" w:after="200" w:line="360" w:lineRule="auto"/>
        <w:jc w:val="both"/>
        <w:rPr>
          <w:sz w:val="24"/>
          <w:szCs w:val="24"/>
        </w:rPr>
      </w:pPr>
    </w:p>
    <w:p w14:paraId="15019646" w14:textId="77777777" w:rsidR="007E1526" w:rsidRDefault="00263BCB">
      <w:pPr>
        <w:spacing w:before="200" w:after="200" w:line="360" w:lineRule="auto"/>
        <w:jc w:val="center"/>
        <w:rPr>
          <w:b/>
          <w:bCs/>
          <w:i/>
          <w:iCs/>
          <w:sz w:val="24"/>
          <w:szCs w:val="24"/>
        </w:rPr>
      </w:pPr>
      <w:r>
        <w:rPr>
          <w:b/>
          <w:bCs/>
          <w:i/>
          <w:iCs/>
          <w:sz w:val="24"/>
          <w:szCs w:val="24"/>
        </w:rPr>
        <w:t>International Market Entry Strategy: A Consultancy Analysis of Target Corporation's Proposed Expansion into Germany</w:t>
      </w:r>
    </w:p>
    <w:p w14:paraId="78EEAFCD" w14:textId="77777777" w:rsidR="007E1526" w:rsidRDefault="007E1526">
      <w:pPr>
        <w:spacing w:before="200" w:after="200" w:line="360" w:lineRule="auto"/>
        <w:jc w:val="center"/>
        <w:rPr>
          <w:b/>
          <w:bCs/>
          <w:i/>
          <w:iCs/>
          <w:sz w:val="24"/>
          <w:szCs w:val="24"/>
        </w:rPr>
      </w:pPr>
    </w:p>
    <w:p w14:paraId="77DB4A66" w14:textId="49FE2F7E" w:rsidR="007E1526" w:rsidRDefault="00263BCB">
      <w:pPr>
        <w:spacing w:before="200" w:after="200" w:line="360" w:lineRule="auto"/>
        <w:jc w:val="center"/>
        <w:rPr>
          <w:b/>
          <w:bCs/>
          <w:sz w:val="24"/>
          <w:szCs w:val="24"/>
        </w:rPr>
      </w:pPr>
      <w:r>
        <w:rPr>
          <w:b/>
          <w:bCs/>
          <w:sz w:val="24"/>
          <w:szCs w:val="24"/>
        </w:rPr>
        <w:t>Student Name:</w:t>
      </w:r>
      <w:r w:rsidR="002A3678">
        <w:rPr>
          <w:b/>
          <w:bCs/>
          <w:sz w:val="24"/>
          <w:szCs w:val="24"/>
          <w:lang w:val="ro-RO"/>
        </w:rPr>
        <w:t xml:space="preserve">Bogdan Pacuraru </w:t>
      </w:r>
    </w:p>
    <w:p w14:paraId="32C21FB8" w14:textId="5B506975" w:rsidR="007E1526" w:rsidRDefault="00263BCB">
      <w:pPr>
        <w:spacing w:before="200" w:after="200" w:line="360" w:lineRule="auto"/>
        <w:jc w:val="center"/>
        <w:rPr>
          <w:sz w:val="24"/>
          <w:szCs w:val="24"/>
        </w:rPr>
      </w:pPr>
      <w:r>
        <w:rPr>
          <w:b/>
          <w:bCs/>
          <w:sz w:val="24"/>
          <w:szCs w:val="24"/>
        </w:rPr>
        <w:t>Student ID:</w:t>
      </w:r>
      <w:r w:rsidR="002A3678">
        <w:rPr>
          <w:b/>
          <w:bCs/>
          <w:sz w:val="24"/>
          <w:szCs w:val="24"/>
          <w:lang w:val="ro-RO"/>
        </w:rPr>
        <w:t>2245496</w:t>
      </w:r>
      <w:r>
        <w:br w:type="page"/>
      </w:r>
    </w:p>
    <w:p w14:paraId="5C47A8A3" w14:textId="77777777" w:rsidR="007E1526" w:rsidRDefault="00263BCB">
      <w:pPr>
        <w:spacing w:before="200" w:after="200" w:line="360" w:lineRule="auto"/>
        <w:jc w:val="both"/>
        <w:rPr>
          <w:b/>
          <w:bCs/>
          <w:sz w:val="24"/>
          <w:szCs w:val="24"/>
        </w:rPr>
      </w:pPr>
      <w:r>
        <w:rPr>
          <w:b/>
          <w:bCs/>
          <w:sz w:val="24"/>
          <w:szCs w:val="24"/>
        </w:rPr>
        <w:t xml:space="preserve">Executive Summary </w:t>
      </w:r>
    </w:p>
    <w:p w14:paraId="441D6A67" w14:textId="77777777" w:rsidR="007E1526" w:rsidRDefault="00263BCB">
      <w:pPr>
        <w:spacing w:before="200" w:after="200" w:line="360" w:lineRule="auto"/>
        <w:jc w:val="both"/>
        <w:rPr>
          <w:sz w:val="24"/>
          <w:szCs w:val="24"/>
        </w:rPr>
      </w:pPr>
      <w:r>
        <w:rPr>
          <w:sz w:val="24"/>
          <w:szCs w:val="24"/>
        </w:rPr>
        <w:t>This consultancy report is based on the strategic appropriateness of the Target Corporation's expansion into neighbouring Germany in Europe, where it has very limited presence. The reason for selecting Germany as a country is that it boasts a massive consumer base, not to mention a complex digital landscape, excellent infrastructure, and a well-developed retail landscape that also has the potential for growth and international diversification. The industry's leg up because of its advantaged factor condition</w:t>
      </w:r>
      <w:r>
        <w:rPr>
          <w:sz w:val="24"/>
          <w:szCs w:val="24"/>
        </w:rPr>
        <w:t>s, as well as its more advanced supporting industries and the more complex nature of the demand, is a positive outlook until the legacies of rivalry and tough regulations pose problems. Given these considerations, the report recommends a phased strategy for a partnership-based market entry method, where Target could learn more about local knowledge and familiarize the local market with Target's products before making a big expenditure to local resources. To achieve this balance between integration and respo</w:t>
      </w:r>
      <w:r>
        <w:rPr>
          <w:sz w:val="24"/>
          <w:szCs w:val="24"/>
        </w:rPr>
        <w:t xml:space="preserve">nsiveness, a global approach to staffing, mostly geocentric, reinforced by good managerial talent from Germany is suggested by EPRG staffing. In sum, Germany is an appealing yet difficult market that demands careful adaptations and managed growth. </w:t>
      </w:r>
    </w:p>
    <w:p w14:paraId="3787CE8E" w14:textId="77777777" w:rsidR="007E1526" w:rsidRDefault="00263BCB">
      <w:pPr>
        <w:pStyle w:val="Titlu1"/>
        <w:keepNext w:val="0"/>
        <w:keepLines w:val="0"/>
      </w:pPr>
      <w:bookmarkStart w:id="0" w:name="_heading=h.i7f8x841sqyn" w:colFirst="0" w:colLast="0"/>
      <w:bookmarkEnd w:id="0"/>
      <w:r>
        <w:br w:type="page"/>
      </w:r>
    </w:p>
    <w:p w14:paraId="700BEEF5" w14:textId="77777777" w:rsidR="007E1526" w:rsidRDefault="00263BCB">
      <w:pPr>
        <w:keepNext/>
        <w:keepLines/>
        <w:pBdr>
          <w:top w:val="nil"/>
          <w:left w:val="nil"/>
          <w:bottom w:val="nil"/>
          <w:right w:val="nil"/>
          <w:between w:val="nil"/>
        </w:pBdr>
        <w:spacing w:before="240" w:line="259" w:lineRule="auto"/>
        <w:jc w:val="center"/>
        <w:rPr>
          <w:rFonts w:ascii="Calibri" w:eastAsia="Calibri" w:hAnsi="Calibri" w:cs="Calibri"/>
          <w:b/>
          <w:bCs/>
          <w:color w:val="366091"/>
          <w:sz w:val="32"/>
          <w:szCs w:val="32"/>
        </w:rPr>
      </w:pPr>
      <w:bookmarkStart w:id="1" w:name="_heading=h.m6yxkz2t7ywp" w:colFirst="0" w:colLast="0"/>
      <w:bookmarkEnd w:id="1"/>
      <w:r>
        <w:rPr>
          <w:rFonts w:ascii="Calibri" w:eastAsia="Calibri" w:hAnsi="Calibri" w:cs="Calibri"/>
          <w:b/>
          <w:bCs/>
          <w:color w:val="366091"/>
          <w:sz w:val="32"/>
          <w:szCs w:val="32"/>
        </w:rPr>
        <w:t>Table of Contents</w:t>
      </w:r>
    </w:p>
    <w:sdt>
      <w:sdtPr>
        <w:id w:val="1768290611"/>
        <w:docPartObj>
          <w:docPartGallery w:val="Table of Contents"/>
          <w:docPartUnique/>
        </w:docPartObj>
      </w:sdtPr>
      <w:sdtEndPr/>
      <w:sdtContent>
        <w:p w14:paraId="14DB10E3" w14:textId="77777777" w:rsidR="007E1526" w:rsidRDefault="00263BCB">
          <w:pPr>
            <w:pBdr>
              <w:top w:val="nil"/>
              <w:left w:val="nil"/>
              <w:bottom w:val="nil"/>
              <w:right w:val="nil"/>
              <w:between w:val="nil"/>
            </w:pBdr>
            <w:tabs>
              <w:tab w:val="right" w:leader="dot" w:pos="9019"/>
            </w:tabs>
            <w:spacing w:after="100" w:line="360" w:lineRule="auto"/>
            <w:jc w:val="both"/>
            <w:rPr>
              <w:rFonts w:ascii="Cambria" w:eastAsia="Cambria" w:hAnsi="Cambria" w:cs="Cambria"/>
              <w:color w:val="000000"/>
              <w:sz w:val="24"/>
              <w:szCs w:val="24"/>
            </w:rPr>
          </w:pPr>
          <w:r>
            <w:fldChar w:fldCharType="begin"/>
          </w:r>
          <w:r>
            <w:instrText xml:space="preserve"> TOC \h \u \z \t "Heading 1,1,Heading 2,2,Heading 3,3,"</w:instrText>
          </w:r>
          <w:r>
            <w:fldChar w:fldCharType="separate"/>
          </w:r>
          <w:hyperlink w:anchor="_heading=h.c3yzqck5baf3">
            <w:r>
              <w:rPr>
                <w:color w:val="000000"/>
                <w:sz w:val="24"/>
                <w:szCs w:val="24"/>
              </w:rPr>
              <w:t>SECTION 1 — INTERNATIONAL MARKET ENTRY ANALYSIS</w:t>
            </w:r>
            <w:r>
              <w:rPr>
                <w:color w:val="000000"/>
                <w:sz w:val="24"/>
                <w:szCs w:val="24"/>
              </w:rPr>
              <w:tab/>
              <w:t>4</w:t>
            </w:r>
          </w:hyperlink>
        </w:p>
        <w:p w14:paraId="33238CE3" w14:textId="77777777" w:rsidR="007E1526" w:rsidRDefault="00263BCB">
          <w:pPr>
            <w:pBdr>
              <w:top w:val="nil"/>
              <w:left w:val="nil"/>
              <w:bottom w:val="nil"/>
              <w:right w:val="nil"/>
              <w:between w:val="nil"/>
            </w:pBdr>
            <w:tabs>
              <w:tab w:val="right" w:leader="dot" w:pos="9019"/>
            </w:tabs>
            <w:spacing w:after="100" w:line="360" w:lineRule="auto"/>
            <w:ind w:left="220"/>
            <w:jc w:val="both"/>
            <w:rPr>
              <w:rFonts w:ascii="Cambria" w:eastAsia="Cambria" w:hAnsi="Cambria" w:cs="Cambria"/>
              <w:color w:val="000000"/>
              <w:sz w:val="24"/>
              <w:szCs w:val="24"/>
            </w:rPr>
          </w:pPr>
          <w:hyperlink w:anchor="_heading=h.xobllikmisdy">
            <w:r>
              <w:rPr>
                <w:color w:val="000000"/>
                <w:sz w:val="24"/>
                <w:szCs w:val="24"/>
              </w:rPr>
              <w:t>1. Introduction to the Consultancy Report</w:t>
            </w:r>
            <w:r>
              <w:rPr>
                <w:color w:val="000000"/>
                <w:sz w:val="24"/>
                <w:szCs w:val="24"/>
              </w:rPr>
              <w:tab/>
              <w:t>4</w:t>
            </w:r>
          </w:hyperlink>
        </w:p>
        <w:p w14:paraId="75E0B1AF" w14:textId="77777777" w:rsidR="007E1526" w:rsidRDefault="00263BCB">
          <w:pPr>
            <w:pBdr>
              <w:top w:val="nil"/>
              <w:left w:val="nil"/>
              <w:bottom w:val="nil"/>
              <w:right w:val="nil"/>
              <w:between w:val="nil"/>
            </w:pBdr>
            <w:tabs>
              <w:tab w:val="right" w:leader="dot" w:pos="9019"/>
            </w:tabs>
            <w:spacing w:after="100" w:line="360" w:lineRule="auto"/>
            <w:ind w:left="220"/>
            <w:jc w:val="both"/>
            <w:rPr>
              <w:rFonts w:ascii="Cambria" w:eastAsia="Cambria" w:hAnsi="Cambria" w:cs="Cambria"/>
              <w:color w:val="000000"/>
              <w:sz w:val="24"/>
              <w:szCs w:val="24"/>
            </w:rPr>
          </w:pPr>
          <w:hyperlink w:anchor="_heading=h.5cyylpcwb0r1">
            <w:r>
              <w:rPr>
                <w:color w:val="000000"/>
                <w:sz w:val="24"/>
                <w:szCs w:val="24"/>
              </w:rPr>
              <w:t>2. Strategic Rationale for International Expansion</w:t>
            </w:r>
            <w:r>
              <w:rPr>
                <w:color w:val="000000"/>
                <w:sz w:val="24"/>
                <w:szCs w:val="24"/>
              </w:rPr>
              <w:tab/>
              <w:t>4</w:t>
            </w:r>
          </w:hyperlink>
        </w:p>
        <w:p w14:paraId="480D82E1" w14:textId="77777777" w:rsidR="007E1526" w:rsidRDefault="00263BCB">
          <w:pPr>
            <w:pBdr>
              <w:top w:val="nil"/>
              <w:left w:val="nil"/>
              <w:bottom w:val="nil"/>
              <w:right w:val="nil"/>
              <w:between w:val="nil"/>
            </w:pBdr>
            <w:tabs>
              <w:tab w:val="right" w:leader="dot" w:pos="9019"/>
            </w:tabs>
            <w:spacing w:after="100" w:line="360" w:lineRule="auto"/>
            <w:ind w:left="440"/>
            <w:jc w:val="both"/>
            <w:rPr>
              <w:rFonts w:ascii="Cambria" w:eastAsia="Cambria" w:hAnsi="Cambria" w:cs="Cambria"/>
              <w:color w:val="000000"/>
              <w:sz w:val="24"/>
              <w:szCs w:val="24"/>
            </w:rPr>
          </w:pPr>
          <w:hyperlink w:anchor="_heading=h.g80845w62hib">
            <w:r>
              <w:rPr>
                <w:color w:val="000000"/>
                <w:sz w:val="24"/>
                <w:szCs w:val="24"/>
              </w:rPr>
              <w:t>2.1 International Trade and Internationalisation</w:t>
            </w:r>
            <w:r>
              <w:rPr>
                <w:color w:val="000000"/>
                <w:sz w:val="24"/>
                <w:szCs w:val="24"/>
              </w:rPr>
              <w:tab/>
              <w:t>4</w:t>
            </w:r>
          </w:hyperlink>
        </w:p>
        <w:p w14:paraId="4962D8C4" w14:textId="77777777" w:rsidR="007E1526" w:rsidRDefault="00263BCB">
          <w:pPr>
            <w:pBdr>
              <w:top w:val="nil"/>
              <w:left w:val="nil"/>
              <w:bottom w:val="nil"/>
              <w:right w:val="nil"/>
              <w:between w:val="nil"/>
            </w:pBdr>
            <w:tabs>
              <w:tab w:val="right" w:leader="dot" w:pos="9019"/>
            </w:tabs>
            <w:spacing w:after="100" w:line="360" w:lineRule="auto"/>
            <w:ind w:left="440"/>
            <w:jc w:val="both"/>
            <w:rPr>
              <w:rFonts w:ascii="Cambria" w:eastAsia="Cambria" w:hAnsi="Cambria" w:cs="Cambria"/>
              <w:color w:val="000000"/>
              <w:sz w:val="24"/>
              <w:szCs w:val="24"/>
            </w:rPr>
          </w:pPr>
          <w:hyperlink w:anchor="_heading=h.xo340lopgywp">
            <w:r>
              <w:rPr>
                <w:color w:val="000000"/>
                <w:sz w:val="24"/>
                <w:szCs w:val="24"/>
              </w:rPr>
              <w:t>2.2 Growth and Market Expansion</w:t>
            </w:r>
            <w:r>
              <w:rPr>
                <w:color w:val="000000"/>
                <w:sz w:val="24"/>
                <w:szCs w:val="24"/>
              </w:rPr>
              <w:tab/>
              <w:t>4</w:t>
            </w:r>
          </w:hyperlink>
        </w:p>
        <w:p w14:paraId="7022A7AC" w14:textId="77777777" w:rsidR="007E1526" w:rsidRDefault="00263BCB">
          <w:pPr>
            <w:pBdr>
              <w:top w:val="nil"/>
              <w:left w:val="nil"/>
              <w:bottom w:val="nil"/>
              <w:right w:val="nil"/>
              <w:between w:val="nil"/>
            </w:pBdr>
            <w:tabs>
              <w:tab w:val="right" w:leader="dot" w:pos="9019"/>
            </w:tabs>
            <w:spacing w:after="100" w:line="360" w:lineRule="auto"/>
            <w:ind w:left="440"/>
            <w:jc w:val="both"/>
            <w:rPr>
              <w:rFonts w:ascii="Cambria" w:eastAsia="Cambria" w:hAnsi="Cambria" w:cs="Cambria"/>
              <w:color w:val="000000"/>
              <w:sz w:val="24"/>
              <w:szCs w:val="24"/>
            </w:rPr>
          </w:pPr>
          <w:hyperlink w:anchor="_heading=h.p1lrwjkwpirm">
            <w:r>
              <w:rPr>
                <w:color w:val="000000"/>
                <w:sz w:val="24"/>
                <w:szCs w:val="24"/>
              </w:rPr>
              <w:t>2.3 Competitive Advantage</w:t>
            </w:r>
            <w:r>
              <w:rPr>
                <w:color w:val="000000"/>
                <w:sz w:val="24"/>
                <w:szCs w:val="24"/>
              </w:rPr>
              <w:tab/>
              <w:t>5</w:t>
            </w:r>
          </w:hyperlink>
        </w:p>
        <w:p w14:paraId="7C8774D5" w14:textId="77777777" w:rsidR="007E1526" w:rsidRDefault="00263BCB">
          <w:pPr>
            <w:pBdr>
              <w:top w:val="nil"/>
              <w:left w:val="nil"/>
              <w:bottom w:val="nil"/>
              <w:right w:val="nil"/>
              <w:between w:val="nil"/>
            </w:pBdr>
            <w:tabs>
              <w:tab w:val="right" w:leader="dot" w:pos="9019"/>
            </w:tabs>
            <w:spacing w:after="100" w:line="360" w:lineRule="auto"/>
            <w:ind w:left="440"/>
            <w:jc w:val="both"/>
            <w:rPr>
              <w:rFonts w:ascii="Cambria" w:eastAsia="Cambria" w:hAnsi="Cambria" w:cs="Cambria"/>
              <w:color w:val="000000"/>
              <w:sz w:val="24"/>
              <w:szCs w:val="24"/>
            </w:rPr>
          </w:pPr>
          <w:hyperlink w:anchor="_heading=h.fkmjjdpfi1d1">
            <w:r>
              <w:rPr>
                <w:color w:val="000000"/>
                <w:sz w:val="24"/>
                <w:szCs w:val="24"/>
              </w:rPr>
              <w:t>2.4 Innovation and Long-Term Strategic Objectives</w:t>
            </w:r>
            <w:r>
              <w:rPr>
                <w:color w:val="000000"/>
                <w:sz w:val="24"/>
                <w:szCs w:val="24"/>
              </w:rPr>
              <w:tab/>
              <w:t>5</w:t>
            </w:r>
          </w:hyperlink>
        </w:p>
        <w:p w14:paraId="7399F940" w14:textId="77777777" w:rsidR="007E1526" w:rsidRDefault="00263BCB">
          <w:pPr>
            <w:pBdr>
              <w:top w:val="nil"/>
              <w:left w:val="nil"/>
              <w:bottom w:val="nil"/>
              <w:right w:val="nil"/>
              <w:between w:val="nil"/>
            </w:pBdr>
            <w:tabs>
              <w:tab w:val="right" w:leader="dot" w:pos="9019"/>
            </w:tabs>
            <w:spacing w:after="100" w:line="360" w:lineRule="auto"/>
            <w:ind w:left="440"/>
            <w:jc w:val="both"/>
            <w:rPr>
              <w:rFonts w:ascii="Cambria" w:eastAsia="Cambria" w:hAnsi="Cambria" w:cs="Cambria"/>
              <w:color w:val="000000"/>
              <w:sz w:val="24"/>
              <w:szCs w:val="24"/>
            </w:rPr>
          </w:pPr>
          <w:hyperlink w:anchor="_heading=h.pvdnr9qz57vl">
            <w:r>
              <w:rPr>
                <w:color w:val="000000"/>
                <w:sz w:val="24"/>
                <w:szCs w:val="24"/>
              </w:rPr>
              <w:t>2.5 Strategic Risks and Overall Rationale</w:t>
            </w:r>
            <w:r>
              <w:rPr>
                <w:color w:val="000000"/>
                <w:sz w:val="24"/>
                <w:szCs w:val="24"/>
              </w:rPr>
              <w:tab/>
              <w:t>6</w:t>
            </w:r>
          </w:hyperlink>
        </w:p>
        <w:p w14:paraId="74FBFF69" w14:textId="77777777" w:rsidR="007E1526" w:rsidRDefault="00263BCB">
          <w:pPr>
            <w:pBdr>
              <w:top w:val="nil"/>
              <w:left w:val="nil"/>
              <w:bottom w:val="nil"/>
              <w:right w:val="nil"/>
              <w:between w:val="nil"/>
            </w:pBdr>
            <w:tabs>
              <w:tab w:val="right" w:leader="dot" w:pos="9019"/>
            </w:tabs>
            <w:spacing w:after="100" w:line="360" w:lineRule="auto"/>
            <w:ind w:left="220"/>
            <w:jc w:val="both"/>
            <w:rPr>
              <w:rFonts w:ascii="Cambria" w:eastAsia="Cambria" w:hAnsi="Cambria" w:cs="Cambria"/>
              <w:color w:val="000000"/>
              <w:sz w:val="24"/>
              <w:szCs w:val="24"/>
            </w:rPr>
          </w:pPr>
          <w:hyperlink w:anchor="_heading=h.vxmv5qcbaksz">
            <w:r>
              <w:rPr>
                <w:color w:val="000000"/>
                <w:sz w:val="24"/>
                <w:szCs w:val="24"/>
              </w:rPr>
              <w:t>3. Host Country Analysis: Porter's Diamond Model</w:t>
            </w:r>
            <w:r>
              <w:rPr>
                <w:color w:val="000000"/>
                <w:sz w:val="24"/>
                <w:szCs w:val="24"/>
              </w:rPr>
              <w:tab/>
              <w:t>6</w:t>
            </w:r>
          </w:hyperlink>
        </w:p>
        <w:p w14:paraId="02826665" w14:textId="77777777" w:rsidR="007E1526" w:rsidRDefault="00263BCB">
          <w:pPr>
            <w:pBdr>
              <w:top w:val="nil"/>
              <w:left w:val="nil"/>
              <w:bottom w:val="nil"/>
              <w:right w:val="nil"/>
              <w:between w:val="nil"/>
            </w:pBdr>
            <w:tabs>
              <w:tab w:val="right" w:leader="dot" w:pos="9019"/>
            </w:tabs>
            <w:spacing w:after="100" w:line="360" w:lineRule="auto"/>
            <w:ind w:left="440"/>
            <w:jc w:val="both"/>
            <w:rPr>
              <w:rFonts w:ascii="Cambria" w:eastAsia="Cambria" w:hAnsi="Cambria" w:cs="Cambria"/>
              <w:color w:val="000000"/>
              <w:sz w:val="24"/>
              <w:szCs w:val="24"/>
            </w:rPr>
          </w:pPr>
          <w:hyperlink w:anchor="_heading=h.2rriwis0wk2x">
            <w:r>
              <w:rPr>
                <w:color w:val="000000"/>
                <w:sz w:val="24"/>
                <w:szCs w:val="24"/>
              </w:rPr>
              <w:t>3.1 Introduction to Porter's Diamond</w:t>
            </w:r>
            <w:r>
              <w:rPr>
                <w:color w:val="000000"/>
                <w:sz w:val="24"/>
                <w:szCs w:val="24"/>
              </w:rPr>
              <w:tab/>
              <w:t>6</w:t>
            </w:r>
          </w:hyperlink>
        </w:p>
        <w:p w14:paraId="5F9EDEEC" w14:textId="77777777" w:rsidR="007E1526" w:rsidRDefault="00263BCB">
          <w:pPr>
            <w:pBdr>
              <w:top w:val="nil"/>
              <w:left w:val="nil"/>
              <w:bottom w:val="nil"/>
              <w:right w:val="nil"/>
              <w:between w:val="nil"/>
            </w:pBdr>
            <w:tabs>
              <w:tab w:val="right" w:leader="dot" w:pos="9019"/>
            </w:tabs>
            <w:spacing w:after="100" w:line="360" w:lineRule="auto"/>
            <w:ind w:left="440"/>
            <w:jc w:val="both"/>
            <w:rPr>
              <w:rFonts w:ascii="Cambria" w:eastAsia="Cambria" w:hAnsi="Cambria" w:cs="Cambria"/>
              <w:color w:val="000000"/>
              <w:sz w:val="24"/>
              <w:szCs w:val="24"/>
            </w:rPr>
          </w:pPr>
          <w:hyperlink w:anchor="_heading=h.hu4bo0ucqu0e">
            <w:r>
              <w:rPr>
                <w:color w:val="000000"/>
                <w:sz w:val="24"/>
                <w:szCs w:val="24"/>
              </w:rPr>
              <w:t>3.2 Factor Conditions</w:t>
            </w:r>
            <w:r>
              <w:rPr>
                <w:color w:val="000000"/>
                <w:sz w:val="24"/>
                <w:szCs w:val="24"/>
              </w:rPr>
              <w:tab/>
              <w:t>6</w:t>
            </w:r>
          </w:hyperlink>
        </w:p>
        <w:p w14:paraId="6CDAE058" w14:textId="77777777" w:rsidR="007E1526" w:rsidRDefault="00263BCB">
          <w:pPr>
            <w:pBdr>
              <w:top w:val="nil"/>
              <w:left w:val="nil"/>
              <w:bottom w:val="nil"/>
              <w:right w:val="nil"/>
              <w:between w:val="nil"/>
            </w:pBdr>
            <w:tabs>
              <w:tab w:val="right" w:leader="dot" w:pos="9019"/>
            </w:tabs>
            <w:spacing w:after="100" w:line="360" w:lineRule="auto"/>
            <w:ind w:left="440"/>
            <w:jc w:val="both"/>
            <w:rPr>
              <w:rFonts w:ascii="Cambria" w:eastAsia="Cambria" w:hAnsi="Cambria" w:cs="Cambria"/>
              <w:color w:val="000000"/>
              <w:sz w:val="24"/>
              <w:szCs w:val="24"/>
            </w:rPr>
          </w:pPr>
          <w:hyperlink w:anchor="_heading=h.di0up2buxmcl">
            <w:r>
              <w:rPr>
                <w:color w:val="000000"/>
                <w:sz w:val="24"/>
                <w:szCs w:val="24"/>
              </w:rPr>
              <w:t>3.3 Demand Conditions</w:t>
            </w:r>
            <w:r>
              <w:rPr>
                <w:color w:val="000000"/>
                <w:sz w:val="24"/>
                <w:szCs w:val="24"/>
              </w:rPr>
              <w:tab/>
              <w:t>7</w:t>
            </w:r>
          </w:hyperlink>
        </w:p>
        <w:p w14:paraId="23DD944B" w14:textId="77777777" w:rsidR="007E1526" w:rsidRDefault="00263BCB">
          <w:pPr>
            <w:pBdr>
              <w:top w:val="nil"/>
              <w:left w:val="nil"/>
              <w:bottom w:val="nil"/>
              <w:right w:val="nil"/>
              <w:between w:val="nil"/>
            </w:pBdr>
            <w:tabs>
              <w:tab w:val="right" w:leader="dot" w:pos="9019"/>
            </w:tabs>
            <w:spacing w:after="100" w:line="360" w:lineRule="auto"/>
            <w:ind w:left="440"/>
            <w:jc w:val="both"/>
            <w:rPr>
              <w:rFonts w:ascii="Cambria" w:eastAsia="Cambria" w:hAnsi="Cambria" w:cs="Cambria"/>
              <w:color w:val="000000"/>
              <w:sz w:val="24"/>
              <w:szCs w:val="24"/>
            </w:rPr>
          </w:pPr>
          <w:hyperlink w:anchor="_heading=h.czt0w22gr66l">
            <w:r>
              <w:rPr>
                <w:color w:val="000000"/>
                <w:sz w:val="24"/>
                <w:szCs w:val="24"/>
              </w:rPr>
              <w:t>3.4 Related and Supporting Industries</w:t>
            </w:r>
            <w:r>
              <w:rPr>
                <w:color w:val="000000"/>
                <w:sz w:val="24"/>
                <w:szCs w:val="24"/>
              </w:rPr>
              <w:tab/>
              <w:t>8</w:t>
            </w:r>
          </w:hyperlink>
        </w:p>
        <w:p w14:paraId="068ED28C" w14:textId="77777777" w:rsidR="007E1526" w:rsidRDefault="00263BCB">
          <w:pPr>
            <w:pBdr>
              <w:top w:val="nil"/>
              <w:left w:val="nil"/>
              <w:bottom w:val="nil"/>
              <w:right w:val="nil"/>
              <w:between w:val="nil"/>
            </w:pBdr>
            <w:tabs>
              <w:tab w:val="right" w:leader="dot" w:pos="9019"/>
            </w:tabs>
            <w:spacing w:after="100" w:line="360" w:lineRule="auto"/>
            <w:ind w:left="440"/>
            <w:jc w:val="both"/>
            <w:rPr>
              <w:rFonts w:ascii="Cambria" w:eastAsia="Cambria" w:hAnsi="Cambria" w:cs="Cambria"/>
              <w:color w:val="000000"/>
              <w:sz w:val="24"/>
              <w:szCs w:val="24"/>
            </w:rPr>
          </w:pPr>
          <w:hyperlink w:anchor="_heading=h.j7h0jp2oo98o">
            <w:r>
              <w:rPr>
                <w:color w:val="000000"/>
                <w:sz w:val="24"/>
                <w:szCs w:val="24"/>
              </w:rPr>
              <w:t>3.5 Firm Strategy, Structure and Rivalry</w:t>
            </w:r>
            <w:r>
              <w:rPr>
                <w:color w:val="000000"/>
                <w:sz w:val="24"/>
                <w:szCs w:val="24"/>
              </w:rPr>
              <w:tab/>
              <w:t>9</w:t>
            </w:r>
          </w:hyperlink>
        </w:p>
        <w:p w14:paraId="302FFB69" w14:textId="77777777" w:rsidR="007E1526" w:rsidRDefault="00263BCB">
          <w:pPr>
            <w:pBdr>
              <w:top w:val="nil"/>
              <w:left w:val="nil"/>
              <w:bottom w:val="nil"/>
              <w:right w:val="nil"/>
              <w:between w:val="nil"/>
            </w:pBdr>
            <w:tabs>
              <w:tab w:val="right" w:leader="dot" w:pos="9019"/>
            </w:tabs>
            <w:spacing w:after="100" w:line="360" w:lineRule="auto"/>
            <w:ind w:left="440"/>
            <w:jc w:val="both"/>
            <w:rPr>
              <w:rFonts w:ascii="Cambria" w:eastAsia="Cambria" w:hAnsi="Cambria" w:cs="Cambria"/>
              <w:color w:val="000000"/>
              <w:sz w:val="24"/>
              <w:szCs w:val="24"/>
            </w:rPr>
          </w:pPr>
          <w:hyperlink w:anchor="_heading=h.kb27he9ijvt4">
            <w:r>
              <w:rPr>
                <w:color w:val="000000"/>
                <w:sz w:val="24"/>
                <w:szCs w:val="24"/>
              </w:rPr>
              <w:t>3.6 Government and Chance</w:t>
            </w:r>
            <w:r>
              <w:rPr>
                <w:color w:val="000000"/>
                <w:sz w:val="24"/>
                <w:szCs w:val="24"/>
              </w:rPr>
              <w:tab/>
              <w:t>9</w:t>
            </w:r>
          </w:hyperlink>
        </w:p>
        <w:p w14:paraId="3BCCA79D" w14:textId="77777777" w:rsidR="007E1526" w:rsidRDefault="00263BCB">
          <w:pPr>
            <w:pBdr>
              <w:top w:val="nil"/>
              <w:left w:val="nil"/>
              <w:bottom w:val="nil"/>
              <w:right w:val="nil"/>
              <w:between w:val="nil"/>
            </w:pBdr>
            <w:tabs>
              <w:tab w:val="right" w:leader="dot" w:pos="9019"/>
            </w:tabs>
            <w:spacing w:after="100" w:line="360" w:lineRule="auto"/>
            <w:ind w:left="440"/>
            <w:jc w:val="both"/>
            <w:rPr>
              <w:rFonts w:ascii="Cambria" w:eastAsia="Cambria" w:hAnsi="Cambria" w:cs="Cambria"/>
              <w:color w:val="000000"/>
              <w:sz w:val="24"/>
              <w:szCs w:val="24"/>
            </w:rPr>
          </w:pPr>
          <w:hyperlink w:anchor="_heading=h.6arkyionem2d">
            <w:r>
              <w:rPr>
                <w:color w:val="000000"/>
                <w:sz w:val="24"/>
                <w:szCs w:val="24"/>
              </w:rPr>
              <w:t>3.7 Overall Porter Diamond Evaluation</w:t>
            </w:r>
            <w:r>
              <w:rPr>
                <w:color w:val="000000"/>
                <w:sz w:val="24"/>
                <w:szCs w:val="24"/>
              </w:rPr>
              <w:tab/>
              <w:t>10</w:t>
            </w:r>
          </w:hyperlink>
        </w:p>
        <w:p w14:paraId="3546FBEA" w14:textId="77777777" w:rsidR="007E1526" w:rsidRDefault="00263BCB">
          <w:pPr>
            <w:pBdr>
              <w:top w:val="nil"/>
              <w:left w:val="nil"/>
              <w:bottom w:val="nil"/>
              <w:right w:val="nil"/>
              <w:between w:val="nil"/>
            </w:pBdr>
            <w:tabs>
              <w:tab w:val="right" w:leader="dot" w:pos="9019"/>
            </w:tabs>
            <w:spacing w:after="100" w:line="360" w:lineRule="auto"/>
            <w:ind w:left="220"/>
            <w:jc w:val="both"/>
            <w:rPr>
              <w:rFonts w:ascii="Cambria" w:eastAsia="Cambria" w:hAnsi="Cambria" w:cs="Cambria"/>
              <w:color w:val="000000"/>
              <w:sz w:val="24"/>
              <w:szCs w:val="24"/>
            </w:rPr>
          </w:pPr>
          <w:hyperlink w:anchor="_heading=h.6t7n1ldpvlk2">
            <w:r>
              <w:rPr>
                <w:color w:val="000000"/>
                <w:sz w:val="24"/>
                <w:szCs w:val="24"/>
              </w:rPr>
              <w:t>4. Entry Mode Strategy and Strategic Synthesis</w:t>
            </w:r>
            <w:r>
              <w:rPr>
                <w:color w:val="000000"/>
                <w:sz w:val="24"/>
                <w:szCs w:val="24"/>
              </w:rPr>
              <w:tab/>
              <w:t>10</w:t>
            </w:r>
          </w:hyperlink>
        </w:p>
        <w:p w14:paraId="7F3B1D97" w14:textId="77777777" w:rsidR="007E1526" w:rsidRDefault="00263BCB">
          <w:pPr>
            <w:pBdr>
              <w:top w:val="nil"/>
              <w:left w:val="nil"/>
              <w:bottom w:val="nil"/>
              <w:right w:val="nil"/>
              <w:between w:val="nil"/>
            </w:pBdr>
            <w:tabs>
              <w:tab w:val="right" w:leader="dot" w:pos="9019"/>
            </w:tabs>
            <w:spacing w:after="100" w:line="360" w:lineRule="auto"/>
            <w:ind w:left="440"/>
            <w:jc w:val="both"/>
            <w:rPr>
              <w:rFonts w:ascii="Cambria" w:eastAsia="Cambria" w:hAnsi="Cambria" w:cs="Cambria"/>
              <w:color w:val="000000"/>
              <w:sz w:val="24"/>
              <w:szCs w:val="24"/>
            </w:rPr>
          </w:pPr>
          <w:hyperlink w:anchor="_heading=h.czzbfqjhlgug">
            <w:r>
              <w:rPr>
                <w:color w:val="000000"/>
                <w:sz w:val="24"/>
                <w:szCs w:val="24"/>
              </w:rPr>
              <w:t>4.1 Target's Historical International Entry Pattern</w:t>
            </w:r>
            <w:r>
              <w:rPr>
                <w:color w:val="000000"/>
                <w:sz w:val="24"/>
                <w:szCs w:val="24"/>
              </w:rPr>
              <w:tab/>
              <w:t>10</w:t>
            </w:r>
          </w:hyperlink>
        </w:p>
        <w:p w14:paraId="19EB250A" w14:textId="77777777" w:rsidR="007E1526" w:rsidRDefault="00263BCB">
          <w:pPr>
            <w:pBdr>
              <w:top w:val="nil"/>
              <w:left w:val="nil"/>
              <w:bottom w:val="nil"/>
              <w:right w:val="nil"/>
              <w:between w:val="nil"/>
            </w:pBdr>
            <w:tabs>
              <w:tab w:val="right" w:leader="dot" w:pos="9019"/>
            </w:tabs>
            <w:spacing w:after="100" w:line="360" w:lineRule="auto"/>
            <w:ind w:left="440"/>
            <w:jc w:val="both"/>
            <w:rPr>
              <w:rFonts w:ascii="Cambria" w:eastAsia="Cambria" w:hAnsi="Cambria" w:cs="Cambria"/>
              <w:color w:val="000000"/>
              <w:sz w:val="24"/>
              <w:szCs w:val="24"/>
            </w:rPr>
          </w:pPr>
          <w:hyperlink w:anchor="_heading=h.l7qe67aj8ln4">
            <w:r>
              <w:rPr>
                <w:color w:val="000000"/>
                <w:sz w:val="24"/>
                <w:szCs w:val="24"/>
              </w:rPr>
              <w:t>4.2 Entry Mode Options</w:t>
            </w:r>
            <w:r>
              <w:rPr>
                <w:color w:val="000000"/>
                <w:sz w:val="24"/>
                <w:szCs w:val="24"/>
              </w:rPr>
              <w:tab/>
              <w:t>11</w:t>
            </w:r>
          </w:hyperlink>
        </w:p>
        <w:p w14:paraId="6CF8BBC9" w14:textId="77777777" w:rsidR="007E1526" w:rsidRDefault="00263BCB">
          <w:pPr>
            <w:pBdr>
              <w:top w:val="nil"/>
              <w:left w:val="nil"/>
              <w:bottom w:val="nil"/>
              <w:right w:val="nil"/>
              <w:between w:val="nil"/>
            </w:pBdr>
            <w:tabs>
              <w:tab w:val="right" w:leader="dot" w:pos="9019"/>
            </w:tabs>
            <w:spacing w:after="100" w:line="360" w:lineRule="auto"/>
            <w:ind w:left="440"/>
            <w:jc w:val="both"/>
            <w:rPr>
              <w:rFonts w:ascii="Cambria" w:eastAsia="Cambria" w:hAnsi="Cambria" w:cs="Cambria"/>
              <w:color w:val="000000"/>
              <w:sz w:val="24"/>
              <w:szCs w:val="24"/>
            </w:rPr>
          </w:pPr>
          <w:hyperlink w:anchor="_heading=h.55jhd1nxjfug">
            <w:r>
              <w:rPr>
                <w:color w:val="000000"/>
                <w:sz w:val="24"/>
                <w:szCs w:val="24"/>
              </w:rPr>
              <w:t>4.3 Strategic Fit with Germany</w:t>
            </w:r>
            <w:r>
              <w:rPr>
                <w:color w:val="000000"/>
                <w:sz w:val="24"/>
                <w:szCs w:val="24"/>
              </w:rPr>
              <w:tab/>
              <w:t>12</w:t>
            </w:r>
          </w:hyperlink>
        </w:p>
        <w:p w14:paraId="1D48EEFB" w14:textId="77777777" w:rsidR="007E1526" w:rsidRDefault="00263BCB">
          <w:pPr>
            <w:pBdr>
              <w:top w:val="nil"/>
              <w:left w:val="nil"/>
              <w:bottom w:val="nil"/>
              <w:right w:val="nil"/>
              <w:between w:val="nil"/>
            </w:pBdr>
            <w:tabs>
              <w:tab w:val="right" w:leader="dot" w:pos="9019"/>
            </w:tabs>
            <w:spacing w:after="100" w:line="360" w:lineRule="auto"/>
            <w:ind w:left="440"/>
            <w:jc w:val="both"/>
            <w:rPr>
              <w:rFonts w:ascii="Cambria" w:eastAsia="Cambria" w:hAnsi="Cambria" w:cs="Cambria"/>
              <w:color w:val="000000"/>
              <w:sz w:val="24"/>
              <w:szCs w:val="24"/>
            </w:rPr>
          </w:pPr>
          <w:hyperlink w:anchor="_heading=h.ktqvmz4s7j39">
            <w:r>
              <w:rPr>
                <w:color w:val="000000"/>
                <w:sz w:val="24"/>
                <w:szCs w:val="24"/>
              </w:rPr>
              <w:t>4.4 Recommended Entry Mode</w:t>
            </w:r>
            <w:r>
              <w:rPr>
                <w:color w:val="000000"/>
                <w:sz w:val="24"/>
                <w:szCs w:val="24"/>
              </w:rPr>
              <w:tab/>
              <w:t>12</w:t>
            </w:r>
          </w:hyperlink>
        </w:p>
        <w:p w14:paraId="1204C850" w14:textId="77777777" w:rsidR="007E1526" w:rsidRDefault="00263BCB">
          <w:pPr>
            <w:pBdr>
              <w:top w:val="nil"/>
              <w:left w:val="nil"/>
              <w:bottom w:val="nil"/>
              <w:right w:val="nil"/>
              <w:between w:val="nil"/>
            </w:pBdr>
            <w:tabs>
              <w:tab w:val="right" w:leader="dot" w:pos="9019"/>
            </w:tabs>
            <w:spacing w:after="100" w:line="360" w:lineRule="auto"/>
            <w:ind w:left="220"/>
            <w:jc w:val="both"/>
            <w:rPr>
              <w:rFonts w:ascii="Cambria" w:eastAsia="Cambria" w:hAnsi="Cambria" w:cs="Cambria"/>
              <w:color w:val="000000"/>
              <w:sz w:val="24"/>
              <w:szCs w:val="24"/>
            </w:rPr>
          </w:pPr>
          <w:hyperlink w:anchor="_heading=h.ivfcorv87cvc">
            <w:r>
              <w:rPr>
                <w:color w:val="000000"/>
                <w:sz w:val="24"/>
                <w:szCs w:val="24"/>
              </w:rPr>
              <w:t>4.5 Strategic Synthesis</w:t>
            </w:r>
            <w:r>
              <w:rPr>
                <w:color w:val="000000"/>
                <w:sz w:val="24"/>
                <w:szCs w:val="24"/>
              </w:rPr>
              <w:tab/>
              <w:t>13</w:t>
            </w:r>
          </w:hyperlink>
        </w:p>
        <w:p w14:paraId="5C855038" w14:textId="77777777" w:rsidR="007E1526" w:rsidRDefault="00263BCB">
          <w:pPr>
            <w:pBdr>
              <w:top w:val="nil"/>
              <w:left w:val="nil"/>
              <w:bottom w:val="nil"/>
              <w:right w:val="nil"/>
              <w:between w:val="nil"/>
            </w:pBdr>
            <w:tabs>
              <w:tab w:val="right" w:leader="dot" w:pos="9019"/>
            </w:tabs>
            <w:spacing w:after="100" w:line="360" w:lineRule="auto"/>
            <w:ind w:left="220"/>
            <w:jc w:val="both"/>
            <w:rPr>
              <w:rFonts w:ascii="Cambria" w:eastAsia="Cambria" w:hAnsi="Cambria" w:cs="Cambria"/>
              <w:color w:val="000000"/>
              <w:sz w:val="24"/>
              <w:szCs w:val="24"/>
            </w:rPr>
          </w:pPr>
          <w:hyperlink w:anchor="_heading=h.v8eyq9jf8xz6">
            <w:r>
              <w:rPr>
                <w:color w:val="000000"/>
                <w:sz w:val="24"/>
                <w:szCs w:val="24"/>
              </w:rPr>
              <w:t>5. International Staffing Strategy</w:t>
            </w:r>
            <w:r>
              <w:rPr>
                <w:color w:val="000000"/>
                <w:sz w:val="24"/>
                <w:szCs w:val="24"/>
              </w:rPr>
              <w:tab/>
              <w:t>14</w:t>
            </w:r>
          </w:hyperlink>
        </w:p>
        <w:p w14:paraId="0163662A" w14:textId="77777777" w:rsidR="007E1526" w:rsidRDefault="00263BCB">
          <w:pPr>
            <w:pBdr>
              <w:top w:val="nil"/>
              <w:left w:val="nil"/>
              <w:bottom w:val="nil"/>
              <w:right w:val="nil"/>
              <w:between w:val="nil"/>
            </w:pBdr>
            <w:tabs>
              <w:tab w:val="right" w:leader="dot" w:pos="9019"/>
            </w:tabs>
            <w:spacing w:after="100" w:line="360" w:lineRule="auto"/>
            <w:ind w:left="440"/>
            <w:jc w:val="both"/>
            <w:rPr>
              <w:rFonts w:ascii="Cambria" w:eastAsia="Cambria" w:hAnsi="Cambria" w:cs="Cambria"/>
              <w:color w:val="000000"/>
              <w:sz w:val="24"/>
              <w:szCs w:val="24"/>
            </w:rPr>
          </w:pPr>
          <w:hyperlink w:anchor="_heading=h.k7sny5r4ccy9">
            <w:r>
              <w:rPr>
                <w:color w:val="000000"/>
                <w:sz w:val="24"/>
                <w:szCs w:val="24"/>
              </w:rPr>
              <w:t>5.1 Introduction to International Staffing</w:t>
            </w:r>
            <w:r>
              <w:rPr>
                <w:color w:val="000000"/>
                <w:sz w:val="24"/>
                <w:szCs w:val="24"/>
              </w:rPr>
              <w:tab/>
              <w:t>14</w:t>
            </w:r>
          </w:hyperlink>
        </w:p>
        <w:p w14:paraId="5D53095C" w14:textId="77777777" w:rsidR="007E1526" w:rsidRDefault="00263BCB">
          <w:pPr>
            <w:pBdr>
              <w:top w:val="nil"/>
              <w:left w:val="nil"/>
              <w:bottom w:val="nil"/>
              <w:right w:val="nil"/>
              <w:between w:val="nil"/>
            </w:pBdr>
            <w:tabs>
              <w:tab w:val="right" w:leader="dot" w:pos="9019"/>
            </w:tabs>
            <w:spacing w:after="100" w:line="360" w:lineRule="auto"/>
            <w:ind w:left="440"/>
            <w:jc w:val="both"/>
            <w:rPr>
              <w:rFonts w:ascii="Cambria" w:eastAsia="Cambria" w:hAnsi="Cambria" w:cs="Cambria"/>
              <w:color w:val="000000"/>
              <w:sz w:val="24"/>
              <w:szCs w:val="24"/>
            </w:rPr>
          </w:pPr>
          <w:hyperlink w:anchor="_heading=h.vmrtg5fh0xq0">
            <w:r>
              <w:rPr>
                <w:color w:val="000000"/>
                <w:sz w:val="24"/>
                <w:szCs w:val="24"/>
              </w:rPr>
              <w:t>5.2 Ethnocentric Approach</w:t>
            </w:r>
            <w:r>
              <w:rPr>
                <w:color w:val="000000"/>
                <w:sz w:val="24"/>
                <w:szCs w:val="24"/>
              </w:rPr>
              <w:tab/>
              <w:t>14</w:t>
            </w:r>
          </w:hyperlink>
        </w:p>
        <w:p w14:paraId="559AFFCA" w14:textId="77777777" w:rsidR="007E1526" w:rsidRDefault="00263BCB">
          <w:pPr>
            <w:pBdr>
              <w:top w:val="nil"/>
              <w:left w:val="nil"/>
              <w:bottom w:val="nil"/>
              <w:right w:val="nil"/>
              <w:between w:val="nil"/>
            </w:pBdr>
            <w:tabs>
              <w:tab w:val="right" w:leader="dot" w:pos="9019"/>
            </w:tabs>
            <w:spacing w:after="100" w:line="360" w:lineRule="auto"/>
            <w:ind w:left="440"/>
            <w:jc w:val="both"/>
            <w:rPr>
              <w:rFonts w:ascii="Cambria" w:eastAsia="Cambria" w:hAnsi="Cambria" w:cs="Cambria"/>
              <w:color w:val="000000"/>
              <w:sz w:val="24"/>
              <w:szCs w:val="24"/>
            </w:rPr>
          </w:pPr>
          <w:hyperlink w:anchor="_heading=h.nrimau18qmj7">
            <w:r>
              <w:rPr>
                <w:color w:val="000000"/>
                <w:sz w:val="24"/>
                <w:szCs w:val="24"/>
              </w:rPr>
              <w:t>5.3 Polycentric Approach</w:t>
            </w:r>
            <w:r>
              <w:rPr>
                <w:color w:val="000000"/>
                <w:sz w:val="24"/>
                <w:szCs w:val="24"/>
              </w:rPr>
              <w:tab/>
              <w:t>15</w:t>
            </w:r>
          </w:hyperlink>
        </w:p>
        <w:p w14:paraId="3653C6DE" w14:textId="77777777" w:rsidR="007E1526" w:rsidRDefault="00263BCB">
          <w:pPr>
            <w:pBdr>
              <w:top w:val="nil"/>
              <w:left w:val="nil"/>
              <w:bottom w:val="nil"/>
              <w:right w:val="nil"/>
              <w:between w:val="nil"/>
            </w:pBdr>
            <w:tabs>
              <w:tab w:val="right" w:leader="dot" w:pos="9019"/>
            </w:tabs>
            <w:spacing w:after="100" w:line="360" w:lineRule="auto"/>
            <w:ind w:left="220"/>
            <w:jc w:val="both"/>
            <w:rPr>
              <w:rFonts w:ascii="Cambria" w:eastAsia="Cambria" w:hAnsi="Cambria" w:cs="Cambria"/>
              <w:color w:val="000000"/>
              <w:sz w:val="24"/>
              <w:szCs w:val="24"/>
            </w:rPr>
          </w:pPr>
          <w:hyperlink w:anchor="_heading=h.496twc5ba8u1">
            <w:r>
              <w:rPr>
                <w:color w:val="000000"/>
                <w:sz w:val="24"/>
                <w:szCs w:val="24"/>
              </w:rPr>
              <w:t>5.4 Regiocentric Approach</w:t>
            </w:r>
            <w:r>
              <w:rPr>
                <w:color w:val="000000"/>
                <w:sz w:val="24"/>
                <w:szCs w:val="24"/>
              </w:rPr>
              <w:tab/>
              <w:t>15</w:t>
            </w:r>
          </w:hyperlink>
        </w:p>
        <w:p w14:paraId="47010E5C" w14:textId="77777777" w:rsidR="007E1526" w:rsidRDefault="00263BCB">
          <w:pPr>
            <w:pBdr>
              <w:top w:val="nil"/>
              <w:left w:val="nil"/>
              <w:bottom w:val="nil"/>
              <w:right w:val="nil"/>
              <w:between w:val="nil"/>
            </w:pBdr>
            <w:tabs>
              <w:tab w:val="right" w:leader="dot" w:pos="9019"/>
            </w:tabs>
            <w:spacing w:after="100" w:line="360" w:lineRule="auto"/>
            <w:ind w:left="440"/>
            <w:jc w:val="both"/>
            <w:rPr>
              <w:rFonts w:ascii="Cambria" w:eastAsia="Cambria" w:hAnsi="Cambria" w:cs="Cambria"/>
              <w:color w:val="000000"/>
              <w:sz w:val="24"/>
              <w:szCs w:val="24"/>
            </w:rPr>
          </w:pPr>
          <w:hyperlink w:anchor="_heading=h.9f7ksmk7bsjt">
            <w:r>
              <w:rPr>
                <w:color w:val="000000"/>
                <w:sz w:val="24"/>
                <w:szCs w:val="24"/>
              </w:rPr>
              <w:t>5.5 Geocentric Approach</w:t>
            </w:r>
            <w:r>
              <w:rPr>
                <w:color w:val="000000"/>
                <w:sz w:val="24"/>
                <w:szCs w:val="24"/>
              </w:rPr>
              <w:tab/>
              <w:t>16</w:t>
            </w:r>
          </w:hyperlink>
        </w:p>
        <w:p w14:paraId="0E90C5DA" w14:textId="77777777" w:rsidR="007E1526" w:rsidRDefault="00263BCB">
          <w:pPr>
            <w:pBdr>
              <w:top w:val="nil"/>
              <w:left w:val="nil"/>
              <w:bottom w:val="nil"/>
              <w:right w:val="nil"/>
              <w:between w:val="nil"/>
            </w:pBdr>
            <w:tabs>
              <w:tab w:val="right" w:leader="dot" w:pos="9019"/>
            </w:tabs>
            <w:spacing w:after="100" w:line="360" w:lineRule="auto"/>
            <w:ind w:left="440"/>
            <w:jc w:val="both"/>
            <w:rPr>
              <w:rFonts w:ascii="Cambria" w:eastAsia="Cambria" w:hAnsi="Cambria" w:cs="Cambria"/>
              <w:color w:val="000000"/>
              <w:sz w:val="24"/>
              <w:szCs w:val="24"/>
            </w:rPr>
          </w:pPr>
          <w:hyperlink w:anchor="_heading=h.e53iyjfqneil">
            <w:r>
              <w:rPr>
                <w:color w:val="000000"/>
                <w:sz w:val="24"/>
                <w:szCs w:val="24"/>
              </w:rPr>
              <w:t>5.6 Recommended EPRG Strategy</w:t>
            </w:r>
            <w:r>
              <w:rPr>
                <w:color w:val="000000"/>
                <w:sz w:val="24"/>
                <w:szCs w:val="24"/>
              </w:rPr>
              <w:tab/>
              <w:t>17</w:t>
            </w:r>
          </w:hyperlink>
        </w:p>
        <w:p w14:paraId="6302FB48" w14:textId="77777777" w:rsidR="007E1526" w:rsidRDefault="00263BCB">
          <w:pPr>
            <w:pBdr>
              <w:top w:val="nil"/>
              <w:left w:val="nil"/>
              <w:bottom w:val="nil"/>
              <w:right w:val="nil"/>
              <w:between w:val="nil"/>
            </w:pBdr>
            <w:tabs>
              <w:tab w:val="right" w:leader="dot" w:pos="9019"/>
            </w:tabs>
            <w:spacing w:after="100" w:line="360" w:lineRule="auto"/>
            <w:ind w:left="440"/>
            <w:jc w:val="both"/>
            <w:rPr>
              <w:rFonts w:ascii="Cambria" w:eastAsia="Cambria" w:hAnsi="Cambria" w:cs="Cambria"/>
              <w:color w:val="000000"/>
              <w:sz w:val="24"/>
              <w:szCs w:val="24"/>
            </w:rPr>
          </w:pPr>
          <w:hyperlink w:anchor="_heading=h.f5r4d57plyox">
            <w:r>
              <w:rPr>
                <w:color w:val="000000"/>
                <w:sz w:val="24"/>
                <w:szCs w:val="24"/>
              </w:rPr>
              <w:t>5.7 Staffing Risk and Implementation</w:t>
            </w:r>
            <w:r>
              <w:rPr>
                <w:color w:val="000000"/>
                <w:sz w:val="24"/>
                <w:szCs w:val="24"/>
              </w:rPr>
              <w:tab/>
              <w:t>17</w:t>
            </w:r>
          </w:hyperlink>
        </w:p>
        <w:p w14:paraId="046EF71D" w14:textId="77777777" w:rsidR="007E1526" w:rsidRDefault="00263BCB">
          <w:pPr>
            <w:pBdr>
              <w:top w:val="nil"/>
              <w:left w:val="nil"/>
              <w:bottom w:val="nil"/>
              <w:right w:val="nil"/>
              <w:between w:val="nil"/>
            </w:pBdr>
            <w:tabs>
              <w:tab w:val="right" w:leader="dot" w:pos="9019"/>
            </w:tabs>
            <w:spacing w:after="100" w:line="360" w:lineRule="auto"/>
            <w:jc w:val="both"/>
            <w:rPr>
              <w:rFonts w:ascii="Cambria" w:eastAsia="Cambria" w:hAnsi="Cambria" w:cs="Cambria"/>
              <w:color w:val="000000"/>
              <w:sz w:val="24"/>
              <w:szCs w:val="24"/>
            </w:rPr>
          </w:pPr>
          <w:hyperlink w:anchor="_heading=h.x7puv17o12kw">
            <w:r>
              <w:rPr>
                <w:color w:val="000000"/>
                <w:sz w:val="24"/>
                <w:szCs w:val="24"/>
              </w:rPr>
              <w:t>Section 2: Reflective Commentary</w:t>
            </w:r>
            <w:r>
              <w:rPr>
                <w:color w:val="000000"/>
                <w:sz w:val="24"/>
                <w:szCs w:val="24"/>
              </w:rPr>
              <w:tab/>
              <w:t>18</w:t>
            </w:r>
          </w:hyperlink>
        </w:p>
        <w:p w14:paraId="300AD3FA" w14:textId="77777777" w:rsidR="007E1526" w:rsidRDefault="00263BCB">
          <w:pPr>
            <w:pBdr>
              <w:top w:val="nil"/>
              <w:left w:val="nil"/>
              <w:bottom w:val="nil"/>
              <w:right w:val="nil"/>
              <w:between w:val="nil"/>
            </w:pBdr>
            <w:tabs>
              <w:tab w:val="right" w:leader="dot" w:pos="9019"/>
            </w:tabs>
            <w:spacing w:after="100" w:line="360" w:lineRule="auto"/>
            <w:jc w:val="both"/>
            <w:rPr>
              <w:rFonts w:ascii="Cambria" w:eastAsia="Cambria" w:hAnsi="Cambria" w:cs="Cambria"/>
              <w:color w:val="000000"/>
              <w:sz w:val="24"/>
              <w:szCs w:val="24"/>
            </w:rPr>
          </w:pPr>
          <w:hyperlink w:anchor="_heading=h.mtnyqr9rjz17">
            <w:r>
              <w:rPr>
                <w:color w:val="000000"/>
                <w:sz w:val="24"/>
                <w:szCs w:val="24"/>
              </w:rPr>
              <w:t>References</w:t>
            </w:r>
            <w:r>
              <w:rPr>
                <w:color w:val="000000"/>
                <w:sz w:val="24"/>
                <w:szCs w:val="24"/>
              </w:rPr>
              <w:tab/>
              <w:t>23</w:t>
            </w:r>
          </w:hyperlink>
        </w:p>
        <w:p w14:paraId="2A72D964" w14:textId="77777777" w:rsidR="007E1526" w:rsidRDefault="00263BCB">
          <w:pPr>
            <w:spacing w:line="360" w:lineRule="auto"/>
            <w:jc w:val="both"/>
            <w:rPr>
              <w:sz w:val="24"/>
              <w:szCs w:val="24"/>
            </w:rPr>
          </w:pPr>
          <w:r>
            <w:fldChar w:fldCharType="end"/>
          </w:r>
        </w:p>
      </w:sdtContent>
    </w:sdt>
    <w:p w14:paraId="130A9451" w14:textId="77777777" w:rsidR="007E1526" w:rsidRDefault="00263BCB">
      <w:pPr>
        <w:spacing w:line="360" w:lineRule="auto"/>
        <w:jc w:val="both"/>
        <w:rPr>
          <w:b/>
          <w:bCs/>
          <w:sz w:val="24"/>
          <w:szCs w:val="24"/>
        </w:rPr>
      </w:pPr>
      <w:r>
        <w:br w:type="page"/>
      </w:r>
    </w:p>
    <w:p w14:paraId="17E8A9BD" w14:textId="77777777" w:rsidR="007E1526" w:rsidRDefault="00263BCB">
      <w:pPr>
        <w:pStyle w:val="Titlu1"/>
        <w:keepNext w:val="0"/>
        <w:keepLines w:val="0"/>
      </w:pPr>
      <w:bookmarkStart w:id="2" w:name="_heading=h.c3yzqck5baf3" w:colFirst="0" w:colLast="0"/>
      <w:bookmarkEnd w:id="2"/>
      <w:r>
        <w:t>SECTION 1 — INTERNATIONAL MARKET ENTRY ANALYSIS</w:t>
      </w:r>
    </w:p>
    <w:p w14:paraId="53C487FB" w14:textId="77777777" w:rsidR="007E1526" w:rsidRDefault="00263BCB">
      <w:pPr>
        <w:pStyle w:val="Titlu2"/>
        <w:keepNext w:val="0"/>
        <w:keepLines w:val="0"/>
      </w:pPr>
      <w:bookmarkStart w:id="3" w:name="_heading=h.xobllikmisdy" w:colFirst="0" w:colLast="0"/>
      <w:bookmarkEnd w:id="3"/>
      <w:r>
        <w:t xml:space="preserve">1. Introduction to the Consultancy Report </w:t>
      </w:r>
    </w:p>
    <w:p w14:paraId="35A19D99" w14:textId="77777777" w:rsidR="007E1526" w:rsidRDefault="00263BCB">
      <w:pPr>
        <w:spacing w:before="200" w:after="200" w:line="360" w:lineRule="auto"/>
        <w:jc w:val="both"/>
        <w:rPr>
          <w:sz w:val="24"/>
          <w:szCs w:val="24"/>
        </w:rPr>
      </w:pPr>
      <w:r>
        <w:rPr>
          <w:sz w:val="24"/>
          <w:szCs w:val="24"/>
        </w:rPr>
        <w:t>Target Corporation is a major U.S-based retail store still doing business and generating the majority of its revenue on U.S soil (EBSCO, 2024). The study analyses the strategic viability of Target moving into the German market, where it does not have any major presence. Towards this analysis, the decision for an international expansion and the attractiveness of Germany are analysed via the strategic criteria and the Porter's Diamond Model. It is subsequently evaluated as the best route into market and inter</w:t>
      </w:r>
      <w:r>
        <w:rPr>
          <w:sz w:val="24"/>
          <w:szCs w:val="24"/>
        </w:rPr>
        <w:t xml:space="preserve">national staffing for sustainable market development. </w:t>
      </w:r>
    </w:p>
    <w:p w14:paraId="1427C243" w14:textId="77777777" w:rsidR="007E1526" w:rsidRDefault="00263BCB">
      <w:pPr>
        <w:pStyle w:val="Titlu2"/>
        <w:keepNext w:val="0"/>
        <w:keepLines w:val="0"/>
      </w:pPr>
      <w:bookmarkStart w:id="4" w:name="_heading=h.5cyylpcwb0r1" w:colFirst="0" w:colLast="0"/>
      <w:bookmarkEnd w:id="4"/>
      <w:r>
        <w:t xml:space="preserve">2. Strategic Rationale for International Expansion </w:t>
      </w:r>
    </w:p>
    <w:p w14:paraId="54544959" w14:textId="77777777" w:rsidR="007E1526" w:rsidRDefault="00263BCB">
      <w:pPr>
        <w:pStyle w:val="Titlu3"/>
        <w:keepNext w:val="0"/>
        <w:keepLines w:val="0"/>
      </w:pPr>
      <w:bookmarkStart w:id="5" w:name="_heading=h.g80845w62hib" w:colFirst="0" w:colLast="0"/>
      <w:bookmarkEnd w:id="5"/>
      <w:r>
        <w:t xml:space="preserve">2.1 International Trade and Internationalisation </w:t>
      </w:r>
    </w:p>
    <w:p w14:paraId="408EC056" w14:textId="77777777" w:rsidR="007E1526" w:rsidRDefault="00263BCB">
      <w:pPr>
        <w:spacing w:before="200" w:after="200" w:line="360" w:lineRule="auto"/>
        <w:jc w:val="both"/>
        <w:rPr>
          <w:sz w:val="24"/>
          <w:szCs w:val="24"/>
        </w:rPr>
      </w:pPr>
      <w:r>
        <w:rPr>
          <w:sz w:val="24"/>
          <w:szCs w:val="24"/>
        </w:rPr>
        <w:t xml:space="preserve">Internationalisation gives companies access to foreign markets, change revenue streams and transfer superiority and capacities as well as their work across the borders (Fassio, Franco and Moschella, 2026). Dunning's eclectic paradigm indicates that expansion is appealing because the firms own distinct advantages that can be effectively utilised abroad. Target's digital capabilities, supply chain capabilities and its recognized retail brand, in addition to owned brands, offer potential ownership advantages. </w:t>
      </w:r>
      <w:r>
        <w:rPr>
          <w:sz w:val="24"/>
          <w:szCs w:val="24"/>
        </w:rPr>
        <w:t xml:space="preserve">Such access to new customers, new market knowledge and the ability to internalise the capabilities to enter Germany could, therefore, benefit Target. There are also potential economies of scale on technology, sourcing and product development as a result of international expansion. But these benefits are contingent upon whether Target's U.S. developed capabilities are able to be effectively transferred to the German consumer, institutions and competition. </w:t>
      </w:r>
    </w:p>
    <w:p w14:paraId="3F757763" w14:textId="77777777" w:rsidR="007E1526" w:rsidRDefault="00263BCB">
      <w:pPr>
        <w:pStyle w:val="Titlu3"/>
      </w:pPr>
      <w:bookmarkStart w:id="6" w:name="_heading=h.xo340lopgywp" w:colFirst="0" w:colLast="0"/>
      <w:bookmarkEnd w:id="6"/>
      <w:r>
        <w:t xml:space="preserve">2.2 Growth and Market Expansion </w:t>
      </w:r>
    </w:p>
    <w:p w14:paraId="1871EA22" w14:textId="77777777" w:rsidR="007E1526" w:rsidRDefault="00263BCB">
      <w:pPr>
        <w:spacing w:before="200" w:after="200" w:line="360" w:lineRule="auto"/>
        <w:jc w:val="both"/>
        <w:rPr>
          <w:sz w:val="24"/>
          <w:szCs w:val="24"/>
        </w:rPr>
      </w:pPr>
      <w:r>
        <w:rPr>
          <w:sz w:val="24"/>
          <w:szCs w:val="24"/>
        </w:rPr>
        <w:t xml:space="preserve">Germany could offer Target a chance for diversification, as one of the United States' most concentrated markets. Target's consolidated revenues are derived almost entirely from its single national operating market in the United States. Germany has a huge and technologically advanced European retail market and may facilitate Target's omnichannel strategy, while its very well-developed retail sector and digital communications may encourage the use of digital channels. German real retail sales grew by 2.1% in </w:t>
      </w:r>
      <w:r>
        <w:rPr>
          <w:sz w:val="24"/>
          <w:szCs w:val="24"/>
        </w:rPr>
        <w:t xml:space="preserve">2026, and eCommerce and mail-order sales are seen as a key driver for the growth (Statista, 2026). As a result, Germany was able to be flexible in supplying incremental revenue, geographic diversification, and learning that might afford them a possible basis for further expansion in Europe. However, obtaining a certain market size wasn't a guarantee of success since Target would have to face some well-established domestic rivals. </w:t>
      </w:r>
    </w:p>
    <w:p w14:paraId="652FD3AB" w14:textId="77777777" w:rsidR="007E1526" w:rsidRDefault="00263BCB">
      <w:pPr>
        <w:pStyle w:val="Titlu3"/>
      </w:pPr>
      <w:bookmarkStart w:id="7" w:name="_heading=h.p1lrwjkwpirm" w:colFirst="0" w:colLast="0"/>
      <w:bookmarkEnd w:id="7"/>
      <w:r>
        <w:t>2.3 Competitive Advantage</w:t>
      </w:r>
    </w:p>
    <w:p w14:paraId="76D84599" w14:textId="77777777" w:rsidR="007E1526" w:rsidRDefault="00263BCB">
      <w:pPr>
        <w:spacing w:before="200" w:after="200" w:line="360" w:lineRule="auto"/>
        <w:jc w:val="both"/>
        <w:rPr>
          <w:sz w:val="24"/>
          <w:szCs w:val="24"/>
        </w:rPr>
      </w:pPr>
      <w:r>
        <w:rPr>
          <w:sz w:val="24"/>
          <w:szCs w:val="24"/>
        </w:rPr>
        <w:t>Several core, firm-specific assets and capabilities possibly could be passed over to Germany, including the brand-specific product offerings, merchandising insight, omnichannel business approach and “customer first” mentality. India's stores also serve as PickUp and Drive Up and same day fulfilment centers and two thirds of digital sales were fulfilled through same day options in 2025. If these can be adapted to German expectations they will certainly make Target stand out from the other retailers. Addition</w:t>
      </w:r>
      <w:r>
        <w:rPr>
          <w:sz w:val="24"/>
          <w:szCs w:val="24"/>
        </w:rPr>
        <w:t xml:space="preserve">ally, as part of its growth plan for 2026, Target is channeling investments into technology, AI, supply and personalisation (‌Target, 2026). The competences can be considered as assets from a RBV perspective but can have only competitive value in Germany if they offer proprietary level and are not easy to be created and imitated by established German retailers. </w:t>
      </w:r>
    </w:p>
    <w:p w14:paraId="61F2EFCC" w14:textId="77777777" w:rsidR="007E1526" w:rsidRDefault="00263BCB">
      <w:pPr>
        <w:pStyle w:val="Titlu3"/>
      </w:pPr>
      <w:bookmarkStart w:id="8" w:name="_heading=h.fkmjjdpfi1d1" w:colFirst="0" w:colLast="0"/>
      <w:bookmarkEnd w:id="8"/>
      <w:r>
        <w:t xml:space="preserve">2.4 Innovation and Long-Term Strategic Objectives </w:t>
      </w:r>
    </w:p>
    <w:p w14:paraId="3FE650A2" w14:textId="77777777" w:rsidR="007E1526" w:rsidRDefault="00263BCB">
      <w:pPr>
        <w:spacing w:before="200" w:after="200" w:line="360" w:lineRule="auto"/>
        <w:jc w:val="both"/>
        <w:rPr>
          <w:sz w:val="24"/>
          <w:szCs w:val="24"/>
        </w:rPr>
      </w:pPr>
      <w:r>
        <w:rPr>
          <w:sz w:val="24"/>
          <w:szCs w:val="24"/>
        </w:rPr>
        <w:t xml:space="preserve">Target's international expansion would benefit the company with both new competitors and patterns of consumer behaviour, retail practice and expectations for technology. Germany would offer an insightful setting for the digital retail, customised recommendations, AI-driven merchandising, and sustainability of the products (Salhab </w:t>
      </w:r>
      <w:r>
        <w:rPr>
          <w:i/>
          <w:iCs/>
          <w:sz w:val="24"/>
          <w:szCs w:val="24"/>
        </w:rPr>
        <w:t xml:space="preserve">et al., </w:t>
      </w:r>
      <w:r>
        <w:rPr>
          <w:sz w:val="24"/>
          <w:szCs w:val="24"/>
        </w:rPr>
        <w:t>2025). Maintaining its focus on technology, artificial intelligence, digital discovery and personalised customer experiences, Target has a vision of significantly advancing these capabilities in its plan to reach 2026. Target's roadmap to 2026 clearly calls out acceleration for technology and artificial intelligence, digital discovery and personalised customer experiences. Its teams working in the supply chain are also creating digital-twin technology, which will enhance the positioning of these materials a</w:t>
      </w:r>
      <w:r>
        <w:rPr>
          <w:sz w:val="24"/>
          <w:szCs w:val="24"/>
        </w:rPr>
        <w:t xml:space="preserve">nd decisions on operational actions. These could contribute to cross-border learning and knowledge sharing. But transferability must be treated with caution: German regulations concerning data-protection, consumer habits, language etc. might take some adaptations. Internationalisation ought to therefore be seen as a two-way process of learning, and not as exporting Target's current US model. </w:t>
      </w:r>
    </w:p>
    <w:p w14:paraId="01B0236F" w14:textId="77777777" w:rsidR="007E1526" w:rsidRDefault="00263BCB">
      <w:pPr>
        <w:pStyle w:val="Titlu3"/>
      </w:pPr>
      <w:bookmarkStart w:id="9" w:name="_heading=h.pvdnr9qz57vl" w:colFirst="0" w:colLast="0"/>
      <w:bookmarkEnd w:id="9"/>
      <w:r>
        <w:t xml:space="preserve">2.5 Strategic Risks and Overall Rationale </w:t>
      </w:r>
    </w:p>
    <w:p w14:paraId="5D4BFEDD" w14:textId="77777777" w:rsidR="007E1526" w:rsidRDefault="00263BCB">
      <w:pPr>
        <w:spacing w:before="200" w:after="200" w:line="360" w:lineRule="auto"/>
        <w:jc w:val="both"/>
        <w:rPr>
          <w:sz w:val="24"/>
          <w:szCs w:val="24"/>
        </w:rPr>
      </w:pPr>
      <w:r>
        <w:rPr>
          <w:sz w:val="24"/>
          <w:szCs w:val="24"/>
        </w:rPr>
        <w:t>However these advantages would mean that German expansion would be accompanied by heavy competition from retailers, a variety of consumer tastes, regulations, labour costs and heavy investment. Competitors that exist already can also react energetically to a new player. So don't take it for granted that Germans will always be the easiest to attract. Its potential relies on Target's adaptability of its capabilities, as well as being able to manage internationalisation risks. In general, Germany is a great op</w:t>
      </w:r>
      <w:r>
        <w:rPr>
          <w:sz w:val="24"/>
          <w:szCs w:val="24"/>
        </w:rPr>
        <w:t xml:space="preserve">portunity but a tough one, as there is a need to analyze the market and the mode of entry carefully. </w:t>
      </w:r>
    </w:p>
    <w:p w14:paraId="477D3E34" w14:textId="77777777" w:rsidR="007E1526" w:rsidRDefault="00263BCB">
      <w:pPr>
        <w:pStyle w:val="Titlu2"/>
        <w:keepNext w:val="0"/>
        <w:keepLines w:val="0"/>
      </w:pPr>
      <w:bookmarkStart w:id="10" w:name="_heading=h.vxmv5qcbaksz" w:colFirst="0" w:colLast="0"/>
      <w:bookmarkEnd w:id="10"/>
      <w:r>
        <w:t xml:space="preserve">3. Host Country Analysis: Porter's Diamond Model </w:t>
      </w:r>
    </w:p>
    <w:p w14:paraId="2AC81A2C" w14:textId="77777777" w:rsidR="007E1526" w:rsidRDefault="00263BCB">
      <w:pPr>
        <w:pStyle w:val="Titlu3"/>
        <w:keepNext w:val="0"/>
        <w:keepLines w:val="0"/>
      </w:pPr>
      <w:bookmarkStart w:id="11" w:name="_heading=h.2rriwis0wk2x" w:colFirst="0" w:colLast="0"/>
      <w:bookmarkEnd w:id="11"/>
      <w:r>
        <w:t>3.1 Introduction to Porter's Diamond</w:t>
      </w:r>
    </w:p>
    <w:p w14:paraId="59A0D62F" w14:textId="77777777" w:rsidR="007E1526" w:rsidRDefault="00263BCB">
      <w:pPr>
        <w:spacing w:before="200" w:after="200" w:line="360" w:lineRule="auto"/>
        <w:jc w:val="both"/>
        <w:rPr>
          <w:sz w:val="24"/>
          <w:szCs w:val="24"/>
        </w:rPr>
      </w:pPr>
      <w:r>
        <w:rPr>
          <w:sz w:val="24"/>
          <w:szCs w:val="24"/>
        </w:rPr>
        <w:t>The Porter's Diamond Model is a framework of assessing national competitive advantage based on three factors: demands, related and supporting industries, strategy, structure and rivalry (Khartit, 2026). Porter's Diamond Model is a model by which national competitive advantage can be assessed in three ways: factor conditions, demand conditions, and the presence of related and supporting industries, as well as firm strategy, structure, and rivalry. Government and chance can additionally influence these determ</w:t>
      </w:r>
      <w:r>
        <w:rPr>
          <w:sz w:val="24"/>
          <w:szCs w:val="24"/>
        </w:rPr>
        <w:t xml:space="preserve">inants. Taking the framework into Germany, the model should be used to evaluate the potential of the national conditions to maintain the sustainable competitive advantage and successful entry of Target to the retail markets in Germany. </w:t>
      </w:r>
    </w:p>
    <w:p w14:paraId="0A45BEDD" w14:textId="77777777" w:rsidR="007E1526" w:rsidRDefault="00263BCB">
      <w:pPr>
        <w:pStyle w:val="Titlu3"/>
        <w:keepNext w:val="0"/>
        <w:keepLines w:val="0"/>
      </w:pPr>
      <w:bookmarkStart w:id="12" w:name="_heading=h.hu4bo0ucqu0e" w:colFirst="0" w:colLast="0"/>
      <w:bookmarkEnd w:id="12"/>
      <w:r>
        <w:t xml:space="preserve">3.2 Factor Conditions </w:t>
      </w:r>
    </w:p>
    <w:p w14:paraId="30B7EC71" w14:textId="77777777" w:rsidR="007E1526" w:rsidRDefault="00263BCB">
      <w:pPr>
        <w:spacing w:before="240" w:after="240" w:line="360" w:lineRule="auto"/>
        <w:jc w:val="both"/>
        <w:rPr>
          <w:sz w:val="24"/>
          <w:szCs w:val="24"/>
        </w:rPr>
      </w:pPr>
      <w:r>
        <w:rPr>
          <w:sz w:val="24"/>
          <w:szCs w:val="24"/>
        </w:rPr>
        <w:t xml:space="preserve">Germany offers some highly developed factor conditions that can benefit the proposed market entry by Target. It has a large service and industrial economy, which also means it has skilled human capital available but the OECD warns about persistent skilled labour shortages preventing it from progressing its economic future (Teixeira, 2020). The upside for Target is that it has a very capable labour force that can help power the application of research and technology in the store, supply chain management and </w:t>
      </w:r>
      <w:r>
        <w:rPr>
          <w:sz w:val="24"/>
          <w:szCs w:val="24"/>
        </w:rPr>
        <w:t>customer service, but may find it hard to hire staff in specialized jobs.</w:t>
      </w:r>
    </w:p>
    <w:p w14:paraId="1AF681D2" w14:textId="77777777" w:rsidR="007E1526" w:rsidRDefault="00263BCB">
      <w:pPr>
        <w:spacing w:before="240" w:after="240" w:line="360" w:lineRule="auto"/>
        <w:jc w:val="both"/>
        <w:rPr>
          <w:sz w:val="24"/>
          <w:szCs w:val="24"/>
        </w:rPr>
      </w:pPr>
      <w:r>
        <w:rPr>
          <w:sz w:val="24"/>
          <w:szCs w:val="24"/>
        </w:rPr>
        <w:t xml:space="preserve">Germany also has well-developed transport facilities and main logistics hubs. Its ports link European and global trade routes and Hamburg, Bremerhaven and other major ports enable insignificant flows and logistics value chains (Asmat, Norhayati and Abdul Latif, 2022). This may contribute to Target's overseas sourcing and distribution needs. But, not all infrastructure is of good quality. The modernisation of the rail network is still a long way in Germany, while digitalisation of the railway infrastructure </w:t>
      </w:r>
      <w:r>
        <w:rPr>
          <w:sz w:val="24"/>
          <w:szCs w:val="24"/>
        </w:rPr>
        <w:t>is relatively slow at present, according to OECD figures. This means Target wouldn't even need to take for granted the smooth functioning of national logistics – it would have to design its distribution system carefully.</w:t>
      </w:r>
    </w:p>
    <w:p w14:paraId="7DDF15CD" w14:textId="77777777" w:rsidR="007E1526" w:rsidRDefault="00263BCB">
      <w:pPr>
        <w:spacing w:before="240" w:after="240" w:line="360" w:lineRule="auto"/>
        <w:jc w:val="both"/>
        <w:rPr>
          <w:sz w:val="24"/>
          <w:szCs w:val="24"/>
        </w:rPr>
      </w:pPr>
      <w:r>
        <w:rPr>
          <w:sz w:val="24"/>
          <w:szCs w:val="24"/>
        </w:rPr>
        <w:t>The Target omnichannel strategy is better suited to the digital conditions. Digital demand conditions are good in Germany, 95% of all persons aged 16-74 used the internet in the last three months of 2025 and 70% bought or ordered goods or services online in the last three months of 2025 (Federal Statistical Office, 2025). These conditions may facilitate Target's digital ordering, fulfilment, and store linked services. The overall factor conditions in Germany are good, however, incoming specialization provid</w:t>
      </w:r>
      <w:r>
        <w:rPr>
          <w:sz w:val="24"/>
          <w:szCs w:val="24"/>
        </w:rPr>
        <w:t xml:space="preserve">es opportunities for flexibility in operating variables, while difficulties in the infrastructure sector need to be addressed. </w:t>
      </w:r>
    </w:p>
    <w:p w14:paraId="7254425F" w14:textId="77777777" w:rsidR="007E1526" w:rsidRDefault="00263BCB">
      <w:pPr>
        <w:pStyle w:val="Titlu3"/>
        <w:keepNext w:val="0"/>
        <w:keepLines w:val="0"/>
      </w:pPr>
      <w:bookmarkStart w:id="13" w:name="_heading=h.di0up2buxmcl" w:colFirst="0" w:colLast="0"/>
      <w:bookmarkEnd w:id="13"/>
      <w:r>
        <w:t xml:space="preserve">3.3 Demand Conditions </w:t>
      </w:r>
    </w:p>
    <w:p w14:paraId="25831BBE" w14:textId="77777777" w:rsidR="007E1526" w:rsidRDefault="00263BCB">
      <w:pPr>
        <w:spacing w:before="240" w:after="240" w:line="360" w:lineRule="auto"/>
        <w:jc w:val="both"/>
        <w:rPr>
          <w:sz w:val="24"/>
          <w:szCs w:val="24"/>
        </w:rPr>
      </w:pPr>
      <w:r>
        <w:rPr>
          <w:sz w:val="24"/>
          <w:szCs w:val="24"/>
        </w:rPr>
        <w:t>The complexity of the demand in Germany may offer the promise of supporting Target's differentiated retail offering. From a consumer standpoint, the nation has considerable consumer markets, and a well-established retail system in which customers are more and more utilizing the physical and digital channels side by side. During the past three months, 70% of persons aged 16-74 reported shopping online in the past three months and 86% had made at least one online purchase at some point during the year (Eurost</w:t>
      </w:r>
      <w:r>
        <w:rPr>
          <w:sz w:val="24"/>
          <w:szCs w:val="24"/>
        </w:rPr>
        <w:t xml:space="preserve">at, 2026). This means Target consumers are highly aware of digital commerce and may have an interest in its omnichannel functionality. </w:t>
      </w:r>
    </w:p>
    <w:p w14:paraId="31CC0AC9" w14:textId="77777777" w:rsidR="007E1526" w:rsidRDefault="00263BCB">
      <w:pPr>
        <w:spacing w:before="240" w:after="240" w:line="360" w:lineRule="auto"/>
        <w:jc w:val="both"/>
        <w:rPr>
          <w:sz w:val="24"/>
          <w:szCs w:val="24"/>
        </w:rPr>
      </w:pPr>
      <w:r>
        <w:rPr>
          <w:sz w:val="24"/>
          <w:szCs w:val="24"/>
        </w:rPr>
        <w:t xml:space="preserve">There's also potential for digitalisation in retail. Retail sales are up 2.7% in real terms in 2025, and online and mail-order is proven to be one of the drivers for retail sales (Vimal, 2026). Besides, consumers place importance on convenience, price and product quality and Germany has one of Europe's largest e-commerce markets. Target might be encouraged to go up against traditional retail stores by offering integrative online-and-in-store shopping if they have such expectations. </w:t>
      </w:r>
    </w:p>
    <w:p w14:paraId="7BC694C9" w14:textId="77777777" w:rsidR="007E1526" w:rsidRDefault="00263BCB">
      <w:pPr>
        <w:spacing w:before="240" w:after="240" w:line="360" w:lineRule="auto"/>
        <w:jc w:val="both"/>
        <w:rPr>
          <w:sz w:val="24"/>
          <w:szCs w:val="24"/>
        </w:rPr>
      </w:pPr>
      <w:r>
        <w:rPr>
          <w:sz w:val="24"/>
          <w:szCs w:val="24"/>
        </w:rPr>
        <w:t>But the competition level is raised by sophistication in demand. Compared to their counterparts in many other countries, German consumers are used to buying from well-known brands and tend to be more price sensitive. Consumer loyalty has been found to be strong with discount retailers like Aldi and Lidl (Statista, 2026). So Target is taking a chance on being successful by positioning itself as a brand with U.S. appeal. Its owned brands would be differentiated and its customer experience and digital services</w:t>
      </w:r>
      <w:r>
        <w:rPr>
          <w:sz w:val="24"/>
          <w:szCs w:val="24"/>
        </w:rPr>
        <w:t xml:space="preserve"> would require localisation in terms of the German price sensitivity, quality expectation and language and consumer preferences. Germany thus presents good opportunities for demand, which requires the ability to integrate value, convenience and differentiation in a retailer. </w:t>
      </w:r>
    </w:p>
    <w:p w14:paraId="0C46E613" w14:textId="77777777" w:rsidR="007E1526" w:rsidRDefault="00263BCB">
      <w:pPr>
        <w:pStyle w:val="Titlu3"/>
        <w:keepNext w:val="0"/>
        <w:keepLines w:val="0"/>
      </w:pPr>
      <w:bookmarkStart w:id="14" w:name="_heading=h.czt0w22gr66l" w:colFirst="0" w:colLast="0"/>
      <w:bookmarkEnd w:id="14"/>
      <w:r>
        <w:t xml:space="preserve">3.4 Related and Supporting Industries </w:t>
      </w:r>
    </w:p>
    <w:p w14:paraId="16F50E8B" w14:textId="77777777" w:rsidR="007E1526" w:rsidRDefault="00263BCB">
      <w:pPr>
        <w:spacing w:before="240" w:after="240" w:line="360" w:lineRule="auto"/>
        <w:jc w:val="both"/>
        <w:rPr>
          <w:sz w:val="24"/>
          <w:szCs w:val="24"/>
        </w:rPr>
      </w:pPr>
      <w:r>
        <w:rPr>
          <w:sz w:val="24"/>
          <w:szCs w:val="24"/>
        </w:rPr>
        <w:t>Target's proposed omnichannel business model may be bolstered by the related and supporting industries that exist in Germany. The nation possesses a well-developed logistics system, technology infrastructure, payment and e-commerce system to enable sales and deliveries of products through offline and online platforms. In Europe as well as in the rest of the world, Germany's main seaports play a significant role on the trade front and its logistics system holds the potential for European logistics industry f</w:t>
      </w:r>
      <w:r>
        <w:rPr>
          <w:sz w:val="24"/>
          <w:szCs w:val="24"/>
        </w:rPr>
        <w:t>oundations as well as for national and international supply chains (Notteboom and Neyens, 2017). That would give Target the opportunity to combine the imports from other countries with the German distribution system.</w:t>
      </w:r>
    </w:p>
    <w:p w14:paraId="523BA158" w14:textId="77777777" w:rsidR="007E1526" w:rsidRDefault="00263BCB">
      <w:pPr>
        <w:spacing w:before="240" w:after="240" w:line="360" w:lineRule="auto"/>
        <w:jc w:val="both"/>
        <w:rPr>
          <w:sz w:val="24"/>
          <w:szCs w:val="24"/>
        </w:rPr>
      </w:pPr>
      <w:r>
        <w:rPr>
          <w:sz w:val="24"/>
          <w:szCs w:val="24"/>
        </w:rPr>
        <w:t>This is especially related to digital commerce.This could help Target execute their online ordering and digital merchandising and store based fulfilment strategy. Online sales have seen a steady rise in other categories, such as clothing and electronics, too (Migkos, Giannakopoulos and Sakas, 2025). But an advantage for Target does not necessarily follow from the presence of sophisticated, supporting industries. Local competitors have existing supply chains, distribution channels and a digital presence. Thi</w:t>
      </w:r>
      <w:r>
        <w:rPr>
          <w:sz w:val="24"/>
          <w:szCs w:val="24"/>
        </w:rPr>
        <w:t>s would require Target to have to collaborate with logistics services firms, technology manufacturers, and suppliers locally as well as adapt payment and fulfilment timelines to German standards. Its private labelling may also be achieved through local sourcing arrangements, with issues of standards of quality assurance and compliance needing to be resolved to achieve European product specification. To summarise, while Germany provides healthy bases for Target's “omnichannel” business model, the latter must</w:t>
      </w:r>
      <w:r>
        <w:rPr>
          <w:sz w:val="24"/>
          <w:szCs w:val="24"/>
        </w:rPr>
        <w:t xml:space="preserve"> still establish local supply chains rather than simply adopting the model in use in the United States. </w:t>
      </w:r>
    </w:p>
    <w:p w14:paraId="54A9854F" w14:textId="77777777" w:rsidR="007E1526" w:rsidRDefault="00263BCB">
      <w:pPr>
        <w:pStyle w:val="Titlu3"/>
        <w:keepNext w:val="0"/>
        <w:keepLines w:val="0"/>
      </w:pPr>
      <w:bookmarkStart w:id="15" w:name="_heading=h.j7h0jp2oo98o" w:colFirst="0" w:colLast="0"/>
      <w:bookmarkEnd w:id="15"/>
      <w:r>
        <w:t>3.5 Firm Strategy, Structure and Rivalry</w:t>
      </w:r>
    </w:p>
    <w:p w14:paraId="066C0776" w14:textId="77777777" w:rsidR="007E1526" w:rsidRDefault="00263BCB">
      <w:pPr>
        <w:spacing w:before="240" w:after="240" w:line="360" w:lineRule="auto"/>
        <w:jc w:val="both"/>
        <w:rPr>
          <w:sz w:val="24"/>
          <w:szCs w:val="24"/>
        </w:rPr>
      </w:pPr>
      <w:r>
        <w:rPr>
          <w:sz w:val="24"/>
          <w:szCs w:val="24"/>
        </w:rPr>
        <w:t>The competition faced by Target is especially fierce in Germany. Strong domestic players like Edeka, Rewe, Schwarz Group, Aldi and dm as well as international and niche players like Amazon, IKEA and MediaMarkSaturn provide added pressure in the retail market. There has been a strong presence of established grocery groups—Ideka, Rewe, Aldi and Schwarz—in the German food retail market, with four groups dominating the grocery market (Statista, 2026). It provides large gates to a new foreign retailer to gain hi</w:t>
      </w:r>
      <w:r>
        <w:rPr>
          <w:sz w:val="24"/>
          <w:szCs w:val="24"/>
        </w:rPr>
        <w:t xml:space="preserve">s or her presence and market share. </w:t>
      </w:r>
    </w:p>
    <w:p w14:paraId="7966F296" w14:textId="77777777" w:rsidR="007E1526" w:rsidRDefault="00263BCB">
      <w:pPr>
        <w:spacing w:before="240" w:after="240" w:line="360" w:lineRule="auto"/>
        <w:jc w:val="both"/>
        <w:rPr>
          <w:sz w:val="24"/>
          <w:szCs w:val="24"/>
        </w:rPr>
      </w:pPr>
      <w:r>
        <w:rPr>
          <w:sz w:val="24"/>
          <w:szCs w:val="24"/>
        </w:rPr>
        <w:t>German consumers are very receptive to discount retailers, with Aldi and Lidl being top choices of food retailers (Lukesch and Schmid, 2022). Therefore, the brand could not just be positioned there in the US if its prices are significantly higher than the competition. Rather, it would have to provide competitive pricing; possess differentiated owned brands; quality; and customer experience and omnichannel convenience. However, competition also could drive a bus driver – particularly for Target – to innovati</w:t>
      </w:r>
      <w:r>
        <w:rPr>
          <w:sz w:val="24"/>
          <w:szCs w:val="24"/>
        </w:rPr>
        <w:t>on and local adaptation. Germany's well-established online retail industry enhances transparency and provides competition, which also opens up opportunities for differentiated online retailers. Target might therefore find a niche between discount and high-end specialist retailers by offering a mix of value and design that is crafted to the organization.</w:t>
      </w:r>
    </w:p>
    <w:p w14:paraId="7D755196" w14:textId="77777777" w:rsidR="007E1526" w:rsidRDefault="00263BCB">
      <w:pPr>
        <w:spacing w:before="240" w:after="240" w:line="360" w:lineRule="auto"/>
        <w:jc w:val="both"/>
        <w:rPr>
          <w:sz w:val="24"/>
          <w:szCs w:val="24"/>
        </w:rPr>
      </w:pPr>
      <w:r>
        <w:rPr>
          <w:sz w:val="24"/>
          <w:szCs w:val="24"/>
        </w:rPr>
        <w:t xml:space="preserve">Overall Germany is a difficult commercial destination, but not a bad one. In order to beat the big brands with local knowledge and customer relationship, a significant degree of localisation, clarity of brand and good investment discipline would be required at a significant scale at Target. </w:t>
      </w:r>
    </w:p>
    <w:p w14:paraId="18C7D351" w14:textId="77777777" w:rsidR="007E1526" w:rsidRDefault="00263BCB">
      <w:pPr>
        <w:pStyle w:val="Titlu3"/>
        <w:keepNext w:val="0"/>
        <w:keepLines w:val="0"/>
      </w:pPr>
      <w:bookmarkStart w:id="16" w:name="_heading=h.kb27he9ijvt4" w:colFirst="0" w:colLast="0"/>
      <w:bookmarkEnd w:id="16"/>
      <w:r>
        <w:t xml:space="preserve">3.6 Government and Chance </w:t>
      </w:r>
    </w:p>
    <w:p w14:paraId="45028C96" w14:textId="77777777" w:rsidR="007E1526" w:rsidRDefault="00263BCB">
      <w:pPr>
        <w:spacing w:before="200" w:after="200" w:line="360" w:lineRule="auto"/>
        <w:jc w:val="both"/>
        <w:rPr>
          <w:sz w:val="24"/>
          <w:szCs w:val="24"/>
        </w:rPr>
      </w:pPr>
      <w:r>
        <w:rPr>
          <w:sz w:val="24"/>
          <w:szCs w:val="24"/>
        </w:rPr>
        <w:t>Government/Institutional Conditions would have a significant impact on Target's introduction in Germany. Germany is an EU market, therefore under the European rules of competition, consumer protection, and digital commerce (Saberi and Sadeghi, 2022). With the GDPR requirements coming into effect for organisations handling the personal data of EU customers, it becomes even more vital for Target's digital and personalised retail solutions. Oceans also call for continued digitalisation/simplification of public</w:t>
      </w:r>
      <w:r>
        <w:rPr>
          <w:sz w:val="24"/>
          <w:szCs w:val="24"/>
        </w:rPr>
        <w:t xml:space="preserve"> administration, which is an area of administrative/organizational complexity that Germany needs to improve. The situation may lead to higher compliance expenses and delay market access. On the other hand, the favorable conditions in Germany, the institutional stability and the presence in the EU single market, may help larger scale expansion in the long run should the Target project achieve successful local operations. </w:t>
      </w:r>
    </w:p>
    <w:p w14:paraId="0DD83F3F" w14:textId="77777777" w:rsidR="007E1526" w:rsidRDefault="00263BCB">
      <w:pPr>
        <w:pStyle w:val="Titlu3"/>
        <w:keepNext w:val="0"/>
        <w:keepLines w:val="0"/>
      </w:pPr>
      <w:bookmarkStart w:id="17" w:name="_heading=h.6arkyionem2d" w:colFirst="0" w:colLast="0"/>
      <w:bookmarkEnd w:id="17"/>
      <w:r>
        <w:t xml:space="preserve">3.7 Overall Porter Diamond Evaluation </w:t>
      </w:r>
    </w:p>
    <w:p w14:paraId="3BFF04D1" w14:textId="77777777" w:rsidR="007E1526" w:rsidRDefault="00263BCB">
      <w:pPr>
        <w:spacing w:before="240" w:after="240" w:line="360" w:lineRule="auto"/>
        <w:jc w:val="both"/>
        <w:rPr>
          <w:sz w:val="24"/>
          <w:szCs w:val="24"/>
        </w:rPr>
      </w:pPr>
      <w:r>
        <w:rPr>
          <w:sz w:val="24"/>
          <w:szCs w:val="24"/>
        </w:rPr>
        <w:t>Germany has high value of target factor conditions, high level of digital demand and high level of supporting industries. But these perks are offset by the lack of skilled labour, regulatory intricacies and highly competitive retail competition. The Diamond also suggests a potential market with strategic appeal, but it is not a S&amp;P friendly one as Germany is not an easy market. The benefit will rather be in the adaptation of target, the possibility of tailoring it, and good adaptation of the digital and log</w:t>
      </w:r>
      <w:r>
        <w:rPr>
          <w:sz w:val="24"/>
          <w:szCs w:val="24"/>
        </w:rPr>
        <w:t>istics competences in Germany, than through merely transferring the model from its business in the USA.</w:t>
      </w:r>
    </w:p>
    <w:p w14:paraId="416890DB" w14:textId="77777777" w:rsidR="007E1526" w:rsidRDefault="00263BCB">
      <w:pPr>
        <w:pStyle w:val="Titlu2"/>
        <w:keepNext w:val="0"/>
        <w:keepLines w:val="0"/>
      </w:pPr>
      <w:bookmarkStart w:id="18" w:name="_heading=h.6t7n1ldpvlk2" w:colFirst="0" w:colLast="0"/>
      <w:bookmarkEnd w:id="18"/>
      <w:r>
        <w:t xml:space="preserve">4. Entry Mode Strategy and Strategic Synthesis </w:t>
      </w:r>
    </w:p>
    <w:p w14:paraId="6389ED9C" w14:textId="77777777" w:rsidR="007E1526" w:rsidRDefault="00263BCB">
      <w:pPr>
        <w:pStyle w:val="Titlu3"/>
      </w:pPr>
      <w:bookmarkStart w:id="19" w:name="_heading=h.czzbfqjhlgug" w:colFirst="0" w:colLast="0"/>
      <w:bookmarkEnd w:id="19"/>
      <w:r>
        <w:t xml:space="preserve">4.1 Target's Historical International Entry Pattern </w:t>
      </w:r>
    </w:p>
    <w:p w14:paraId="3D6D6186" w14:textId="77777777" w:rsidR="007E1526" w:rsidRDefault="00263BCB">
      <w:pPr>
        <w:spacing w:before="240" w:after="240" w:line="360" w:lineRule="auto"/>
        <w:jc w:val="both"/>
        <w:rPr>
          <w:sz w:val="24"/>
          <w:szCs w:val="24"/>
        </w:rPr>
      </w:pPr>
      <w:r>
        <w:rPr>
          <w:sz w:val="24"/>
          <w:szCs w:val="24"/>
        </w:rPr>
        <w:t>In the past, Target has adopted a cautious strategy with regard to its international retail growth – Canada's first store-market move was second only to other developed economies, the United States and Japan (Target, 2015). In 2010, Target signed certain acquisition agreements to purchase up to 220 former Zellers locations for C$1.825 billion which would allow for the development of a large Canadian store network. Target Canada was making an aggressive move to open locations and has re-committed significant</w:t>
      </w:r>
      <w:r>
        <w:rPr>
          <w:sz w:val="24"/>
          <w:szCs w:val="24"/>
        </w:rPr>
        <w:t xml:space="preserve"> resources—with a target of 124 stores coming from three distribution centres—in 2013 rather than a plant progressive slower ramp up. </w:t>
      </w:r>
    </w:p>
    <w:p w14:paraId="28432214" w14:textId="77777777" w:rsidR="007E1526" w:rsidRDefault="00263BCB">
      <w:pPr>
        <w:spacing w:before="240" w:after="240" w:line="360" w:lineRule="auto"/>
        <w:jc w:val="both"/>
        <w:rPr>
          <w:sz w:val="24"/>
          <w:szCs w:val="24"/>
        </w:rPr>
      </w:pPr>
      <w:r>
        <w:rPr>
          <w:sz w:val="24"/>
          <w:szCs w:val="24"/>
        </w:rPr>
        <w:t>But the Canadian entry was a hard sell. In its first-round expansion, Target downplayed sales expectations, start-up issues in supply chains and stocks in its side pockets. In January 2015, Target decided to no longer operate in Canada as there were no realistic opportunities for profitability over the near term (Target, 2015). Target Canada then operated 133 stores with around 17,600 people on the payroll. The impairment and related charges on the exit were around $5.1 billion predispositions. This was a l</w:t>
      </w:r>
      <w:r>
        <w:rPr>
          <w:sz w:val="24"/>
          <w:szCs w:val="24"/>
        </w:rPr>
        <w:t>esson in Target's past investment philosophy of a lot of “maybe maybe not”, and how that can lead to unacceptable risk as you explore the market, understand your sources and gain knowledge of consumer buying patterns, etc. Thus, the Canadian insight for Target is it has to be careful not to think its successful retail business in the United States can be exported to other countries. A slower, more gradual and more knowledge-based process of local market testing, with very reasoned resource commitments, woul</w:t>
      </w:r>
      <w:r>
        <w:rPr>
          <w:sz w:val="24"/>
          <w:szCs w:val="24"/>
        </w:rPr>
        <w:t xml:space="preserve">d offer more flexibility and prevent a repeat of the Canadian experiment that had a high up-front cost. </w:t>
      </w:r>
    </w:p>
    <w:p w14:paraId="327F2F49" w14:textId="77777777" w:rsidR="007E1526" w:rsidRDefault="00263BCB">
      <w:pPr>
        <w:pStyle w:val="Titlu3"/>
        <w:keepNext w:val="0"/>
        <w:keepLines w:val="0"/>
      </w:pPr>
      <w:bookmarkStart w:id="20" w:name="_heading=h.l7qe67aj8ln4" w:colFirst="0" w:colLast="0"/>
      <w:bookmarkEnd w:id="20"/>
      <w:r>
        <w:t xml:space="preserve">4.2 Entry Mode Options </w:t>
      </w:r>
    </w:p>
    <w:p w14:paraId="5445CB13" w14:textId="77777777" w:rsidR="007E1526" w:rsidRDefault="00263BCB">
      <w:pPr>
        <w:spacing w:before="240" w:after="240" w:line="360" w:lineRule="auto"/>
        <w:jc w:val="both"/>
        <w:rPr>
          <w:sz w:val="24"/>
          <w:szCs w:val="24"/>
        </w:rPr>
      </w:pPr>
      <w:r>
        <w:rPr>
          <w:sz w:val="24"/>
          <w:szCs w:val="24"/>
        </w:rPr>
        <w:t>Target has a number of pathways gaining access to Germany. Export would be a fence-post type of investment so it would offer little control over distribution, experience with the customer and brand positioning and provide a market test of demand. In either case, Target could run the risk of having to shift its distinct approach to customer service and brand specifications if it decides to go with licensing or franchising.</w:t>
      </w:r>
    </w:p>
    <w:p w14:paraId="148C83A7" w14:textId="77777777" w:rsidR="007E1526" w:rsidRDefault="00263BCB">
      <w:pPr>
        <w:spacing w:before="240" w:after="240" w:line="360" w:lineRule="auto"/>
        <w:jc w:val="both"/>
        <w:rPr>
          <w:sz w:val="24"/>
          <w:szCs w:val="24"/>
        </w:rPr>
      </w:pPr>
      <w:r>
        <w:rPr>
          <w:sz w:val="24"/>
          <w:szCs w:val="24"/>
        </w:rPr>
        <w:t xml:space="preserve">Strategic alliances may be possible based on Target's retail competence and a partner from Germany's marketplace expertise, their distribution network and their institutional competence. The same benefit would probably exist if it were a joint business, the only issue target would have is the problems with the operational control. A penetration through acquisition would provide immediate access to existing stores, employees, materials and customers, but appear to contain the potential for heavy investments </w:t>
      </w:r>
      <w:r>
        <w:rPr>
          <w:sz w:val="24"/>
          <w:szCs w:val="24"/>
        </w:rPr>
        <w:t>and integration issues.</w:t>
      </w:r>
    </w:p>
    <w:p w14:paraId="6DA358C9" w14:textId="77777777" w:rsidR="007E1526" w:rsidRDefault="00263BCB">
      <w:pPr>
        <w:spacing w:before="240" w:after="240" w:line="360" w:lineRule="auto"/>
        <w:jc w:val="both"/>
        <w:rPr>
          <w:sz w:val="24"/>
          <w:szCs w:val="24"/>
        </w:rPr>
      </w:pPr>
      <w:r>
        <w:rPr>
          <w:sz w:val="24"/>
          <w:szCs w:val="24"/>
        </w:rPr>
        <w:t xml:space="preserve">A 100% subsidiary would be a good option to ensure the maximum control for the Target brand, operations, technology, and customer experience. However, it would also beef up Target's international exposures to the greatest extent and be the biggest spend on resources that Target has made. Initially, a lower risk "collaborative" or "phased" approach seems more suitable to sell Target's Canadian experience, than an all-or-nothing investment in a full scale "Target Canada". </w:t>
      </w:r>
    </w:p>
    <w:p w14:paraId="2E91FCEC" w14:textId="77777777" w:rsidR="007E1526" w:rsidRDefault="00263BCB">
      <w:pPr>
        <w:pStyle w:val="Titlu3"/>
        <w:keepNext w:val="0"/>
        <w:keepLines w:val="0"/>
      </w:pPr>
      <w:bookmarkStart w:id="21" w:name="_heading=h.55jhd1nxjfug" w:colFirst="0" w:colLast="0"/>
      <w:bookmarkEnd w:id="21"/>
      <w:r>
        <w:t xml:space="preserve">4.3 Strategic Fit with Germany </w:t>
      </w:r>
    </w:p>
    <w:p w14:paraId="31A0C4C6" w14:textId="77777777" w:rsidR="007E1526" w:rsidRDefault="00263BCB">
      <w:pPr>
        <w:spacing w:before="200" w:after="200" w:line="360" w:lineRule="auto"/>
        <w:jc w:val="both"/>
        <w:rPr>
          <w:b/>
          <w:bCs/>
          <w:sz w:val="24"/>
          <w:szCs w:val="24"/>
        </w:rPr>
      </w:pPr>
      <w:r>
        <w:rPr>
          <w:sz w:val="24"/>
          <w:szCs w:val="24"/>
        </w:rPr>
        <w:t>The sophisticated buying habits and highly developed retail system in Germany would have the potential for doing well in the longer-term, although the competition and regulation is heavy, labour considerations and cultural differences would bring additional executing risks (Popescu, Gabor and Stancu, 2025). A completely owned model would be more controlling but would be vulnerable to the same risk of significant impacts to resources as in Canada. On the other hand, exporting would reduce the level of commit</w:t>
      </w:r>
      <w:r>
        <w:rPr>
          <w:sz w:val="24"/>
          <w:szCs w:val="24"/>
        </w:rPr>
        <w:t xml:space="preserve">ment, and would offer limited control on Target's ‘omnichannel retailing’ solution. Hence in many cases strategic alliance or joint venture might be a good mix of control, local knowledge, flexibility and money. One thing to be learned from Canada is that demand can be tested and Target must test that in Germany first to ensure they are not spending too much money on opening too many stores. Phased partnership-based entry would give Target the opportunity to learn, adjust plans, etc. </w:t>
      </w:r>
    </w:p>
    <w:p w14:paraId="7FA9AE00" w14:textId="77777777" w:rsidR="007E1526" w:rsidRDefault="00263BCB">
      <w:pPr>
        <w:pStyle w:val="Titlu3"/>
        <w:keepNext w:val="0"/>
        <w:keepLines w:val="0"/>
        <w:spacing w:before="280" w:after="80"/>
      </w:pPr>
      <w:bookmarkStart w:id="22" w:name="_heading=h.ktqvmz4s7j39" w:colFirst="0" w:colLast="0"/>
      <w:bookmarkEnd w:id="22"/>
      <w:r>
        <w:t>4.4 Recommended Entry Mode</w:t>
      </w:r>
    </w:p>
    <w:p w14:paraId="2B85408B" w14:textId="77777777" w:rsidR="007E1526" w:rsidRDefault="00263BCB">
      <w:pPr>
        <w:spacing w:before="240" w:after="240" w:line="360" w:lineRule="auto"/>
        <w:jc w:val="both"/>
        <w:rPr>
          <w:sz w:val="24"/>
          <w:szCs w:val="24"/>
        </w:rPr>
      </w:pPr>
      <w:r>
        <w:rPr>
          <w:sz w:val="24"/>
          <w:szCs w:val="24"/>
        </w:rPr>
        <w:t>Of the various options, a phased joint venture-based entry approach is the most suitable choice for Target's potential German expansion (</w:t>
      </w:r>
      <w:r>
        <w:rPr>
          <w:color w:val="222222"/>
          <w:sz w:val="24"/>
          <w:szCs w:val="24"/>
        </w:rPr>
        <w:t>Afewerki and Steen,  2023)</w:t>
      </w:r>
      <w:r>
        <w:rPr>
          <w:sz w:val="24"/>
          <w:szCs w:val="24"/>
        </w:rPr>
        <w:t>. The recommendation takes into consideration the need to reconcile market opportunity and the risk of Target's international experience (</w:t>
      </w:r>
      <w:r>
        <w:rPr>
          <w:color w:val="222222"/>
          <w:sz w:val="24"/>
          <w:szCs w:val="24"/>
        </w:rPr>
        <w:t>Ene, 2023)</w:t>
      </w:r>
      <w:r>
        <w:rPr>
          <w:sz w:val="24"/>
          <w:szCs w:val="24"/>
        </w:rPr>
        <w:t>.</w:t>
      </w:r>
    </w:p>
    <w:p w14:paraId="3209E8CB" w14:textId="77777777" w:rsidR="007E1526" w:rsidRDefault="00263BCB">
      <w:pPr>
        <w:spacing w:before="240" w:after="240" w:line="360" w:lineRule="auto"/>
        <w:jc w:val="both"/>
        <w:rPr>
          <w:sz w:val="24"/>
          <w:szCs w:val="24"/>
        </w:rPr>
      </w:pPr>
      <w:r>
        <w:rPr>
          <w:sz w:val="24"/>
          <w:szCs w:val="24"/>
        </w:rPr>
        <w:t xml:space="preserve">A joint venture would allow Target to bring its own knowledge and skills to the mix, as well as that of a German partner. Target might bring its proven retail brand, private brands, merchandising skills, digital capabilities and omnichannel systems to the table, while the local partner will bring knowledge of the German consumer, suppliers, employment practices, logistics and regulatory issues. </w:t>
      </w:r>
    </w:p>
    <w:p w14:paraId="4134747C" w14:textId="77777777" w:rsidR="007E1526" w:rsidRDefault="00263BCB">
      <w:pPr>
        <w:spacing w:before="240" w:after="240" w:line="360" w:lineRule="auto"/>
        <w:jc w:val="both"/>
        <w:rPr>
          <w:sz w:val="24"/>
          <w:szCs w:val="24"/>
        </w:rPr>
      </w:pPr>
      <w:r>
        <w:rPr>
          <w:sz w:val="24"/>
          <w:szCs w:val="24"/>
        </w:rPr>
        <w:t>A strategic alliance also would limit the amount of investment risk, but a joint venture would offer a more robust organizational structure and level of commitment to operations (</w:t>
      </w:r>
      <w:r>
        <w:rPr>
          <w:color w:val="222222"/>
          <w:sz w:val="24"/>
          <w:szCs w:val="24"/>
        </w:rPr>
        <w:t>Azis</w:t>
      </w:r>
      <w:r>
        <w:rPr>
          <w:i/>
          <w:iCs/>
          <w:color w:val="222222"/>
          <w:sz w:val="24"/>
          <w:szCs w:val="24"/>
        </w:rPr>
        <w:t xml:space="preserve"> et al.</w:t>
      </w:r>
      <w:r>
        <w:rPr>
          <w:color w:val="222222"/>
          <w:sz w:val="24"/>
          <w:szCs w:val="24"/>
        </w:rPr>
        <w:t>, 2023)</w:t>
      </w:r>
      <w:r>
        <w:rPr>
          <w:sz w:val="24"/>
          <w:szCs w:val="24"/>
        </w:rPr>
        <w:t>. The shared ownership arrangement might motivate both parties to put in resources and move in the direction of shared long-term goals, unlike a basic alliance. However, it would be crucial for Target to put in place very strong governance and management processes that would avoid investment, pricing, technological, brand and strategic conflict.</w:t>
      </w:r>
    </w:p>
    <w:p w14:paraId="1465907E" w14:textId="77777777" w:rsidR="007E1526" w:rsidRDefault="00263BCB">
      <w:pPr>
        <w:spacing w:before="240" w:after="240" w:line="360" w:lineRule="auto"/>
        <w:jc w:val="both"/>
        <w:rPr>
          <w:sz w:val="24"/>
          <w:szCs w:val="24"/>
        </w:rPr>
      </w:pPr>
      <w:r>
        <w:rPr>
          <w:sz w:val="24"/>
          <w:szCs w:val="24"/>
        </w:rPr>
        <w:t>It is not an attractive option initially, since it would be a lot of capital cost and integration problems may arise. The risk of making a big investment in the Canadian market without being familiar with it is well illustrated by the case of Target in Canada. Similarly, establishing a 100 per cent subsidiary would confer control but the target company would be very susceptible to financial and operational risks.</w:t>
      </w:r>
    </w:p>
    <w:p w14:paraId="1764E447" w14:textId="77777777" w:rsidR="007E1526" w:rsidRDefault="00263BCB">
      <w:pPr>
        <w:spacing w:before="240" w:after="240" w:line="360" w:lineRule="auto"/>
        <w:jc w:val="both"/>
        <w:rPr>
          <w:sz w:val="24"/>
          <w:szCs w:val="24"/>
        </w:rPr>
      </w:pPr>
      <w:r>
        <w:rPr>
          <w:sz w:val="24"/>
          <w:szCs w:val="24"/>
        </w:rPr>
        <w:t>The proposed approach is therefore to build-up a small scale joint venture business, which is based on primary markets, which are major in urban areas, digitally appealing and complemented by ecommerce with a small physical retail presence. Following metrics must be used to assess the performance; Customer acquisition, Sales growth, Profitability, Customer satisfaction, Supply-chain performance.</w:t>
      </w:r>
    </w:p>
    <w:p w14:paraId="14963B9B" w14:textId="77777777" w:rsidR="007E1526" w:rsidRDefault="00263BCB">
      <w:pPr>
        <w:pStyle w:val="Titlu2"/>
        <w:spacing w:before="240" w:after="240"/>
      </w:pPr>
      <w:bookmarkStart w:id="23" w:name="_heading=h.ivfcorv87cvc" w:colFirst="0" w:colLast="0"/>
      <w:bookmarkEnd w:id="23"/>
      <w:r>
        <w:t>4.5 Strategic Synthesis</w:t>
      </w:r>
    </w:p>
    <w:p w14:paraId="62796B8B" w14:textId="77777777" w:rsidR="007E1526" w:rsidRDefault="00263BCB">
      <w:pPr>
        <w:spacing w:before="240" w:after="240" w:line="360" w:lineRule="auto"/>
        <w:jc w:val="both"/>
        <w:rPr>
          <w:sz w:val="24"/>
          <w:szCs w:val="24"/>
        </w:rPr>
      </w:pPr>
      <w:r>
        <w:rPr>
          <w:sz w:val="24"/>
          <w:szCs w:val="24"/>
        </w:rPr>
        <w:t>There are some challenges associated with internationalisation, but Target is up for many of them in Germany (</w:t>
      </w:r>
      <w:r>
        <w:rPr>
          <w:color w:val="222222"/>
          <w:sz w:val="24"/>
          <w:szCs w:val="24"/>
        </w:rPr>
        <w:t>Reim</w:t>
      </w:r>
      <w:r>
        <w:rPr>
          <w:i/>
          <w:iCs/>
          <w:color w:val="222222"/>
          <w:sz w:val="24"/>
          <w:szCs w:val="24"/>
        </w:rPr>
        <w:t xml:space="preserve"> et al.</w:t>
      </w:r>
      <w:r>
        <w:rPr>
          <w:color w:val="222222"/>
          <w:sz w:val="24"/>
          <w:szCs w:val="24"/>
        </w:rPr>
        <w:t>, 2022)</w:t>
      </w:r>
      <w:r>
        <w:rPr>
          <w:sz w:val="24"/>
          <w:szCs w:val="24"/>
        </w:rPr>
        <w:t>. The country boasts a vast and very well informed consumer base, digital adoption, a well-developed logistics and supporting industries sector, and great opportunities for omnichannel retail. The factors mirror some of the strengths that Target currently has, such as its own brands, online retailing, and its expertise with merchandising and in-store fulfilment.</w:t>
      </w:r>
    </w:p>
    <w:p w14:paraId="671FA336" w14:textId="77777777" w:rsidR="007E1526" w:rsidRDefault="00263BCB">
      <w:pPr>
        <w:spacing w:before="240" w:after="240" w:line="360" w:lineRule="auto"/>
        <w:jc w:val="both"/>
        <w:rPr>
          <w:sz w:val="24"/>
          <w:szCs w:val="24"/>
        </w:rPr>
      </w:pPr>
      <w:r>
        <w:rPr>
          <w:sz w:val="24"/>
          <w:szCs w:val="24"/>
        </w:rPr>
        <w:t>Germany, however, has a number of disadvantages too. Target's positioning in Germany may not be a port that can be passed over without adjusting, as they are very price-sensitive and faced with the competition of discount retail stores (</w:t>
      </w:r>
      <w:r>
        <w:rPr>
          <w:color w:val="222222"/>
          <w:sz w:val="24"/>
          <w:szCs w:val="24"/>
        </w:rPr>
        <w:t>Pietzka,  2024)</w:t>
      </w:r>
      <w:r>
        <w:rPr>
          <w:sz w:val="24"/>
          <w:szCs w:val="24"/>
        </w:rPr>
        <w:t>. There's more to it with the regulatory landscape, labour-market pressures and cultural differences.</w:t>
      </w:r>
    </w:p>
    <w:p w14:paraId="43C54827" w14:textId="77777777" w:rsidR="007E1526" w:rsidRDefault="00263BCB">
      <w:pPr>
        <w:spacing w:before="240" w:after="240" w:line="360" w:lineRule="auto"/>
        <w:jc w:val="both"/>
        <w:rPr>
          <w:sz w:val="24"/>
          <w:szCs w:val="24"/>
        </w:rPr>
      </w:pPr>
      <w:r>
        <w:rPr>
          <w:sz w:val="24"/>
          <w:szCs w:val="24"/>
        </w:rPr>
        <w:t>The success of Target in the United States adds to the rationale for playing it safe. It had successfully expanded into large-scale international scale in the past, but resulted in a high cost of withdrawal. Germany should instead not be tackled with "mass reproduction" of the US model.</w:t>
      </w:r>
    </w:p>
    <w:p w14:paraId="026DCB7A" w14:textId="77777777" w:rsidR="007E1526" w:rsidRDefault="00263BCB">
      <w:pPr>
        <w:spacing w:before="240" w:after="240" w:line="360" w:lineRule="auto"/>
        <w:jc w:val="both"/>
        <w:rPr>
          <w:sz w:val="24"/>
          <w:szCs w:val="24"/>
        </w:rPr>
      </w:pPr>
      <w:r>
        <w:rPr>
          <w:sz w:val="24"/>
          <w:szCs w:val="24"/>
        </w:rPr>
        <w:t xml:space="preserve">The suggested approach is a phased joint venture entry that starts with controlled investment, partnerships within the local market and digital market testing. This would enable Target to leverage their core competences, and at the same time gain local knowledge of the German market, without exposing themselves to a lot of risks in the beginning. </w:t>
      </w:r>
    </w:p>
    <w:p w14:paraId="4923A97D" w14:textId="77777777" w:rsidR="007E1526" w:rsidRDefault="00263BCB">
      <w:pPr>
        <w:pStyle w:val="Titlu2"/>
      </w:pPr>
      <w:bookmarkStart w:id="24" w:name="_heading=h.v8eyq9jf8xz6" w:colFirst="0" w:colLast="0"/>
      <w:bookmarkEnd w:id="24"/>
      <w:r>
        <w:t>5. International Staffing Strategy</w:t>
      </w:r>
    </w:p>
    <w:p w14:paraId="7829F3A8" w14:textId="77777777" w:rsidR="007E1526" w:rsidRDefault="00263BCB">
      <w:pPr>
        <w:pStyle w:val="Titlu3"/>
      </w:pPr>
      <w:bookmarkStart w:id="25" w:name="_heading=h.k7sny5r4ccy9" w:colFirst="0" w:colLast="0"/>
      <w:bookmarkEnd w:id="25"/>
      <w:r>
        <w:t>5.1 Introduction to International Staffing</w:t>
      </w:r>
    </w:p>
    <w:p w14:paraId="7C755D4D" w14:textId="77777777" w:rsidR="007E1526" w:rsidRDefault="00263BCB">
      <w:pPr>
        <w:spacing w:line="360" w:lineRule="auto"/>
        <w:jc w:val="both"/>
        <w:rPr>
          <w:b/>
          <w:bCs/>
          <w:sz w:val="24"/>
          <w:szCs w:val="24"/>
        </w:rPr>
      </w:pPr>
      <w:r>
        <w:rPr>
          <w:sz w:val="24"/>
          <w:szCs w:val="24"/>
        </w:rPr>
        <w:t>In addition, international staffing is an important factor in Target's proposed plans to expand into Germany; the success of the new operation will be dependent upon the managers who will implement the new operation and the mode in which they are going to enter Germany. Good staffing can assist in organisationally controlling, transferring knowledge, appreciating cultures, improving employee performance and responding locally (</w:t>
      </w:r>
      <w:r>
        <w:rPr>
          <w:color w:val="222222"/>
          <w:sz w:val="24"/>
          <w:szCs w:val="24"/>
        </w:rPr>
        <w:t xml:space="preserve">Coates </w:t>
      </w:r>
      <w:r>
        <w:rPr>
          <w:i/>
          <w:iCs/>
          <w:color w:val="222222"/>
          <w:sz w:val="24"/>
          <w:szCs w:val="24"/>
        </w:rPr>
        <w:t>et al.,</w:t>
      </w:r>
      <w:r>
        <w:rPr>
          <w:color w:val="222222"/>
          <w:sz w:val="24"/>
          <w:szCs w:val="24"/>
        </w:rPr>
        <w:t xml:space="preserve"> 2025)</w:t>
      </w:r>
      <w:r>
        <w:rPr>
          <w:sz w:val="24"/>
          <w:szCs w:val="24"/>
        </w:rPr>
        <w:t>. Target must, therefore, develop a staffing plan which fits its international goals with the particular needs of the German market.</w:t>
      </w:r>
    </w:p>
    <w:p w14:paraId="3D895B1E" w14:textId="77777777" w:rsidR="007E1526" w:rsidRDefault="00263BCB">
      <w:pPr>
        <w:spacing w:line="360" w:lineRule="auto"/>
        <w:jc w:val="both"/>
        <w:rPr>
          <w:sz w:val="24"/>
          <w:szCs w:val="24"/>
        </w:rPr>
      </w:pPr>
      <w:r>
        <w:rPr>
          <w:sz w:val="24"/>
          <w:szCs w:val="24"/>
        </w:rPr>
        <w:t>The EPRG framework can be used to describe four ways of international staffing – ethnocentric, polycentric, regiocentric and geocentric. Both strategies have varying degrees of headquarters control and responsiveness. It is especially crucial for Target to assess these approaches as the suggested phased joint venture necessitates Target's global means and extensive knowledge of the German market.</w:t>
      </w:r>
    </w:p>
    <w:p w14:paraId="59796962" w14:textId="77777777" w:rsidR="007E1526" w:rsidRDefault="00263BCB">
      <w:pPr>
        <w:pStyle w:val="Titlu3"/>
      </w:pPr>
      <w:bookmarkStart w:id="26" w:name="_heading=h.vmrtg5fh0xq0" w:colFirst="0" w:colLast="0"/>
      <w:bookmarkEnd w:id="26"/>
      <w:r>
        <w:t>5.2 Ethnocentric Approach</w:t>
      </w:r>
    </w:p>
    <w:p w14:paraId="21CCCC7D" w14:textId="77777777" w:rsidR="007E1526" w:rsidRDefault="00263BCB">
      <w:pPr>
        <w:spacing w:before="480" w:after="120" w:line="360" w:lineRule="auto"/>
        <w:jc w:val="both"/>
        <w:rPr>
          <w:sz w:val="24"/>
          <w:szCs w:val="24"/>
        </w:rPr>
      </w:pPr>
      <w:r>
        <w:rPr>
          <w:sz w:val="24"/>
          <w:szCs w:val="24"/>
        </w:rPr>
        <w:t>An ethnocentric approach would be for Target to send managers from headquarters in the United States to key roles within the firm in Germany (</w:t>
      </w:r>
      <w:r>
        <w:rPr>
          <w:color w:val="222222"/>
          <w:sz w:val="24"/>
          <w:szCs w:val="24"/>
        </w:rPr>
        <w:t xml:space="preserve">Sethi </w:t>
      </w:r>
      <w:r>
        <w:rPr>
          <w:i/>
          <w:iCs/>
          <w:color w:val="222222"/>
          <w:sz w:val="24"/>
          <w:szCs w:val="24"/>
        </w:rPr>
        <w:t>et al.,</w:t>
      </w:r>
      <w:r>
        <w:rPr>
          <w:color w:val="222222"/>
          <w:sz w:val="24"/>
          <w:szCs w:val="24"/>
        </w:rPr>
        <w:t xml:space="preserve"> 2024)</w:t>
      </w:r>
      <w:r>
        <w:rPr>
          <w:sz w:val="24"/>
          <w:szCs w:val="24"/>
        </w:rPr>
        <w:t>. These managers would bring with them the Target culture, policies, procedures and goals to the new operation. Strong headquarters control would be a great plus. US managers will already be familiar with Target's brand, their operating systems, what they expect and what their priorities are. This might help to bridge the communication gap between Germany and headquarters, and help keep Target's customer-centric culture alive.</w:t>
      </w:r>
    </w:p>
    <w:p w14:paraId="48CDA2DD" w14:textId="77777777" w:rsidR="007E1526" w:rsidRDefault="00263BCB">
      <w:pPr>
        <w:spacing w:before="480" w:after="120" w:line="360" w:lineRule="auto"/>
        <w:jc w:val="both"/>
        <w:rPr>
          <w:sz w:val="24"/>
          <w:szCs w:val="24"/>
        </w:rPr>
      </w:pPr>
      <w:r>
        <w:rPr>
          <w:sz w:val="24"/>
          <w:szCs w:val="24"/>
        </w:rPr>
        <w:t>But high relocation, compensation and training costs can be caused by expatriate managers. They might also not be well-versed on German consumer preferences, employment practices, business culture and regulations. Communication and leadership issues may arise because of cultural differences, and too many Germans managed by Americans may be reluctant to go into top-level jobs.</w:t>
      </w:r>
    </w:p>
    <w:p w14:paraId="13EDCEC1" w14:textId="77777777" w:rsidR="007E1526" w:rsidRDefault="00263BCB">
      <w:pPr>
        <w:pStyle w:val="Titlu3"/>
      </w:pPr>
      <w:bookmarkStart w:id="27" w:name="_heading=h.nrimau18qmj7" w:colFirst="0" w:colLast="0"/>
      <w:bookmarkEnd w:id="27"/>
      <w:r>
        <w:t>5.3 Polycentric Approach</w:t>
      </w:r>
    </w:p>
    <w:p w14:paraId="25218D1E" w14:textId="77777777" w:rsidR="007E1526" w:rsidRDefault="00263BCB">
      <w:pPr>
        <w:spacing w:before="480" w:after="120" w:line="360" w:lineRule="auto"/>
        <w:jc w:val="both"/>
        <w:rPr>
          <w:sz w:val="24"/>
          <w:szCs w:val="24"/>
        </w:rPr>
      </w:pPr>
      <w:r>
        <w:rPr>
          <w:sz w:val="24"/>
          <w:szCs w:val="24"/>
        </w:rPr>
        <w:t>A polycentric approach would be one that would involve Target having German nationals in charge of its German operation (</w:t>
      </w:r>
      <w:r>
        <w:rPr>
          <w:color w:val="222222"/>
          <w:sz w:val="24"/>
          <w:szCs w:val="24"/>
        </w:rPr>
        <w:t>Lofthouse and Kral, 2025)</w:t>
      </w:r>
      <w:r>
        <w:rPr>
          <w:sz w:val="24"/>
          <w:szCs w:val="24"/>
        </w:rPr>
        <w:t>. This would be a valuable source of local knowledge and enhance Target's knowledge and understanding of German consumers, competitors and institutions.</w:t>
      </w:r>
    </w:p>
    <w:p w14:paraId="132F8AEC" w14:textId="77777777" w:rsidR="007E1526" w:rsidRDefault="00263BCB">
      <w:pPr>
        <w:spacing w:before="480" w:after="120" w:line="360" w:lineRule="auto"/>
        <w:jc w:val="both"/>
        <w:rPr>
          <w:sz w:val="24"/>
          <w:szCs w:val="24"/>
        </w:rPr>
      </w:pPr>
      <w:r>
        <w:rPr>
          <w:sz w:val="24"/>
          <w:szCs w:val="24"/>
        </w:rPr>
        <w:t>German managers would have insight into the local expectations of their customers, employment practices and be able to build relationships with suppliers, logistics companies and other companies. But also local leadership could show Target's interest in setting up a long-term presence in Germany.</w:t>
      </w:r>
    </w:p>
    <w:p w14:paraId="21F13D1A" w14:textId="77777777" w:rsidR="007E1526" w:rsidRDefault="00263BCB">
      <w:pPr>
        <w:spacing w:before="480" w:after="120" w:line="360" w:lineRule="auto"/>
        <w:jc w:val="both"/>
        <w:rPr>
          <w:sz w:val="24"/>
          <w:szCs w:val="24"/>
        </w:rPr>
      </w:pPr>
      <w:r>
        <w:rPr>
          <w:sz w:val="24"/>
          <w:szCs w:val="24"/>
        </w:rPr>
        <w:t>The biggest drawback is that the integration with Target headquarters might not be as robust as it could be. Communication and coordination issues could arise due to differing strategic views and management approaches of German managers. Target might also see less direct influence over how its worldwide strategy is put into practice (</w:t>
      </w:r>
      <w:r>
        <w:rPr>
          <w:color w:val="222222"/>
          <w:sz w:val="24"/>
          <w:szCs w:val="24"/>
        </w:rPr>
        <w:t>Malik</w:t>
      </w:r>
      <w:r>
        <w:rPr>
          <w:i/>
          <w:iCs/>
          <w:color w:val="222222"/>
          <w:sz w:val="24"/>
          <w:szCs w:val="24"/>
        </w:rPr>
        <w:t xml:space="preserve"> et al.</w:t>
      </w:r>
      <w:r>
        <w:rPr>
          <w:color w:val="222222"/>
          <w:sz w:val="24"/>
          <w:szCs w:val="24"/>
        </w:rPr>
        <w:t>, 2023)</w:t>
      </w:r>
      <w:r>
        <w:rPr>
          <w:sz w:val="24"/>
          <w:szCs w:val="24"/>
        </w:rPr>
        <w:t>.</w:t>
      </w:r>
    </w:p>
    <w:p w14:paraId="3EC1DF38" w14:textId="77777777" w:rsidR="007E1526" w:rsidRDefault="00263BCB">
      <w:pPr>
        <w:spacing w:before="480" w:after="120" w:line="360" w:lineRule="auto"/>
        <w:jc w:val="both"/>
        <w:rPr>
          <w:sz w:val="24"/>
          <w:szCs w:val="24"/>
        </w:rPr>
      </w:pPr>
      <w:r>
        <w:rPr>
          <w:sz w:val="24"/>
          <w:szCs w:val="24"/>
        </w:rPr>
        <w:t>A polycentric approach is therefore useful for being responsive to the local setting but less likely to be well integrated into Target's global organisation. It would be more appropriate for the German operation and would not be used throughout but across operational, HR and customer-facing roles.</w:t>
      </w:r>
    </w:p>
    <w:p w14:paraId="2E9D39D7" w14:textId="77777777" w:rsidR="007E1526" w:rsidRDefault="00263BCB">
      <w:pPr>
        <w:pStyle w:val="Titlu2"/>
        <w:keepNext w:val="0"/>
        <w:keepLines w:val="0"/>
        <w:spacing w:before="480" w:after="120"/>
      </w:pPr>
      <w:bookmarkStart w:id="28" w:name="_heading=h.496twc5ba8u1" w:colFirst="0" w:colLast="0"/>
      <w:bookmarkEnd w:id="28"/>
      <w:r>
        <w:t>5.4 Regiocentric Approach</w:t>
      </w:r>
    </w:p>
    <w:p w14:paraId="60C0C66B" w14:textId="77777777" w:rsidR="007E1526" w:rsidRDefault="00263BCB">
      <w:pPr>
        <w:spacing w:before="480" w:after="120" w:line="360" w:lineRule="auto"/>
        <w:jc w:val="both"/>
        <w:rPr>
          <w:sz w:val="24"/>
          <w:szCs w:val="24"/>
        </w:rPr>
      </w:pPr>
      <w:r>
        <w:rPr>
          <w:sz w:val="24"/>
          <w:szCs w:val="24"/>
        </w:rPr>
        <w:t>A regiocentric approach would be to plan the staffing for a regional structure based on Europe (</w:t>
      </w:r>
      <w:r>
        <w:rPr>
          <w:color w:val="222222"/>
          <w:sz w:val="24"/>
          <w:szCs w:val="24"/>
        </w:rPr>
        <w:t xml:space="preserve">Alugbuo </w:t>
      </w:r>
      <w:r>
        <w:rPr>
          <w:i/>
          <w:iCs/>
          <w:color w:val="222222"/>
          <w:sz w:val="24"/>
          <w:szCs w:val="24"/>
        </w:rPr>
        <w:t>et al.,</w:t>
      </w:r>
      <w:r>
        <w:rPr>
          <w:color w:val="222222"/>
          <w:sz w:val="24"/>
          <w:szCs w:val="24"/>
        </w:rPr>
        <w:t xml:space="preserve"> 2022)</w:t>
      </w:r>
      <w:r>
        <w:rPr>
          <w:sz w:val="24"/>
          <w:szCs w:val="24"/>
        </w:rPr>
        <w:t>. Target managers from Germany and other European countries may be appointed to oversee Target's operations in the region.</w:t>
      </w:r>
    </w:p>
    <w:p w14:paraId="5E88E47D" w14:textId="77777777" w:rsidR="007E1526" w:rsidRDefault="00263BCB">
      <w:pPr>
        <w:spacing w:before="480" w:after="120" w:line="360" w:lineRule="auto"/>
        <w:jc w:val="both"/>
        <w:rPr>
          <w:sz w:val="24"/>
          <w:szCs w:val="24"/>
        </w:rPr>
      </w:pPr>
      <w:r>
        <w:rPr>
          <w:sz w:val="24"/>
          <w:szCs w:val="24"/>
        </w:rPr>
        <w:t>This would be a positive for Target if it could make its presence felt in Germany and then spread throughout Europe. Germany may serve as a hub for regional knowledge transfer, coordination of the supply chains and market development. The managers could share their experience and knowledge on European consumer behaviour, regulations, technology and competition.</w:t>
      </w:r>
    </w:p>
    <w:p w14:paraId="44B285A6" w14:textId="77777777" w:rsidR="007E1526" w:rsidRDefault="00263BCB">
      <w:pPr>
        <w:spacing w:before="480" w:after="120" w:line="360" w:lineRule="auto"/>
        <w:jc w:val="both"/>
        <w:rPr>
          <w:sz w:val="24"/>
          <w:szCs w:val="24"/>
        </w:rPr>
      </w:pPr>
      <w:r>
        <w:rPr>
          <w:sz w:val="24"/>
          <w:szCs w:val="24"/>
        </w:rPr>
        <w:t>However, during its first few years in Germany a regiocentric structure could be premature as Target lacks a significant European retail network at present. It is, therefore, more suitable for a future staffing model to be used when the German operations are successful and Target expands to other European markets.</w:t>
      </w:r>
    </w:p>
    <w:p w14:paraId="0FBDFCE9" w14:textId="77777777" w:rsidR="007E1526" w:rsidRDefault="00263BCB">
      <w:pPr>
        <w:pStyle w:val="Titlu3"/>
      </w:pPr>
      <w:bookmarkStart w:id="29" w:name="_heading=h.9f7ksmk7bsjt" w:colFirst="0" w:colLast="0"/>
      <w:bookmarkEnd w:id="29"/>
      <w:r>
        <w:t>5.5 Geocentric Approach</w:t>
      </w:r>
    </w:p>
    <w:p w14:paraId="069C34B0" w14:textId="77777777" w:rsidR="007E1526" w:rsidRDefault="00263BCB">
      <w:pPr>
        <w:spacing w:before="480" w:after="120" w:line="360" w:lineRule="auto"/>
        <w:jc w:val="both"/>
        <w:rPr>
          <w:sz w:val="24"/>
          <w:szCs w:val="24"/>
        </w:rPr>
      </w:pPr>
      <w:r>
        <w:rPr>
          <w:sz w:val="24"/>
          <w:szCs w:val="24"/>
        </w:rPr>
        <w:t>A geocentric way of selection of managers is based on nationality independence, based on skills, experience and suitability (</w:t>
      </w:r>
      <w:r>
        <w:rPr>
          <w:color w:val="222222"/>
          <w:sz w:val="24"/>
          <w:szCs w:val="24"/>
        </w:rPr>
        <w:t>Adolph,2022)</w:t>
      </w:r>
      <w:r>
        <w:rPr>
          <w:sz w:val="24"/>
          <w:szCs w:val="24"/>
        </w:rPr>
        <w:t>. Target would need to hire able managers from the US, Germany and maybe other nations. The biggest benefit is that it brings worldwide integration and local expertise together. Target might fill senior strategic positions with experienced international managers and hire German managers who will have an understanding of personal customers, employees, regulations and the business.</w:t>
      </w:r>
    </w:p>
    <w:p w14:paraId="319E06B3" w14:textId="77777777" w:rsidR="007E1526" w:rsidRDefault="00263BCB">
      <w:pPr>
        <w:spacing w:before="480" w:after="120" w:line="360" w:lineRule="auto"/>
        <w:jc w:val="both"/>
        <w:rPr>
          <w:sz w:val="24"/>
          <w:szCs w:val="24"/>
        </w:rPr>
      </w:pPr>
      <w:r>
        <w:rPr>
          <w:sz w:val="24"/>
          <w:szCs w:val="24"/>
        </w:rPr>
        <w:t>Geocentric staffing also might facilitate knowledge sharing and diversity. US managers could share their know-how about the existing systems, technology and brand of Target, while German managers could share their experience about market conditions in Germany. This would ensure that Target doesn't merely import its U.S. business model into Germany without making significant modifications.</w:t>
      </w:r>
    </w:p>
    <w:p w14:paraId="1673D4CD" w14:textId="77777777" w:rsidR="007E1526" w:rsidRDefault="00263BCB">
      <w:pPr>
        <w:spacing w:before="480" w:after="120" w:line="360" w:lineRule="auto"/>
        <w:jc w:val="both"/>
        <w:rPr>
          <w:sz w:val="24"/>
          <w:szCs w:val="24"/>
        </w:rPr>
      </w:pPr>
      <w:r>
        <w:rPr>
          <w:sz w:val="24"/>
          <w:szCs w:val="24"/>
        </w:rPr>
        <w:t>The drawbacks are a more complex recruitment process, possible expatriate costs and immigration/employment requirements. Careful attention would also have to be paid to cultural differences. However, the mix of the approach is the most effective of Target's global integration needs and Germany's need for local responsiveness.</w:t>
      </w:r>
    </w:p>
    <w:p w14:paraId="74B772CB" w14:textId="77777777" w:rsidR="007E1526" w:rsidRDefault="00263BCB">
      <w:pPr>
        <w:pStyle w:val="Titlu3"/>
      </w:pPr>
      <w:bookmarkStart w:id="30" w:name="_heading=h.e53iyjfqneil" w:colFirst="0" w:colLast="0"/>
      <w:bookmarkEnd w:id="30"/>
      <w:r>
        <w:t>5.6 Recommended EPRG Strategy</w:t>
      </w:r>
    </w:p>
    <w:p w14:paraId="3CBBCA09" w14:textId="77777777" w:rsidR="007E1526" w:rsidRDefault="00263BCB">
      <w:pPr>
        <w:spacing w:before="480" w:after="120" w:line="360" w:lineRule="auto"/>
        <w:jc w:val="both"/>
        <w:rPr>
          <w:sz w:val="24"/>
          <w:szCs w:val="24"/>
        </w:rPr>
      </w:pPr>
      <w:r>
        <w:rPr>
          <w:sz w:val="24"/>
          <w:szCs w:val="24"/>
        </w:rPr>
        <w:t>The recommended staffing strategy would thus be a geocentric approach with an appropriate local management in German (</w:t>
      </w:r>
      <w:r>
        <w:rPr>
          <w:color w:val="222222"/>
          <w:sz w:val="24"/>
          <w:szCs w:val="24"/>
        </w:rPr>
        <w:t xml:space="preserve">Berndt </w:t>
      </w:r>
      <w:r>
        <w:rPr>
          <w:i/>
          <w:iCs/>
          <w:color w:val="222222"/>
          <w:sz w:val="24"/>
          <w:szCs w:val="24"/>
        </w:rPr>
        <w:t>et al.,</w:t>
      </w:r>
      <w:r>
        <w:rPr>
          <w:color w:val="222222"/>
          <w:sz w:val="24"/>
          <w:szCs w:val="24"/>
        </w:rPr>
        <w:t xml:space="preserve"> 2023)</w:t>
      </w:r>
      <w:r>
        <w:rPr>
          <w:sz w:val="24"/>
          <w:szCs w:val="24"/>
        </w:rPr>
        <w:t>. This is most suitable for a staged joint venture as proposed by Target as it needs control of the business on a global basis and local expertise.</w:t>
      </w:r>
    </w:p>
    <w:p w14:paraId="0B429184" w14:textId="77777777" w:rsidR="007E1526" w:rsidRDefault="00263BCB">
      <w:pPr>
        <w:spacing w:before="480" w:after="120" w:line="360" w:lineRule="auto"/>
        <w:jc w:val="both"/>
        <w:rPr>
          <w:sz w:val="24"/>
          <w:szCs w:val="24"/>
        </w:rPr>
      </w:pPr>
      <w:r>
        <w:rPr>
          <w:sz w:val="24"/>
          <w:szCs w:val="24"/>
        </w:rPr>
        <w:t>A select few competent, advanced Target managers were able to fill key strategic roles to keep the Target brand, tech, supply chain systems and corporate goals intact. Meanwhile, experienced German managers need to be given important operational jobs where knowledge of consumers, employees, suppliers, rules and local competition are crucial.</w:t>
      </w:r>
    </w:p>
    <w:p w14:paraId="13D52B0E" w14:textId="77777777" w:rsidR="007E1526" w:rsidRDefault="00263BCB">
      <w:pPr>
        <w:spacing w:before="480" w:after="120" w:line="360" w:lineRule="auto"/>
        <w:jc w:val="both"/>
        <w:rPr>
          <w:sz w:val="24"/>
          <w:szCs w:val="24"/>
        </w:rPr>
      </w:pPr>
      <w:r>
        <w:rPr>
          <w:sz w:val="24"/>
          <w:szCs w:val="24"/>
        </w:rPr>
        <w:t>This hybrid approach neutralizes the dominant drawbacks of ethnocentric and 100% polycentric staffing (</w:t>
      </w:r>
      <w:r>
        <w:rPr>
          <w:color w:val="222222"/>
          <w:sz w:val="24"/>
          <w:szCs w:val="24"/>
        </w:rPr>
        <w:t>Fuchs, 2022)</w:t>
      </w:r>
      <w:r>
        <w:rPr>
          <w:sz w:val="24"/>
          <w:szCs w:val="24"/>
        </w:rPr>
        <w:t>. Target wouldn't be too reliant on costly expatriates from America and German managers wouldn't be cut off from Target's broader business plan.</w:t>
      </w:r>
    </w:p>
    <w:p w14:paraId="73E1711B" w14:textId="77777777" w:rsidR="007E1526" w:rsidRDefault="00263BCB">
      <w:pPr>
        <w:spacing w:before="480" w:after="120" w:line="360" w:lineRule="auto"/>
        <w:jc w:val="both"/>
        <w:rPr>
          <w:sz w:val="24"/>
          <w:szCs w:val="24"/>
        </w:rPr>
      </w:pPr>
      <w:r>
        <w:rPr>
          <w:sz w:val="24"/>
          <w:szCs w:val="24"/>
        </w:rPr>
        <w:t>Two-way knowledge transfer would also be encouraged by the geocentric model. Target managers could bring the organisation skills to Germany and German managers can give feedback on consumer behaviour and competition. This would then assist Target to adjust their offer to fit the local needs.</w:t>
      </w:r>
    </w:p>
    <w:p w14:paraId="2ABCFB6A" w14:textId="77777777" w:rsidR="007E1526" w:rsidRDefault="00263BCB">
      <w:pPr>
        <w:spacing w:before="480" w:after="120" w:line="360" w:lineRule="auto"/>
        <w:jc w:val="both"/>
        <w:rPr>
          <w:sz w:val="24"/>
          <w:szCs w:val="24"/>
        </w:rPr>
      </w:pPr>
      <w:r>
        <w:rPr>
          <w:sz w:val="24"/>
          <w:szCs w:val="24"/>
        </w:rPr>
        <w:t>Geocentric staffing has the best balance of global integration, local responsiveness, managerial capability, knowledge transfer and organisation learning. It is hence the most suitable EPRG approach for the German expansion of Target.</w:t>
      </w:r>
    </w:p>
    <w:p w14:paraId="2F05ECD9" w14:textId="77777777" w:rsidR="007E1526" w:rsidRDefault="00263BCB">
      <w:pPr>
        <w:pStyle w:val="Titlu3"/>
      </w:pPr>
      <w:bookmarkStart w:id="31" w:name="_heading=h.f5r4d57plyox" w:colFirst="0" w:colLast="0"/>
      <w:bookmarkEnd w:id="31"/>
      <w:r>
        <w:t xml:space="preserve">5.7 Staffing Risk and Implementation </w:t>
      </w:r>
    </w:p>
    <w:p w14:paraId="115C046C" w14:textId="77777777" w:rsidR="007E1526" w:rsidRDefault="00263BCB">
      <w:pPr>
        <w:spacing w:before="480" w:after="120" w:line="360" w:lineRule="auto"/>
        <w:jc w:val="both"/>
        <w:rPr>
          <w:sz w:val="24"/>
          <w:szCs w:val="24"/>
        </w:rPr>
      </w:pPr>
      <w:r>
        <w:rPr>
          <w:sz w:val="24"/>
          <w:szCs w:val="24"/>
        </w:rPr>
        <w:t>Experienced Target expatriates and qualified German managers should be used in combination in implementation. Cross-cultural training is needed to minimize communication difficulties and to be able to understand the German working culture. Target will also have to make sure it meets German employment standards and have well-defined performance management processes. German management, the joint venture partner and the Target headquarters will need to maintain strategic communication regularly to ensure this.</w:t>
      </w:r>
    </w:p>
    <w:p w14:paraId="12225092" w14:textId="77777777" w:rsidR="007E1526" w:rsidRDefault="00263BCB">
      <w:pPr>
        <w:pStyle w:val="Titlu1"/>
      </w:pPr>
      <w:bookmarkStart w:id="32" w:name="_heading=h.x7puv17o12kw" w:colFirst="0" w:colLast="0"/>
      <w:bookmarkEnd w:id="32"/>
      <w:r>
        <w:t>Section 2: Reflective Commentary</w:t>
      </w:r>
    </w:p>
    <w:p w14:paraId="4979A065" w14:textId="77777777" w:rsidR="007E1526" w:rsidRDefault="00263BCB">
      <w:pPr>
        <w:spacing w:before="480" w:after="120" w:line="360" w:lineRule="auto"/>
        <w:jc w:val="both"/>
        <w:rPr>
          <w:b/>
          <w:bCs/>
          <w:sz w:val="24"/>
          <w:szCs w:val="24"/>
        </w:rPr>
      </w:pPr>
      <w:r>
        <w:rPr>
          <w:b/>
          <w:bCs/>
          <w:sz w:val="24"/>
          <w:szCs w:val="24"/>
        </w:rPr>
        <w:t>Rationale for Selecting Germany</w:t>
      </w:r>
    </w:p>
    <w:p w14:paraId="5A0B14BD" w14:textId="77777777" w:rsidR="007E1526" w:rsidRDefault="00263BCB">
      <w:pPr>
        <w:spacing w:before="240" w:after="240" w:line="360" w:lineRule="auto"/>
        <w:jc w:val="both"/>
        <w:rPr>
          <w:sz w:val="24"/>
          <w:szCs w:val="24"/>
        </w:rPr>
      </w:pPr>
      <w:r>
        <w:rPr>
          <w:sz w:val="24"/>
          <w:szCs w:val="24"/>
        </w:rPr>
        <w:t>Germany was chosen from a managerial point of view because of the market size, digital readiness, well-established infrastructure and sophistication of the consumer base, as well as the possibility of expanding beyond the company's very niche market in the US (</w:t>
      </w:r>
      <w:r>
        <w:rPr>
          <w:color w:val="222222"/>
          <w:sz w:val="24"/>
          <w:szCs w:val="24"/>
        </w:rPr>
        <w:t>Lechowski and Krzywdzinski, 2022)</w:t>
      </w:r>
      <w:r>
        <w:rPr>
          <w:sz w:val="24"/>
          <w:szCs w:val="24"/>
        </w:rPr>
        <w:t>. There are many interesting points to note regarding Target's omnichannel capabilities, one of the most pertinent being Germany's high embrace of online shopping and the maturity of its retail market. The first impression of the attractiveness of the German market, however, does not mean that all entry into the market would be successful.</w:t>
      </w:r>
    </w:p>
    <w:p w14:paraId="76276C86" w14:textId="77777777" w:rsidR="007E1526" w:rsidRDefault="00263BCB">
      <w:pPr>
        <w:spacing w:before="240" w:after="240" w:line="360" w:lineRule="auto"/>
        <w:jc w:val="both"/>
        <w:rPr>
          <w:sz w:val="24"/>
          <w:szCs w:val="24"/>
        </w:rPr>
      </w:pPr>
      <w:r>
        <w:rPr>
          <w:sz w:val="24"/>
          <w:szCs w:val="24"/>
        </w:rPr>
        <w:t>Other European markets might be explored as well. France, for instance, has a big consumer market and retail ecosystem, and the Netherlands is highly digital and globalized. However, Germany offers a particularly favourable strategic match with Target's business, thanks to its large domestic retail market, advanced logistics infrastructure and advanced digital retail landscape (</w:t>
      </w:r>
      <w:r>
        <w:rPr>
          <w:color w:val="222222"/>
          <w:sz w:val="24"/>
          <w:szCs w:val="24"/>
        </w:rPr>
        <w:t>Zolinski, 2023)</w:t>
      </w:r>
      <w:r>
        <w:rPr>
          <w:sz w:val="24"/>
          <w:szCs w:val="24"/>
        </w:rPr>
        <w:t>. Concurrently, the economy's competitiveness serves as a great environment in which Target's unique brands and omnichannel approach can create value outside of the U.S. market.</w:t>
      </w:r>
    </w:p>
    <w:p w14:paraId="617B5706" w14:textId="77777777" w:rsidR="007E1526" w:rsidRDefault="00263BCB">
      <w:pPr>
        <w:spacing w:before="240" w:after="240" w:line="360" w:lineRule="auto"/>
        <w:jc w:val="both"/>
        <w:rPr>
          <w:sz w:val="24"/>
          <w:szCs w:val="24"/>
        </w:rPr>
      </w:pPr>
      <w:r>
        <w:rPr>
          <w:sz w:val="24"/>
          <w:szCs w:val="24"/>
        </w:rPr>
        <w:t>Therefore, a balance of opportunity and risk has been taken with the decision. Germany is not included as a large European economy. Its appeal is due to Target's ability to fulfill the expectations of the local market and expectations within its US capabilities. This judgement also contributed to the recommendation of a gradual entry process and not to large scale entry.</w:t>
      </w:r>
    </w:p>
    <w:p w14:paraId="53C6753E" w14:textId="77777777" w:rsidR="007E1526" w:rsidRDefault="00263BCB">
      <w:pPr>
        <w:spacing w:before="240" w:after="240" w:line="360" w:lineRule="auto"/>
        <w:jc w:val="both"/>
        <w:rPr>
          <w:b/>
          <w:bCs/>
          <w:sz w:val="24"/>
          <w:szCs w:val="24"/>
        </w:rPr>
      </w:pPr>
      <w:r>
        <w:rPr>
          <w:sz w:val="24"/>
          <w:szCs w:val="24"/>
        </w:rPr>
        <w:t xml:space="preserve"> </w:t>
      </w:r>
      <w:r>
        <w:rPr>
          <w:b/>
          <w:bCs/>
          <w:sz w:val="24"/>
          <w:szCs w:val="24"/>
        </w:rPr>
        <w:t>Policies, Procedures and Academic Literature</w:t>
      </w:r>
    </w:p>
    <w:p w14:paraId="7F8CB338" w14:textId="77777777" w:rsidR="007E1526" w:rsidRDefault="00263BCB">
      <w:pPr>
        <w:spacing w:before="240" w:after="240" w:line="360" w:lineRule="auto"/>
        <w:jc w:val="both"/>
        <w:rPr>
          <w:sz w:val="24"/>
          <w:szCs w:val="24"/>
        </w:rPr>
      </w:pPr>
      <w:r>
        <w:rPr>
          <w:sz w:val="24"/>
          <w:szCs w:val="24"/>
        </w:rPr>
        <w:t>The recommendation was made with the company's information, statistics from the government, evidence from the industry and international business theory. Target's corporate information is quite relevant to the business context to understand its financial status, their strategic direction, their investments in technology, and capabilities of their supply chain as well as their experience in international markets. Company reports, however, should not be considered an accurate reflection of what the outside wo</w:t>
      </w:r>
      <w:r>
        <w:rPr>
          <w:sz w:val="24"/>
          <w:szCs w:val="24"/>
        </w:rPr>
        <w:t>rld thinks, but rather what the company's management thinks.</w:t>
      </w:r>
    </w:p>
    <w:p w14:paraId="53C47A88" w14:textId="77777777" w:rsidR="007E1526" w:rsidRDefault="00263BCB">
      <w:pPr>
        <w:spacing w:before="240" w:after="240" w:line="360" w:lineRule="auto"/>
        <w:jc w:val="both"/>
        <w:rPr>
          <w:sz w:val="24"/>
          <w:szCs w:val="24"/>
        </w:rPr>
      </w:pPr>
      <w:r>
        <w:rPr>
          <w:sz w:val="24"/>
          <w:szCs w:val="24"/>
        </w:rPr>
        <w:t>The government statistics give a more independent indicator of the condition of Germany. Information on Internet activity and Internet sales and retail transactions allows for an understanding of the readiness of the market for Target's Internet and Omnichannel business. Independent assessments of the level of labour shortages, infrastructure and institutional conditions are also provided by international organisations like the OECD (</w:t>
      </w:r>
      <w:r>
        <w:rPr>
          <w:color w:val="222222"/>
          <w:sz w:val="24"/>
          <w:szCs w:val="24"/>
        </w:rPr>
        <w:t>Guzzardi,2022)</w:t>
      </w:r>
      <w:r>
        <w:rPr>
          <w:sz w:val="24"/>
          <w:szCs w:val="24"/>
        </w:rPr>
        <w:t>.</w:t>
      </w:r>
    </w:p>
    <w:p w14:paraId="339D91BE" w14:textId="77777777" w:rsidR="007E1526" w:rsidRDefault="00263BCB">
      <w:pPr>
        <w:spacing w:before="240" w:after="240" w:line="360" w:lineRule="auto"/>
        <w:jc w:val="both"/>
        <w:rPr>
          <w:sz w:val="24"/>
          <w:szCs w:val="24"/>
        </w:rPr>
      </w:pPr>
      <w:r>
        <w:rPr>
          <w:sz w:val="24"/>
          <w:szCs w:val="24"/>
        </w:rPr>
        <w:t>However, there are drawbacks to secondary data. Market data can be stale, and industry data may have various methods and definitions. Consumer behaviour can also shift quickly due to inflation or technology and economic shifts as well. While academic literature provides some well-known explanations, theories can be insufficient to explain a modern global retailer.</w:t>
      </w:r>
    </w:p>
    <w:p w14:paraId="3EECF3CD" w14:textId="77777777" w:rsidR="007E1526" w:rsidRDefault="00263BCB">
      <w:pPr>
        <w:spacing w:before="240" w:after="240" w:line="360" w:lineRule="auto"/>
        <w:jc w:val="both"/>
        <w:rPr>
          <w:sz w:val="24"/>
          <w:szCs w:val="24"/>
        </w:rPr>
      </w:pPr>
      <w:r>
        <w:rPr>
          <w:sz w:val="24"/>
          <w:szCs w:val="24"/>
        </w:rPr>
        <w:t>This meant that the evidence was used as an adjunct to managerial judgment rather than as evidence to validate a decision. The best conclusions were delivered when the company information, government statistics and theory all agreed. These risks affect the company's operations and are known as Assumptions, Uncertainties and Risks.</w:t>
      </w:r>
    </w:p>
    <w:p w14:paraId="2351C7C8" w14:textId="77777777" w:rsidR="007E1526" w:rsidRDefault="00263BCB">
      <w:pPr>
        <w:spacing w:before="240" w:after="240" w:line="360" w:lineRule="auto"/>
        <w:jc w:val="both"/>
        <w:rPr>
          <w:sz w:val="24"/>
          <w:szCs w:val="24"/>
        </w:rPr>
      </w:pPr>
      <w:r>
        <w:rPr>
          <w:sz w:val="24"/>
          <w:szCs w:val="24"/>
        </w:rPr>
        <w:t>The recommendation is based on a number of key assumptions. First, it takes for granted that German consumers will be interested enough in the mix of value, design and private labeling and omnichannel convenience that Target offers. This is not possible as established German retailers already have strong relationships with their customers.</w:t>
      </w:r>
    </w:p>
    <w:p w14:paraId="136A0200" w14:textId="77777777" w:rsidR="007E1526" w:rsidRDefault="00263BCB">
      <w:pPr>
        <w:spacing w:before="240" w:after="240" w:line="360" w:lineRule="auto"/>
        <w:jc w:val="both"/>
        <w:rPr>
          <w:sz w:val="24"/>
          <w:szCs w:val="24"/>
        </w:rPr>
      </w:pPr>
      <w:r>
        <w:rPr>
          <w:sz w:val="24"/>
          <w:szCs w:val="24"/>
        </w:rPr>
        <w:t>Secondly, the analysis makes the assumption that the Target operating model in the U.S. can be adjusted to German cultural, legal and commercial specificities. The variation in consumer preferences, employment conditions, data protection and retail conditions may lead to higher implementation costs.</w:t>
      </w:r>
    </w:p>
    <w:p w14:paraId="64DB7245" w14:textId="77777777" w:rsidR="007E1526" w:rsidRDefault="00263BCB">
      <w:pPr>
        <w:spacing w:before="240" w:after="240" w:line="360" w:lineRule="auto"/>
        <w:jc w:val="both"/>
        <w:rPr>
          <w:sz w:val="24"/>
          <w:szCs w:val="24"/>
        </w:rPr>
      </w:pPr>
      <w:r>
        <w:rPr>
          <w:sz w:val="24"/>
          <w:szCs w:val="24"/>
        </w:rPr>
        <w:t>Uncertainty in the economy is another consideration. Inflation, consumer confidence, exchange rates and changes in economic activity in Europe could impact demand and profitability (</w:t>
      </w:r>
      <w:r>
        <w:rPr>
          <w:color w:val="222222"/>
          <w:sz w:val="24"/>
          <w:szCs w:val="24"/>
        </w:rPr>
        <w:t xml:space="preserve">Fortin </w:t>
      </w:r>
      <w:r>
        <w:rPr>
          <w:i/>
          <w:iCs/>
          <w:color w:val="222222"/>
          <w:sz w:val="24"/>
          <w:szCs w:val="24"/>
        </w:rPr>
        <w:t xml:space="preserve">et al., </w:t>
      </w:r>
      <w:r>
        <w:rPr>
          <w:color w:val="222222"/>
          <w:sz w:val="24"/>
          <w:szCs w:val="24"/>
        </w:rPr>
        <w:t>2023)</w:t>
      </w:r>
      <w:r>
        <w:rPr>
          <w:sz w:val="24"/>
          <w:szCs w:val="24"/>
        </w:rPr>
        <w:t>. Labour shortages may lead to higher recruitment expenses and supply-chain disruption may cause product availability and operating margins to suffer.</w:t>
      </w:r>
    </w:p>
    <w:p w14:paraId="51BBAAB7" w14:textId="77777777" w:rsidR="007E1526" w:rsidRDefault="00263BCB">
      <w:pPr>
        <w:spacing w:before="240" w:after="240" w:line="360" w:lineRule="auto"/>
        <w:jc w:val="both"/>
        <w:rPr>
          <w:sz w:val="24"/>
          <w:szCs w:val="24"/>
        </w:rPr>
      </w:pPr>
      <w:r>
        <w:rPr>
          <w:sz w:val="24"/>
          <w:szCs w:val="24"/>
        </w:rPr>
        <w:t>All of these uncertainties underscore the need for a gradual approach. If it turns out that the demand is not as strong as it was hoped, Target could restrict its further investments. If the market shows good growth and they are able to make a good profit, the company may make a larger investment in that market. The recommendation is thus intentionally flexible to the changing conditions. This course focuses on critical evaluation of theories and frameworks.This course aims at critical evaluation of theorie</w:t>
      </w:r>
      <w:r>
        <w:rPr>
          <w:sz w:val="24"/>
          <w:szCs w:val="24"/>
        </w:rPr>
        <w:t>s and frameworks.</w:t>
      </w:r>
    </w:p>
    <w:p w14:paraId="27910CAB" w14:textId="77777777" w:rsidR="007E1526" w:rsidRDefault="00263BCB">
      <w:pPr>
        <w:spacing w:before="240" w:after="240" w:line="360" w:lineRule="auto"/>
        <w:jc w:val="both"/>
        <w:rPr>
          <w:sz w:val="24"/>
          <w:szCs w:val="24"/>
        </w:rPr>
      </w:pPr>
      <w:r>
        <w:rPr>
          <w:sz w:val="24"/>
          <w:szCs w:val="24"/>
        </w:rPr>
        <w:t>The Porter's Diamond Model was helpful in analyzing the national competitive environment of Germany (</w:t>
      </w:r>
      <w:r>
        <w:rPr>
          <w:color w:val="222222"/>
          <w:sz w:val="24"/>
          <w:szCs w:val="24"/>
        </w:rPr>
        <w:t xml:space="preserve">Mweemba </w:t>
      </w:r>
      <w:r>
        <w:rPr>
          <w:i/>
          <w:iCs/>
          <w:color w:val="222222"/>
          <w:sz w:val="24"/>
          <w:szCs w:val="24"/>
        </w:rPr>
        <w:t>et al.,</w:t>
      </w:r>
      <w:r>
        <w:rPr>
          <w:color w:val="222222"/>
          <w:sz w:val="24"/>
          <w:szCs w:val="24"/>
        </w:rPr>
        <w:t xml:space="preserve"> 2022)</w:t>
      </w:r>
      <w:r>
        <w:rPr>
          <w:sz w:val="24"/>
          <w:szCs w:val="24"/>
        </w:rPr>
        <w:t>. Factor conditions underlined the quality of the German workforce, infrastructure and digital competence, whereas demand conditions came to underscore that advanced consumers and internet shopping are important. The logistics and technology strengths of related and supporting industries underscored the nation's logistics and technology prowess, and firm strategy and rivalry provided evidence of the significant competitive threat to Target.</w:t>
      </w:r>
    </w:p>
    <w:p w14:paraId="029FBBF7" w14:textId="77777777" w:rsidR="007E1526" w:rsidRDefault="00263BCB">
      <w:pPr>
        <w:spacing w:before="240" w:after="240" w:line="360" w:lineRule="auto"/>
        <w:jc w:val="both"/>
        <w:rPr>
          <w:sz w:val="24"/>
          <w:szCs w:val="24"/>
        </w:rPr>
      </w:pPr>
      <w:r>
        <w:rPr>
          <w:sz w:val="24"/>
          <w:szCs w:val="24"/>
        </w:rPr>
        <w:t>But this approach to Porter's framework is not applicable to a modern Multinational retailer. It can suggest that a company's competitive advantage is mainly achieved within national borders while Target's is based on international supply chains, international technology, and cross-border sourcing. The model also offers some limited insights into Target's own historical experience and specific organisational capabilities. Thus Diamond was helpful for evaluating the country but was unable to make its own dec</w:t>
      </w:r>
      <w:r>
        <w:rPr>
          <w:sz w:val="24"/>
          <w:szCs w:val="24"/>
        </w:rPr>
        <w:t>ision on the appropriate entry mode.</w:t>
      </w:r>
    </w:p>
    <w:p w14:paraId="44FA9CEA" w14:textId="77777777" w:rsidR="007E1526" w:rsidRDefault="00263BCB">
      <w:pPr>
        <w:spacing w:before="240" w:after="240" w:line="360" w:lineRule="auto"/>
        <w:jc w:val="both"/>
        <w:rPr>
          <w:sz w:val="24"/>
          <w:szCs w:val="24"/>
        </w:rPr>
      </w:pPr>
      <w:r>
        <w:rPr>
          <w:sz w:val="24"/>
          <w:szCs w:val="24"/>
        </w:rPr>
        <w:t>The EPRG Framework was also useful as a framework for looking at staffing. Ethnocentric, polycentric, regiocentric and geocentric approaches helped to explain the dilemma between centralization and adaptation. The geocentric recommendation is a consequence of the necessity to merge Target's international expertise with the managerial know-how of the Germans. But, organisations in reality don't exist in one type of EPRG. It is possible that Target will need to have US expatriates, German managers and, eventu</w:t>
      </w:r>
      <w:r>
        <w:rPr>
          <w:sz w:val="24"/>
          <w:szCs w:val="24"/>
        </w:rPr>
        <w:t>ally, the leadership for the region in Europe.</w:t>
      </w:r>
    </w:p>
    <w:p w14:paraId="5D62A0F7" w14:textId="77777777" w:rsidR="007E1526" w:rsidRDefault="00263BCB">
      <w:pPr>
        <w:spacing w:before="240" w:after="240" w:line="360" w:lineRule="auto"/>
        <w:jc w:val="both"/>
        <w:rPr>
          <w:b/>
          <w:bCs/>
          <w:sz w:val="24"/>
          <w:szCs w:val="24"/>
        </w:rPr>
      </w:pPr>
      <w:r>
        <w:rPr>
          <w:b/>
          <w:bCs/>
          <w:sz w:val="24"/>
          <w:szCs w:val="24"/>
        </w:rPr>
        <w:t>Alternative Strategic Recommendations</w:t>
      </w:r>
    </w:p>
    <w:p w14:paraId="2BC5FA0D" w14:textId="77777777" w:rsidR="007E1526" w:rsidRDefault="00263BCB">
      <w:pPr>
        <w:spacing w:before="240" w:after="240" w:line="360" w:lineRule="auto"/>
        <w:jc w:val="both"/>
        <w:rPr>
          <w:sz w:val="24"/>
          <w:szCs w:val="24"/>
        </w:rPr>
      </w:pPr>
      <w:r>
        <w:rPr>
          <w:sz w:val="24"/>
          <w:szCs w:val="24"/>
        </w:rPr>
        <w:t>There were a number of alternative strategies which could have been suggested. One alternative would be to select France instead of Germany. France has a big consumer market and retail facilities, and offers Target the opportunity to enter into Europe. Germany's digital adoption, market size and logistics, however, offer a better immediate fit with Target's proposed “omnichannel” model (OECD, 2026).</w:t>
      </w:r>
    </w:p>
    <w:p w14:paraId="651681CA" w14:textId="77777777" w:rsidR="007E1526" w:rsidRDefault="00263BCB">
      <w:pPr>
        <w:spacing w:before="240" w:after="240" w:line="360" w:lineRule="auto"/>
        <w:jc w:val="both"/>
        <w:rPr>
          <w:sz w:val="24"/>
          <w:szCs w:val="24"/>
        </w:rPr>
      </w:pPr>
      <w:r>
        <w:rPr>
          <w:sz w:val="24"/>
          <w:szCs w:val="24"/>
        </w:rPr>
        <w:t>An alternative entry mode might also have been considered an acquisition. Purchasing an existing German retailer would give the opportunity to gain access to stores, employees, customers and supply chains (</w:t>
      </w:r>
      <w:r>
        <w:rPr>
          <w:color w:val="222222"/>
          <w:sz w:val="24"/>
          <w:szCs w:val="24"/>
        </w:rPr>
        <w:t>Kannan</w:t>
      </w:r>
      <w:r>
        <w:rPr>
          <w:i/>
          <w:iCs/>
          <w:color w:val="222222"/>
          <w:sz w:val="24"/>
          <w:szCs w:val="24"/>
        </w:rPr>
        <w:t xml:space="preserve"> et al., </w:t>
      </w:r>
      <w:r>
        <w:rPr>
          <w:color w:val="222222"/>
          <w:sz w:val="24"/>
          <w:szCs w:val="24"/>
        </w:rPr>
        <w:t>2023)</w:t>
      </w:r>
      <w:r>
        <w:rPr>
          <w:sz w:val="24"/>
          <w:szCs w:val="24"/>
        </w:rPr>
        <w:t>. This would be a significant financial investment and integration challenge however. Target's Canadian high-profile failure makes the purchase risky at this stage, as there is no proof of market acceptance of the product.</w:t>
      </w:r>
    </w:p>
    <w:p w14:paraId="2B7DFDA6" w14:textId="77777777" w:rsidR="007E1526" w:rsidRDefault="00263BCB">
      <w:pPr>
        <w:spacing w:line="360" w:lineRule="auto"/>
        <w:jc w:val="both"/>
        <w:rPr>
          <w:sz w:val="24"/>
          <w:szCs w:val="24"/>
        </w:rPr>
      </w:pPr>
      <w:r>
        <w:rPr>
          <w:sz w:val="24"/>
          <w:szCs w:val="24"/>
        </w:rPr>
        <w:t>A polycentric staffing approach would also make sense as German managers have local knowledge (</w:t>
      </w:r>
      <w:r>
        <w:rPr>
          <w:color w:val="222222"/>
          <w:sz w:val="24"/>
          <w:szCs w:val="24"/>
        </w:rPr>
        <w:t xml:space="preserve">Rittelmeyer </w:t>
      </w:r>
      <w:r>
        <w:rPr>
          <w:i/>
          <w:iCs/>
          <w:color w:val="222222"/>
          <w:sz w:val="24"/>
          <w:szCs w:val="24"/>
        </w:rPr>
        <w:t>et al.,</w:t>
      </w:r>
      <w:r>
        <w:rPr>
          <w:color w:val="222222"/>
          <w:sz w:val="24"/>
          <w:szCs w:val="24"/>
        </w:rPr>
        <w:t xml:space="preserve"> 2025)</w:t>
      </w:r>
      <w:r>
        <w:rPr>
          <w:sz w:val="24"/>
          <w:szCs w:val="24"/>
        </w:rPr>
        <w:t>. But a polycentric system alone may run the risk of undermining the integration with Target's global organisation. A geocentric approach is better suited since it enables the company to bring together the German expertise and Target's global management skills.</w:t>
      </w:r>
    </w:p>
    <w:p w14:paraId="1B7885ED" w14:textId="77777777" w:rsidR="007E1526" w:rsidRDefault="00263BCB">
      <w:pPr>
        <w:spacing w:line="360" w:lineRule="auto"/>
        <w:jc w:val="both"/>
        <w:rPr>
          <w:sz w:val="24"/>
          <w:szCs w:val="24"/>
        </w:rPr>
      </w:pPr>
      <w:r>
        <w:rPr>
          <w:sz w:val="24"/>
          <w:szCs w:val="24"/>
        </w:rPr>
        <w:t>From the geocentric staffing perspective, the final recommendation is a more balanced one, because of the joint venture and the phase-planning. It gives local expertise without giving up global control and limits investment while Target can build up its German presence gradually.</w:t>
      </w:r>
    </w:p>
    <w:p w14:paraId="79B6868C" w14:textId="77777777" w:rsidR="007E1526" w:rsidRDefault="00263BCB">
      <w:pPr>
        <w:spacing w:line="360" w:lineRule="auto"/>
        <w:jc w:val="both"/>
        <w:rPr>
          <w:b/>
          <w:bCs/>
          <w:sz w:val="24"/>
          <w:szCs w:val="24"/>
        </w:rPr>
      </w:pPr>
      <w:r>
        <w:rPr>
          <w:b/>
          <w:bCs/>
          <w:sz w:val="24"/>
          <w:szCs w:val="24"/>
        </w:rPr>
        <w:t>Final Professional Reflection</w:t>
      </w:r>
    </w:p>
    <w:p w14:paraId="6A54A490" w14:textId="77777777" w:rsidR="007E1526" w:rsidRDefault="00263BCB">
      <w:pPr>
        <w:spacing w:line="360" w:lineRule="auto"/>
        <w:jc w:val="both"/>
        <w:rPr>
          <w:sz w:val="24"/>
          <w:szCs w:val="24"/>
        </w:rPr>
      </w:pPr>
      <w:r>
        <w:rPr>
          <w:sz w:val="24"/>
          <w:szCs w:val="24"/>
        </w:rPr>
        <w:t>This analysis shows that internationalisation is not merely a choice of a foreign market that is attractive. It involves managers to manage opportunity, organisation capability, uncertainty and risk. Germany is looking like a good strategic target, however there is no evidence to suggest that the Target model that worked in the U.S. will necessarily work in Germany.</w:t>
      </w:r>
    </w:p>
    <w:p w14:paraId="4C3A2452" w14:textId="77777777" w:rsidR="007E1526" w:rsidRDefault="00263BCB">
      <w:pPr>
        <w:spacing w:line="360" w:lineRule="auto"/>
        <w:jc w:val="both"/>
        <w:rPr>
          <w:sz w:val="24"/>
          <w:szCs w:val="24"/>
        </w:rPr>
      </w:pPr>
      <w:r>
        <w:rPr>
          <w:sz w:val="24"/>
          <w:szCs w:val="24"/>
        </w:rPr>
        <w:t>The overriding rule for management is to use evidence and professional judgement. While statistics can show market potential, they can't predict the entire consumer reaction and competitive and organizational performance. Likewise, frameworks like the Porter's Diamond and EPRG can organize analysis, but not all aspects of the intricate international business decision.</w:t>
      </w:r>
    </w:p>
    <w:p w14:paraId="6D9028DD" w14:textId="77777777" w:rsidR="007E1526" w:rsidRDefault="00263BCB">
      <w:pPr>
        <w:spacing w:line="360" w:lineRule="auto"/>
        <w:jc w:val="both"/>
        <w:rPr>
          <w:sz w:val="24"/>
          <w:szCs w:val="24"/>
        </w:rPr>
      </w:pPr>
      <w:r>
        <w:rPr>
          <w:sz w:val="24"/>
          <w:szCs w:val="24"/>
        </w:rPr>
        <w:t>So for future decisions about internationalisation I would give more weight to the aspects of staged commitment, scenario analysis, local partnerships and measurable performance indicators. I would consider the decision to expand internationally as a series of decisions, and be able to review it as more evidence is gathered. For Target, it's making careful entry into the market, learning from the market, and scaling when it's proven through commercial and operational evidence that they can scale. The follow</w:t>
      </w:r>
      <w:r>
        <w:rPr>
          <w:sz w:val="24"/>
          <w:szCs w:val="24"/>
        </w:rPr>
        <w:t>ing strategy offers a more sustainable foundation for international expansion and helps minimise the strategic mistakes made in previous go-to-market efforts internationally.</w:t>
      </w:r>
    </w:p>
    <w:p w14:paraId="4E7CA6A3" w14:textId="77777777" w:rsidR="007E1526" w:rsidRDefault="007E1526">
      <w:pPr>
        <w:spacing w:line="360" w:lineRule="auto"/>
        <w:jc w:val="both"/>
        <w:rPr>
          <w:sz w:val="24"/>
          <w:szCs w:val="24"/>
        </w:rPr>
      </w:pPr>
    </w:p>
    <w:p w14:paraId="1F119AE7" w14:textId="77777777" w:rsidR="007E1526" w:rsidRDefault="00263BCB">
      <w:pPr>
        <w:spacing w:line="360" w:lineRule="auto"/>
        <w:jc w:val="both"/>
        <w:rPr>
          <w:sz w:val="24"/>
          <w:szCs w:val="24"/>
        </w:rPr>
      </w:pPr>
      <w:r>
        <w:br w:type="page"/>
      </w:r>
    </w:p>
    <w:p w14:paraId="017041AD" w14:textId="77777777" w:rsidR="007E1526" w:rsidRDefault="00263BCB">
      <w:pPr>
        <w:pStyle w:val="Titlu1"/>
        <w:keepNext w:val="0"/>
        <w:keepLines w:val="0"/>
      </w:pPr>
      <w:bookmarkStart w:id="33" w:name="_heading=h.mtnyqr9rjz17" w:colFirst="0" w:colLast="0"/>
      <w:bookmarkEnd w:id="33"/>
      <w:r>
        <w:t xml:space="preserve">References </w:t>
      </w:r>
    </w:p>
    <w:p w14:paraId="4A942E56" w14:textId="77777777" w:rsidR="007E1526" w:rsidRDefault="00263BCB">
      <w:pPr>
        <w:spacing w:before="480" w:after="120" w:line="360" w:lineRule="auto"/>
        <w:jc w:val="both"/>
        <w:rPr>
          <w:sz w:val="24"/>
          <w:szCs w:val="24"/>
        </w:rPr>
      </w:pPr>
      <w:r>
        <w:rPr>
          <w:color w:val="222222"/>
          <w:sz w:val="24"/>
          <w:szCs w:val="24"/>
        </w:rPr>
        <w:t xml:space="preserve">Adolph, A., 2022. </w:t>
      </w:r>
      <w:r>
        <w:rPr>
          <w:i/>
          <w:iCs/>
          <w:color w:val="222222"/>
          <w:sz w:val="24"/>
          <w:szCs w:val="24"/>
        </w:rPr>
        <w:t>Impact of Multinational Companies Using Geocentric Recruitment Policy on Organization Performance on Tanzania: The Case of Dangote Company Industry</w:t>
      </w:r>
      <w:r>
        <w:rPr>
          <w:color w:val="222222"/>
          <w:sz w:val="24"/>
          <w:szCs w:val="24"/>
        </w:rPr>
        <w:t xml:space="preserve"> (Doctoral dissertation, The Open University of Tanzania).</w:t>
      </w:r>
      <w:r>
        <w:rPr>
          <w:sz w:val="24"/>
          <w:szCs w:val="24"/>
        </w:rPr>
        <w:t xml:space="preserve"> </w:t>
      </w:r>
    </w:p>
    <w:p w14:paraId="31C284B1" w14:textId="77777777" w:rsidR="007E1526" w:rsidRDefault="00263BCB">
      <w:pPr>
        <w:spacing w:line="360" w:lineRule="auto"/>
        <w:jc w:val="both"/>
        <w:rPr>
          <w:sz w:val="24"/>
          <w:szCs w:val="24"/>
        </w:rPr>
      </w:pPr>
      <w:r>
        <w:rPr>
          <w:color w:val="222222"/>
          <w:sz w:val="24"/>
          <w:szCs w:val="24"/>
        </w:rPr>
        <w:t xml:space="preserve">Afewerki, S. and Steen, M., 2023. Gaining lead firm position in an emerging industry: A global production networks analysis of two Scandinavian energy firms in offshore wind power. </w:t>
      </w:r>
      <w:r>
        <w:rPr>
          <w:i/>
          <w:iCs/>
          <w:color w:val="222222"/>
          <w:sz w:val="24"/>
          <w:szCs w:val="24"/>
        </w:rPr>
        <w:t>Competition &amp; Change</w:t>
      </w:r>
      <w:r>
        <w:rPr>
          <w:color w:val="222222"/>
          <w:sz w:val="24"/>
          <w:szCs w:val="24"/>
        </w:rPr>
        <w:t xml:space="preserve">, </w:t>
      </w:r>
      <w:r>
        <w:rPr>
          <w:i/>
          <w:iCs/>
          <w:color w:val="222222"/>
          <w:sz w:val="24"/>
          <w:szCs w:val="24"/>
        </w:rPr>
        <w:t>27</w:t>
      </w:r>
      <w:r>
        <w:rPr>
          <w:color w:val="222222"/>
          <w:sz w:val="24"/>
          <w:szCs w:val="24"/>
        </w:rPr>
        <w:t>(3-4), pp.551-574.</w:t>
      </w:r>
      <w:r>
        <w:rPr>
          <w:sz w:val="24"/>
          <w:szCs w:val="24"/>
        </w:rPr>
        <w:t xml:space="preserve"> </w:t>
      </w:r>
    </w:p>
    <w:p w14:paraId="0E694B60" w14:textId="77777777" w:rsidR="007E1526" w:rsidRDefault="00263BCB">
      <w:pPr>
        <w:spacing w:before="480" w:after="120" w:line="360" w:lineRule="auto"/>
        <w:jc w:val="both"/>
        <w:rPr>
          <w:sz w:val="24"/>
          <w:szCs w:val="24"/>
        </w:rPr>
      </w:pPr>
      <w:r>
        <w:rPr>
          <w:color w:val="222222"/>
          <w:sz w:val="24"/>
          <w:szCs w:val="24"/>
        </w:rPr>
        <w:t>Alugbuo, C.C., Ikwumezie, A. and Ugochukwu, C.O., 2022. CENTRAL ASIAN JOURNAL OF INNOVATIONS ON TOURISM MANAGEMENT AND FINANCE.</w:t>
      </w:r>
      <w:r>
        <w:rPr>
          <w:sz w:val="24"/>
          <w:szCs w:val="24"/>
        </w:rPr>
        <w:t xml:space="preserve"> </w:t>
      </w:r>
    </w:p>
    <w:p w14:paraId="787D69E1" w14:textId="77777777" w:rsidR="007E1526" w:rsidRDefault="00263BCB">
      <w:pPr>
        <w:spacing w:before="200" w:after="240" w:line="360" w:lineRule="auto"/>
        <w:jc w:val="both"/>
        <w:rPr>
          <w:sz w:val="24"/>
          <w:szCs w:val="24"/>
        </w:rPr>
      </w:pPr>
      <w:r>
        <w:rPr>
          <w:sz w:val="24"/>
          <w:szCs w:val="24"/>
        </w:rPr>
        <w:t>Asmat N.A.T., Norhayati Z. and Abdul Latif, S.A. (2022) Multidisciplinary perspectives on cross border trade and business. Edited by Asmat Nizam Abdul Talib, Norhayati Zakaria, and S.A. Abdul Latif. Hershey, Pennsylvania: Business Science Reference.</w:t>
      </w:r>
    </w:p>
    <w:p w14:paraId="7E53CBEE" w14:textId="77777777" w:rsidR="007E1526" w:rsidRDefault="00263BCB">
      <w:pPr>
        <w:spacing w:line="360" w:lineRule="auto"/>
        <w:jc w:val="both"/>
        <w:rPr>
          <w:sz w:val="24"/>
          <w:szCs w:val="24"/>
        </w:rPr>
      </w:pPr>
      <w:r>
        <w:rPr>
          <w:color w:val="222222"/>
          <w:sz w:val="24"/>
          <w:szCs w:val="24"/>
        </w:rPr>
        <w:t xml:space="preserve">Azis, A., Dewi, A., Septyadi, G., Sihite, R. and Khaddafi, M., 2023. Joint venture and strategic alliance. </w:t>
      </w:r>
      <w:r>
        <w:rPr>
          <w:i/>
          <w:iCs/>
          <w:color w:val="222222"/>
          <w:sz w:val="24"/>
          <w:szCs w:val="24"/>
        </w:rPr>
        <w:t>Journal of Accounting Research, Utility Finance and Digital Assets</w:t>
      </w:r>
      <w:r>
        <w:rPr>
          <w:color w:val="222222"/>
          <w:sz w:val="24"/>
          <w:szCs w:val="24"/>
        </w:rPr>
        <w:t xml:space="preserve">, </w:t>
      </w:r>
      <w:r>
        <w:rPr>
          <w:i/>
          <w:iCs/>
          <w:color w:val="222222"/>
          <w:sz w:val="24"/>
          <w:szCs w:val="24"/>
        </w:rPr>
        <w:t>2</w:t>
      </w:r>
      <w:r>
        <w:rPr>
          <w:color w:val="222222"/>
          <w:sz w:val="24"/>
          <w:szCs w:val="24"/>
        </w:rPr>
        <w:t>(1), pp.435-444.</w:t>
      </w:r>
      <w:r>
        <w:rPr>
          <w:sz w:val="24"/>
          <w:szCs w:val="24"/>
        </w:rPr>
        <w:t xml:space="preserve">  </w:t>
      </w:r>
    </w:p>
    <w:p w14:paraId="6FC35894" w14:textId="77777777" w:rsidR="007E1526" w:rsidRDefault="00263BCB">
      <w:pPr>
        <w:spacing w:before="480" w:after="120" w:line="360" w:lineRule="auto"/>
        <w:jc w:val="both"/>
        <w:rPr>
          <w:sz w:val="24"/>
          <w:szCs w:val="24"/>
        </w:rPr>
      </w:pPr>
      <w:r>
        <w:rPr>
          <w:color w:val="222222"/>
          <w:sz w:val="24"/>
          <w:szCs w:val="24"/>
        </w:rPr>
        <w:t xml:space="preserve">Berndt, R., Fantapié Altobelli, C. and Sander, M., 2023. Human Resources Planning in International Companies. In </w:t>
      </w:r>
      <w:r>
        <w:rPr>
          <w:i/>
          <w:iCs/>
          <w:color w:val="222222"/>
          <w:sz w:val="24"/>
          <w:szCs w:val="24"/>
        </w:rPr>
        <w:t>International Marketing Management</w:t>
      </w:r>
      <w:r>
        <w:rPr>
          <w:color w:val="222222"/>
          <w:sz w:val="24"/>
          <w:szCs w:val="24"/>
        </w:rPr>
        <w:t xml:space="preserve"> (pp. 579-593). Berlin, Heidelberg: Springer Berlin Heidelberg.</w:t>
      </w:r>
      <w:r>
        <w:rPr>
          <w:sz w:val="24"/>
          <w:szCs w:val="24"/>
        </w:rPr>
        <w:t xml:space="preserve"> </w:t>
      </w:r>
    </w:p>
    <w:p w14:paraId="342A0DFE" w14:textId="77777777" w:rsidR="007E1526" w:rsidRDefault="00263BCB">
      <w:pPr>
        <w:spacing w:line="360" w:lineRule="auto"/>
        <w:jc w:val="both"/>
        <w:rPr>
          <w:sz w:val="24"/>
          <w:szCs w:val="24"/>
        </w:rPr>
      </w:pPr>
      <w:r>
        <w:rPr>
          <w:color w:val="222222"/>
          <w:sz w:val="24"/>
          <w:szCs w:val="24"/>
        </w:rPr>
        <w:t xml:space="preserve">Coates, J.M., Santhanalakshmi, K., Dinesh, N., Gandhimathi, S., Chandel, P.S. and Selvakumar, P., 2025. Assessment and evaluation in transnational staff development. In </w:t>
      </w:r>
      <w:r>
        <w:rPr>
          <w:i/>
          <w:iCs/>
          <w:color w:val="222222"/>
          <w:sz w:val="24"/>
          <w:szCs w:val="24"/>
        </w:rPr>
        <w:t>Training and development in transnational higher education</w:t>
      </w:r>
      <w:r>
        <w:rPr>
          <w:color w:val="222222"/>
          <w:sz w:val="24"/>
          <w:szCs w:val="24"/>
        </w:rPr>
        <w:t xml:space="preserve"> (pp. 387-406). IGI Global Scientific Publishing.</w:t>
      </w:r>
      <w:r>
        <w:rPr>
          <w:sz w:val="24"/>
          <w:szCs w:val="24"/>
        </w:rPr>
        <w:t xml:space="preserve"> </w:t>
      </w:r>
    </w:p>
    <w:p w14:paraId="4C679639" w14:textId="77777777" w:rsidR="007E1526" w:rsidRDefault="00263BCB">
      <w:pPr>
        <w:spacing w:after="240" w:line="360" w:lineRule="auto"/>
        <w:jc w:val="both"/>
        <w:rPr>
          <w:sz w:val="24"/>
          <w:szCs w:val="24"/>
        </w:rPr>
      </w:pPr>
      <w:r>
        <w:rPr>
          <w:sz w:val="24"/>
          <w:szCs w:val="24"/>
        </w:rPr>
        <w:t xml:space="preserve">EBSCO. (2024). </w:t>
      </w:r>
      <w:r>
        <w:rPr>
          <w:i/>
          <w:iCs/>
          <w:sz w:val="24"/>
          <w:szCs w:val="24"/>
        </w:rPr>
        <w:t>Target Corporation | Business and Management | Research Starters | EBSCOhost</w:t>
      </w:r>
      <w:r>
        <w:rPr>
          <w:sz w:val="24"/>
          <w:szCs w:val="24"/>
        </w:rPr>
        <w:t xml:space="preserve">. [online] Available at: </w:t>
      </w:r>
      <w:hyperlink r:id="rId8">
        <w:r>
          <w:rPr>
            <w:color w:val="1155CC"/>
            <w:sz w:val="24"/>
            <w:szCs w:val="24"/>
            <w:u w:val="single"/>
          </w:rPr>
          <w:t>https://www.ebsco.com/</w:t>
        </w:r>
      </w:hyperlink>
      <w:r>
        <w:rPr>
          <w:sz w:val="24"/>
          <w:szCs w:val="24"/>
        </w:rPr>
        <w:t xml:space="preserve">  [Accessed 11 Sept. 2026].</w:t>
      </w:r>
    </w:p>
    <w:p w14:paraId="3CFAF774" w14:textId="77777777" w:rsidR="007E1526" w:rsidRDefault="00263BCB">
      <w:pPr>
        <w:spacing w:line="360" w:lineRule="auto"/>
        <w:jc w:val="both"/>
        <w:rPr>
          <w:color w:val="222222"/>
          <w:sz w:val="24"/>
          <w:szCs w:val="24"/>
        </w:rPr>
      </w:pPr>
      <w:r>
        <w:rPr>
          <w:color w:val="222222"/>
          <w:sz w:val="24"/>
          <w:szCs w:val="24"/>
        </w:rPr>
        <w:t>Ene, C., 2023. Building a market entry strategy for an industrial disinfectant company.</w:t>
      </w:r>
    </w:p>
    <w:p w14:paraId="02F3E274" w14:textId="77777777" w:rsidR="007E1526" w:rsidRDefault="00263BCB">
      <w:pPr>
        <w:spacing w:after="240" w:line="360" w:lineRule="auto"/>
        <w:jc w:val="both"/>
        <w:rPr>
          <w:sz w:val="24"/>
          <w:szCs w:val="24"/>
        </w:rPr>
      </w:pPr>
      <w:r>
        <w:rPr>
          <w:sz w:val="24"/>
          <w:szCs w:val="24"/>
        </w:rPr>
        <w:t xml:space="preserve">Eurostat (2026). </w:t>
      </w:r>
      <w:r>
        <w:rPr>
          <w:i/>
          <w:iCs/>
          <w:sz w:val="24"/>
          <w:szCs w:val="24"/>
        </w:rPr>
        <w:t>E-commerce statistics for individuals</w:t>
      </w:r>
      <w:r>
        <w:rPr>
          <w:sz w:val="24"/>
          <w:szCs w:val="24"/>
        </w:rPr>
        <w:t xml:space="preserve">. [online] EU_Eurostat. Available at: </w:t>
      </w:r>
      <w:hyperlink r:id="rId9">
        <w:r>
          <w:rPr>
            <w:color w:val="1155CC"/>
            <w:sz w:val="24"/>
            <w:szCs w:val="24"/>
            <w:u w:val="single"/>
          </w:rPr>
          <w:t>https://ec.europa.eu/eurostat/statistics-explained/index.php?title=E-commerce_statistics_for_individuals</w:t>
        </w:r>
      </w:hyperlink>
      <w:r>
        <w:rPr>
          <w:sz w:val="24"/>
          <w:szCs w:val="24"/>
        </w:rPr>
        <w:t xml:space="preserve">  [Accessed 10 Sept. 2026].</w:t>
      </w:r>
    </w:p>
    <w:p w14:paraId="6143304A" w14:textId="77777777" w:rsidR="007E1526" w:rsidRDefault="00263BCB">
      <w:pPr>
        <w:spacing w:before="200" w:after="240" w:line="360" w:lineRule="auto"/>
        <w:jc w:val="both"/>
        <w:rPr>
          <w:sz w:val="24"/>
          <w:szCs w:val="24"/>
        </w:rPr>
      </w:pPr>
      <w:r>
        <w:rPr>
          <w:sz w:val="24"/>
          <w:szCs w:val="24"/>
        </w:rPr>
        <w:t xml:space="preserve">Fassio, C., Franco, C. and Moschella, D., 2026. Innovation and internationalisation in the digital era: new theoretical perspectives and empirical evidence. </w:t>
      </w:r>
      <w:r>
        <w:rPr>
          <w:i/>
          <w:iCs/>
          <w:sz w:val="24"/>
          <w:szCs w:val="24"/>
        </w:rPr>
        <w:t>Industry and Innovation</w:t>
      </w:r>
      <w:r>
        <w:rPr>
          <w:sz w:val="24"/>
          <w:szCs w:val="24"/>
        </w:rPr>
        <w:t xml:space="preserve">, </w:t>
      </w:r>
      <w:r>
        <w:rPr>
          <w:i/>
          <w:iCs/>
          <w:sz w:val="24"/>
          <w:szCs w:val="24"/>
        </w:rPr>
        <w:t>33</w:t>
      </w:r>
      <w:r>
        <w:rPr>
          <w:sz w:val="24"/>
          <w:szCs w:val="24"/>
        </w:rPr>
        <w:t xml:space="preserve">(1), pp.1-12. </w:t>
      </w:r>
    </w:p>
    <w:p w14:paraId="69A070E8" w14:textId="77777777" w:rsidR="007E1526" w:rsidRDefault="00263BCB">
      <w:pPr>
        <w:spacing w:after="240" w:line="360" w:lineRule="auto"/>
        <w:jc w:val="both"/>
        <w:rPr>
          <w:sz w:val="24"/>
          <w:szCs w:val="24"/>
        </w:rPr>
      </w:pPr>
      <w:r>
        <w:rPr>
          <w:sz w:val="24"/>
          <w:szCs w:val="24"/>
        </w:rPr>
        <w:t xml:space="preserve">Federal Statistical Office. (2025). </w:t>
      </w:r>
      <w:r>
        <w:rPr>
          <w:i/>
          <w:iCs/>
          <w:sz w:val="24"/>
          <w:szCs w:val="24"/>
        </w:rPr>
        <w:t>Internet users and online shoppers</w:t>
      </w:r>
      <w:r>
        <w:rPr>
          <w:sz w:val="24"/>
          <w:szCs w:val="24"/>
        </w:rPr>
        <w:t xml:space="preserve">. [online] Available at: </w:t>
      </w:r>
      <w:hyperlink r:id="rId10">
        <w:r>
          <w:rPr>
            <w:color w:val="1155CC"/>
            <w:sz w:val="24"/>
            <w:szCs w:val="24"/>
            <w:u w:val="single"/>
          </w:rPr>
          <w:t>https://www.destatis.de/EN/Themes/Society-Environment/Income-Consumption-Living-Conditions/Use-Information-Technologies/Tables/use-internet-sex-age-mz-ikt.html</w:t>
        </w:r>
      </w:hyperlink>
      <w:r>
        <w:rPr>
          <w:sz w:val="24"/>
          <w:szCs w:val="24"/>
        </w:rPr>
        <w:t>?  [Accessed 10 Sept. 2026].</w:t>
      </w:r>
    </w:p>
    <w:p w14:paraId="4B1865F2" w14:textId="77777777" w:rsidR="007E1526" w:rsidRDefault="00263BCB">
      <w:pPr>
        <w:spacing w:before="480" w:after="120" w:line="360" w:lineRule="auto"/>
        <w:jc w:val="both"/>
        <w:rPr>
          <w:sz w:val="24"/>
          <w:szCs w:val="24"/>
        </w:rPr>
      </w:pPr>
      <w:r>
        <w:rPr>
          <w:color w:val="222222"/>
          <w:sz w:val="24"/>
          <w:szCs w:val="24"/>
        </w:rPr>
        <w:t xml:space="preserve">Fortin, I., Hlouskova, J. and Sögner, L., 2023. Financial and economic uncertainties and their effects on the economy. </w:t>
      </w:r>
      <w:r>
        <w:rPr>
          <w:i/>
          <w:iCs/>
          <w:color w:val="222222"/>
          <w:sz w:val="24"/>
          <w:szCs w:val="24"/>
        </w:rPr>
        <w:t>Empirica</w:t>
      </w:r>
      <w:r>
        <w:rPr>
          <w:color w:val="222222"/>
          <w:sz w:val="24"/>
          <w:szCs w:val="24"/>
        </w:rPr>
        <w:t xml:space="preserve">, </w:t>
      </w:r>
      <w:r>
        <w:rPr>
          <w:i/>
          <w:iCs/>
          <w:color w:val="222222"/>
          <w:sz w:val="24"/>
          <w:szCs w:val="24"/>
        </w:rPr>
        <w:t>50</w:t>
      </w:r>
      <w:r>
        <w:rPr>
          <w:color w:val="222222"/>
          <w:sz w:val="24"/>
          <w:szCs w:val="24"/>
        </w:rPr>
        <w:t>(2), pp.481-521.</w:t>
      </w:r>
      <w:r>
        <w:rPr>
          <w:sz w:val="24"/>
          <w:szCs w:val="24"/>
        </w:rPr>
        <w:t xml:space="preserve"> </w:t>
      </w:r>
    </w:p>
    <w:p w14:paraId="020BE3D0" w14:textId="77777777" w:rsidR="007E1526" w:rsidRDefault="00263BCB">
      <w:pPr>
        <w:spacing w:before="480" w:after="120" w:line="360" w:lineRule="auto"/>
        <w:jc w:val="both"/>
        <w:rPr>
          <w:sz w:val="24"/>
          <w:szCs w:val="24"/>
        </w:rPr>
      </w:pPr>
      <w:r>
        <w:rPr>
          <w:color w:val="222222"/>
          <w:sz w:val="24"/>
          <w:szCs w:val="24"/>
        </w:rPr>
        <w:t xml:space="preserve">Fuchs, M., 2022. MNCs’ open international strategy–local dynamics: Transfer of German “vocational education and training” to emerging economies. </w:t>
      </w:r>
      <w:r>
        <w:rPr>
          <w:i/>
          <w:iCs/>
          <w:color w:val="222222"/>
          <w:sz w:val="24"/>
          <w:szCs w:val="24"/>
        </w:rPr>
        <w:t>critical perspectives on international business</w:t>
      </w:r>
      <w:r>
        <w:rPr>
          <w:color w:val="222222"/>
          <w:sz w:val="24"/>
          <w:szCs w:val="24"/>
        </w:rPr>
        <w:t xml:space="preserve">, </w:t>
      </w:r>
      <w:r>
        <w:rPr>
          <w:i/>
          <w:iCs/>
          <w:color w:val="222222"/>
          <w:sz w:val="24"/>
          <w:szCs w:val="24"/>
        </w:rPr>
        <w:t>18</w:t>
      </w:r>
      <w:r>
        <w:rPr>
          <w:color w:val="222222"/>
          <w:sz w:val="24"/>
          <w:szCs w:val="24"/>
        </w:rPr>
        <w:t>(1), pp.97-114.</w:t>
      </w:r>
      <w:r>
        <w:rPr>
          <w:sz w:val="24"/>
          <w:szCs w:val="24"/>
        </w:rPr>
        <w:t xml:space="preserve"> </w:t>
      </w:r>
    </w:p>
    <w:p w14:paraId="1D2F4F72" w14:textId="77777777" w:rsidR="007E1526" w:rsidRDefault="00263BCB">
      <w:pPr>
        <w:spacing w:before="480" w:after="120" w:line="360" w:lineRule="auto"/>
        <w:jc w:val="both"/>
        <w:rPr>
          <w:sz w:val="24"/>
          <w:szCs w:val="24"/>
        </w:rPr>
      </w:pPr>
      <w:r>
        <w:rPr>
          <w:color w:val="222222"/>
          <w:sz w:val="24"/>
          <w:szCs w:val="24"/>
        </w:rPr>
        <w:t xml:space="preserve">Guzzardi, M., 2022. </w:t>
      </w:r>
      <w:r>
        <w:rPr>
          <w:i/>
          <w:iCs/>
          <w:color w:val="222222"/>
          <w:sz w:val="24"/>
          <w:szCs w:val="24"/>
        </w:rPr>
        <w:t>Omnichannel government services: setting business targets and performance indicators</w:t>
      </w:r>
      <w:r>
        <w:rPr>
          <w:color w:val="222222"/>
          <w:sz w:val="24"/>
          <w:szCs w:val="24"/>
        </w:rPr>
        <w:t xml:space="preserve"> (Doctoral dissertation, Politecnico di Torino).</w:t>
      </w:r>
      <w:r>
        <w:rPr>
          <w:sz w:val="24"/>
          <w:szCs w:val="24"/>
        </w:rPr>
        <w:t xml:space="preserve"> </w:t>
      </w:r>
    </w:p>
    <w:p w14:paraId="3B079AB0" w14:textId="77777777" w:rsidR="007E1526" w:rsidRDefault="00263BCB">
      <w:pPr>
        <w:spacing w:before="240" w:after="240" w:line="360" w:lineRule="auto"/>
        <w:jc w:val="both"/>
        <w:rPr>
          <w:sz w:val="24"/>
          <w:szCs w:val="24"/>
        </w:rPr>
      </w:pPr>
      <w:r>
        <w:rPr>
          <w:color w:val="222222"/>
          <w:sz w:val="24"/>
          <w:szCs w:val="24"/>
        </w:rPr>
        <w:t xml:space="preserve">Kannan, S., Bruch, J.D. and Song, Z., 2023. Changes in hospital adverse events and patient outcomes associated with private equity acquisition. </w:t>
      </w:r>
      <w:r>
        <w:rPr>
          <w:i/>
          <w:iCs/>
          <w:color w:val="222222"/>
          <w:sz w:val="24"/>
          <w:szCs w:val="24"/>
        </w:rPr>
        <w:t>Jama</w:t>
      </w:r>
      <w:r>
        <w:rPr>
          <w:color w:val="222222"/>
          <w:sz w:val="24"/>
          <w:szCs w:val="24"/>
        </w:rPr>
        <w:t xml:space="preserve">, </w:t>
      </w:r>
      <w:r>
        <w:rPr>
          <w:i/>
          <w:iCs/>
          <w:color w:val="222222"/>
          <w:sz w:val="24"/>
          <w:szCs w:val="24"/>
        </w:rPr>
        <w:t>330</w:t>
      </w:r>
      <w:r>
        <w:rPr>
          <w:color w:val="222222"/>
          <w:sz w:val="24"/>
          <w:szCs w:val="24"/>
        </w:rPr>
        <w:t>(24), pp.2365-2375.</w:t>
      </w:r>
      <w:r>
        <w:rPr>
          <w:sz w:val="24"/>
          <w:szCs w:val="24"/>
        </w:rPr>
        <w:t xml:space="preserve"> </w:t>
      </w:r>
    </w:p>
    <w:p w14:paraId="2DC62D5A" w14:textId="77777777" w:rsidR="007E1526" w:rsidRDefault="00263BCB">
      <w:pPr>
        <w:spacing w:before="200" w:after="240" w:line="360" w:lineRule="auto"/>
        <w:jc w:val="both"/>
        <w:rPr>
          <w:sz w:val="24"/>
          <w:szCs w:val="24"/>
        </w:rPr>
      </w:pPr>
      <w:r>
        <w:rPr>
          <w:sz w:val="24"/>
          <w:szCs w:val="24"/>
        </w:rPr>
        <w:t xml:space="preserve">Khartit, K. (2026). </w:t>
      </w:r>
      <w:r>
        <w:rPr>
          <w:i/>
          <w:iCs/>
          <w:sz w:val="24"/>
          <w:szCs w:val="24"/>
        </w:rPr>
        <w:t>Understanding the Porter Diamond Model for National Advantage</w:t>
      </w:r>
      <w:r>
        <w:rPr>
          <w:sz w:val="24"/>
          <w:szCs w:val="24"/>
        </w:rPr>
        <w:t xml:space="preserve">. [online] Investopedia. Available at: </w:t>
      </w:r>
      <w:hyperlink r:id="rId11">
        <w:r>
          <w:rPr>
            <w:color w:val="1155CC"/>
            <w:sz w:val="24"/>
            <w:szCs w:val="24"/>
            <w:u w:val="single"/>
          </w:rPr>
          <w:t>https://www.investopedia.com/terms/p/porter-diamond.asp</w:t>
        </w:r>
      </w:hyperlink>
      <w:r>
        <w:rPr>
          <w:sz w:val="24"/>
          <w:szCs w:val="24"/>
        </w:rPr>
        <w:t xml:space="preserve">  [Accessed 11 Sept. 2026].</w:t>
      </w:r>
    </w:p>
    <w:p w14:paraId="26C6A040" w14:textId="77777777" w:rsidR="007E1526" w:rsidRDefault="00263BCB">
      <w:pPr>
        <w:spacing w:before="480" w:after="120" w:line="360" w:lineRule="auto"/>
        <w:jc w:val="both"/>
        <w:rPr>
          <w:sz w:val="24"/>
          <w:szCs w:val="24"/>
        </w:rPr>
      </w:pPr>
      <w:r>
        <w:rPr>
          <w:color w:val="222222"/>
          <w:sz w:val="24"/>
          <w:szCs w:val="24"/>
        </w:rPr>
        <w:t xml:space="preserve">Lechowski, G. and Krzywdzinski, M., 2022. Emerging positions of German firms in the industrial internet of things: A global technological ecosystem perspective. </w:t>
      </w:r>
      <w:r>
        <w:rPr>
          <w:i/>
          <w:iCs/>
          <w:color w:val="222222"/>
          <w:sz w:val="24"/>
          <w:szCs w:val="24"/>
        </w:rPr>
        <w:t>Global Networks</w:t>
      </w:r>
      <w:r>
        <w:rPr>
          <w:color w:val="222222"/>
          <w:sz w:val="24"/>
          <w:szCs w:val="24"/>
        </w:rPr>
        <w:t xml:space="preserve">, </w:t>
      </w:r>
      <w:r>
        <w:rPr>
          <w:i/>
          <w:iCs/>
          <w:color w:val="222222"/>
          <w:sz w:val="24"/>
          <w:szCs w:val="24"/>
        </w:rPr>
        <w:t>22</w:t>
      </w:r>
      <w:r>
        <w:rPr>
          <w:color w:val="222222"/>
          <w:sz w:val="24"/>
          <w:szCs w:val="24"/>
        </w:rPr>
        <w:t>(4), pp.666-683.</w:t>
      </w:r>
      <w:r>
        <w:rPr>
          <w:sz w:val="24"/>
          <w:szCs w:val="24"/>
        </w:rPr>
        <w:t xml:space="preserve"> </w:t>
      </w:r>
    </w:p>
    <w:p w14:paraId="2CFE86D3" w14:textId="77777777" w:rsidR="007E1526" w:rsidRDefault="00263BCB">
      <w:pPr>
        <w:spacing w:line="360" w:lineRule="auto"/>
        <w:jc w:val="both"/>
        <w:rPr>
          <w:sz w:val="24"/>
          <w:szCs w:val="24"/>
        </w:rPr>
      </w:pPr>
      <w:r>
        <w:rPr>
          <w:color w:val="222222"/>
          <w:sz w:val="24"/>
          <w:szCs w:val="24"/>
        </w:rPr>
        <w:t xml:space="preserve">Lofthouse, J.K. and Kral, L., 2025. A polycentric approach for addressing wicked social problems. </w:t>
      </w:r>
      <w:r>
        <w:rPr>
          <w:i/>
          <w:iCs/>
          <w:color w:val="222222"/>
          <w:sz w:val="24"/>
          <w:szCs w:val="24"/>
        </w:rPr>
        <w:t>Administrative Sciences</w:t>
      </w:r>
      <w:r>
        <w:rPr>
          <w:color w:val="222222"/>
          <w:sz w:val="24"/>
          <w:szCs w:val="24"/>
        </w:rPr>
        <w:t xml:space="preserve">, </w:t>
      </w:r>
      <w:r>
        <w:rPr>
          <w:i/>
          <w:iCs/>
          <w:color w:val="222222"/>
          <w:sz w:val="24"/>
          <w:szCs w:val="24"/>
        </w:rPr>
        <w:t>15</w:t>
      </w:r>
      <w:r>
        <w:rPr>
          <w:color w:val="222222"/>
          <w:sz w:val="24"/>
          <w:szCs w:val="24"/>
        </w:rPr>
        <w:t>(1), p.22.</w:t>
      </w:r>
      <w:r>
        <w:rPr>
          <w:sz w:val="24"/>
          <w:szCs w:val="24"/>
        </w:rPr>
        <w:t xml:space="preserve"> </w:t>
      </w:r>
    </w:p>
    <w:p w14:paraId="3B8722BF" w14:textId="77777777" w:rsidR="007E1526" w:rsidRDefault="00263BCB">
      <w:pPr>
        <w:spacing w:before="200" w:after="240" w:line="360" w:lineRule="auto"/>
        <w:jc w:val="both"/>
        <w:rPr>
          <w:sz w:val="24"/>
          <w:szCs w:val="24"/>
        </w:rPr>
      </w:pPr>
      <w:r>
        <w:rPr>
          <w:sz w:val="24"/>
          <w:szCs w:val="24"/>
        </w:rPr>
        <w:t xml:space="preserve">Lukesch, M. and Schmid, Y., 2022. </w:t>
      </w:r>
      <w:r>
        <w:rPr>
          <w:i/>
          <w:iCs/>
          <w:sz w:val="24"/>
          <w:szCs w:val="24"/>
        </w:rPr>
        <w:t>From Russia With Bravado: The Entry of Mere Into Germany's Hyper-Competitive Food Market</w:t>
      </w:r>
      <w:r>
        <w:rPr>
          <w:sz w:val="24"/>
          <w:szCs w:val="24"/>
        </w:rPr>
        <w:t xml:space="preserve">. SAGE Publications: SAGE Business Cases Originals. </w:t>
      </w:r>
    </w:p>
    <w:p w14:paraId="4A4CC7E9" w14:textId="77777777" w:rsidR="007E1526" w:rsidRDefault="00263BCB">
      <w:pPr>
        <w:spacing w:line="360" w:lineRule="auto"/>
        <w:jc w:val="both"/>
        <w:rPr>
          <w:sz w:val="24"/>
          <w:szCs w:val="24"/>
        </w:rPr>
      </w:pPr>
      <w:r>
        <w:rPr>
          <w:color w:val="222222"/>
          <w:sz w:val="24"/>
          <w:szCs w:val="24"/>
        </w:rPr>
        <w:t xml:space="preserve">Malik, A., Sinha, P., Budhwar, P. and Pereira, V., 2023. Managing legitimacy in a cross-border post-merger integration context: the role of language strategies. </w:t>
      </w:r>
      <w:r>
        <w:rPr>
          <w:i/>
          <w:iCs/>
          <w:color w:val="222222"/>
          <w:sz w:val="24"/>
          <w:szCs w:val="24"/>
        </w:rPr>
        <w:t>The InTernaTIonal Journal of human resource managemenT</w:t>
      </w:r>
      <w:r>
        <w:rPr>
          <w:color w:val="222222"/>
          <w:sz w:val="24"/>
          <w:szCs w:val="24"/>
        </w:rPr>
        <w:t xml:space="preserve">, </w:t>
      </w:r>
      <w:r>
        <w:rPr>
          <w:i/>
          <w:iCs/>
          <w:color w:val="222222"/>
          <w:sz w:val="24"/>
          <w:szCs w:val="24"/>
        </w:rPr>
        <w:t>34</w:t>
      </w:r>
      <w:r>
        <w:rPr>
          <w:color w:val="222222"/>
          <w:sz w:val="24"/>
          <w:szCs w:val="24"/>
        </w:rPr>
        <w:t>(21), pp.4144-4174.</w:t>
      </w:r>
      <w:r>
        <w:rPr>
          <w:sz w:val="24"/>
          <w:szCs w:val="24"/>
        </w:rPr>
        <w:t xml:space="preserve"> </w:t>
      </w:r>
    </w:p>
    <w:p w14:paraId="7E9E1D44" w14:textId="77777777" w:rsidR="007E1526" w:rsidRDefault="00263BCB">
      <w:pPr>
        <w:spacing w:before="200" w:after="240" w:line="360" w:lineRule="auto"/>
        <w:jc w:val="both"/>
        <w:rPr>
          <w:sz w:val="24"/>
          <w:szCs w:val="24"/>
        </w:rPr>
      </w:pPr>
      <w:r>
        <w:rPr>
          <w:sz w:val="24"/>
          <w:szCs w:val="24"/>
        </w:rPr>
        <w:t xml:space="preserve">Migkos, S.P., Giannakopoulos, N.T. and Sakas, D.P., 2025. Impact of influencer marketing on consumer behavior and online shopping preferences. </w:t>
      </w:r>
      <w:r>
        <w:rPr>
          <w:i/>
          <w:iCs/>
          <w:sz w:val="24"/>
          <w:szCs w:val="24"/>
        </w:rPr>
        <w:t>Journal of Theoretical and Applied Electronic Commerce Research</w:t>
      </w:r>
      <w:r>
        <w:rPr>
          <w:sz w:val="24"/>
          <w:szCs w:val="24"/>
        </w:rPr>
        <w:t xml:space="preserve">, </w:t>
      </w:r>
      <w:r>
        <w:rPr>
          <w:i/>
          <w:iCs/>
          <w:sz w:val="24"/>
          <w:szCs w:val="24"/>
        </w:rPr>
        <w:t>20</w:t>
      </w:r>
      <w:r>
        <w:rPr>
          <w:sz w:val="24"/>
          <w:szCs w:val="24"/>
        </w:rPr>
        <w:t xml:space="preserve">(2), p.111.  </w:t>
      </w:r>
    </w:p>
    <w:p w14:paraId="12D5C1ED" w14:textId="77777777" w:rsidR="007E1526" w:rsidRDefault="00263BCB">
      <w:pPr>
        <w:spacing w:before="480" w:after="120" w:line="360" w:lineRule="auto"/>
        <w:jc w:val="both"/>
        <w:rPr>
          <w:sz w:val="24"/>
          <w:szCs w:val="24"/>
        </w:rPr>
      </w:pPr>
      <w:r>
        <w:rPr>
          <w:color w:val="222222"/>
          <w:sz w:val="24"/>
          <w:szCs w:val="24"/>
        </w:rPr>
        <w:t xml:space="preserve">Mweemba, B., Mukosa, F., Matoka, W., Chikwanda, J. and Muhyila, M., 2022. The Competitiveness of Nations: Literature Review. </w:t>
      </w:r>
      <w:r>
        <w:rPr>
          <w:i/>
          <w:iCs/>
          <w:color w:val="222222"/>
          <w:sz w:val="24"/>
          <w:szCs w:val="24"/>
        </w:rPr>
        <w:t>International Journal of Innovative Science and Research Technology</w:t>
      </w:r>
      <w:r>
        <w:rPr>
          <w:color w:val="222222"/>
          <w:sz w:val="24"/>
          <w:szCs w:val="24"/>
        </w:rPr>
        <w:t xml:space="preserve">, </w:t>
      </w:r>
      <w:r>
        <w:rPr>
          <w:i/>
          <w:iCs/>
          <w:color w:val="222222"/>
          <w:sz w:val="24"/>
          <w:szCs w:val="24"/>
        </w:rPr>
        <w:t>7</w:t>
      </w:r>
      <w:r>
        <w:rPr>
          <w:color w:val="222222"/>
          <w:sz w:val="24"/>
          <w:szCs w:val="24"/>
        </w:rPr>
        <w:t>, pp.1007-1013.</w:t>
      </w:r>
      <w:r>
        <w:rPr>
          <w:sz w:val="24"/>
          <w:szCs w:val="24"/>
        </w:rPr>
        <w:t xml:space="preserve"> </w:t>
      </w:r>
    </w:p>
    <w:p w14:paraId="2D7D5D1E" w14:textId="77777777" w:rsidR="007E1526" w:rsidRDefault="00263BCB">
      <w:pPr>
        <w:spacing w:before="200" w:after="240" w:line="360" w:lineRule="auto"/>
        <w:jc w:val="both"/>
        <w:rPr>
          <w:sz w:val="24"/>
          <w:szCs w:val="24"/>
        </w:rPr>
      </w:pPr>
      <w:r>
        <w:rPr>
          <w:sz w:val="24"/>
          <w:szCs w:val="24"/>
        </w:rPr>
        <w:t xml:space="preserve">Notteboom, T. and Neyens, K., 2017. The future of port logistics: meeting the challenges of supply chain integration. </w:t>
      </w:r>
      <w:r>
        <w:rPr>
          <w:i/>
          <w:iCs/>
          <w:sz w:val="24"/>
          <w:szCs w:val="24"/>
        </w:rPr>
        <w:t>ING Bank: Bruselas, Belgium</w:t>
      </w:r>
      <w:r>
        <w:rPr>
          <w:sz w:val="24"/>
          <w:szCs w:val="24"/>
        </w:rPr>
        <w:t>.</w:t>
      </w:r>
    </w:p>
    <w:p w14:paraId="3D6A0E55" w14:textId="77777777" w:rsidR="007E1526" w:rsidRDefault="00263BCB">
      <w:pPr>
        <w:spacing w:before="480" w:after="120" w:line="360" w:lineRule="auto"/>
        <w:jc w:val="both"/>
        <w:rPr>
          <w:sz w:val="24"/>
          <w:szCs w:val="24"/>
        </w:rPr>
      </w:pPr>
      <w:r>
        <w:rPr>
          <w:sz w:val="24"/>
          <w:szCs w:val="24"/>
        </w:rPr>
        <w:t xml:space="preserve">OECD 2026. Local Retail, Global Trends. Available in: </w:t>
      </w:r>
      <w:hyperlink r:id="rId12">
        <w:r>
          <w:rPr>
            <w:color w:val="1155CC"/>
            <w:sz w:val="24"/>
            <w:szCs w:val="24"/>
            <w:u w:val="single"/>
          </w:rPr>
          <w:t>https://www.oecd.org/en/publications/local-retail-global-trends_55e2edec-en/full-report/the-twin-transition-of-retail-smes_e9ff5378.html</w:t>
        </w:r>
      </w:hyperlink>
      <w:r>
        <w:rPr>
          <w:sz w:val="24"/>
          <w:szCs w:val="24"/>
        </w:rPr>
        <w:t xml:space="preserve"> (Accessed on 11.09.2026)</w:t>
      </w:r>
    </w:p>
    <w:p w14:paraId="28B4A2D4" w14:textId="77777777" w:rsidR="007E1526" w:rsidRDefault="00263BCB">
      <w:pPr>
        <w:spacing w:line="360" w:lineRule="auto"/>
        <w:jc w:val="both"/>
        <w:rPr>
          <w:sz w:val="24"/>
          <w:szCs w:val="24"/>
        </w:rPr>
      </w:pPr>
      <w:r>
        <w:rPr>
          <w:color w:val="222222"/>
          <w:sz w:val="24"/>
          <w:szCs w:val="24"/>
        </w:rPr>
        <w:t xml:space="preserve">Pietzka, J.P., 2024. </w:t>
      </w:r>
      <w:r>
        <w:rPr>
          <w:i/>
          <w:iCs/>
          <w:color w:val="222222"/>
          <w:sz w:val="24"/>
          <w:szCs w:val="24"/>
        </w:rPr>
        <w:t>Internationalization Project of Salivitae-An In-Depth Market Analysis of Germany</w:t>
      </w:r>
      <w:r>
        <w:rPr>
          <w:color w:val="222222"/>
          <w:sz w:val="24"/>
          <w:szCs w:val="24"/>
        </w:rPr>
        <w:t xml:space="preserve"> (Master's thesis, Universidade NOVA de Lisboa (Portugal)).</w:t>
      </w:r>
      <w:r>
        <w:rPr>
          <w:sz w:val="24"/>
          <w:szCs w:val="24"/>
        </w:rPr>
        <w:t xml:space="preserve"> </w:t>
      </w:r>
    </w:p>
    <w:p w14:paraId="34D77196" w14:textId="77777777" w:rsidR="007E1526" w:rsidRDefault="00263BCB">
      <w:pPr>
        <w:spacing w:before="200" w:after="240" w:line="360" w:lineRule="auto"/>
        <w:jc w:val="both"/>
        <w:rPr>
          <w:sz w:val="24"/>
          <w:szCs w:val="24"/>
        </w:rPr>
      </w:pPr>
      <w:r>
        <w:rPr>
          <w:sz w:val="24"/>
          <w:szCs w:val="24"/>
        </w:rPr>
        <w:t xml:space="preserve">Popescu, C., Gabor, M.R. and Stancu, A., 2025. E-commerce revolution: How the pandemic reshaped the US consumer shopping habits: A PACF and ARIMA approach. </w:t>
      </w:r>
      <w:r>
        <w:rPr>
          <w:i/>
          <w:iCs/>
          <w:sz w:val="24"/>
          <w:szCs w:val="24"/>
        </w:rPr>
        <w:t>Systems</w:t>
      </w:r>
      <w:r>
        <w:rPr>
          <w:sz w:val="24"/>
          <w:szCs w:val="24"/>
        </w:rPr>
        <w:t xml:space="preserve">, </w:t>
      </w:r>
      <w:r>
        <w:rPr>
          <w:i/>
          <w:iCs/>
          <w:sz w:val="24"/>
          <w:szCs w:val="24"/>
        </w:rPr>
        <w:t>13</w:t>
      </w:r>
      <w:r>
        <w:rPr>
          <w:sz w:val="24"/>
          <w:szCs w:val="24"/>
        </w:rPr>
        <w:t xml:space="preserve">(9), p.802. </w:t>
      </w:r>
    </w:p>
    <w:p w14:paraId="482D67C6" w14:textId="77777777" w:rsidR="007E1526" w:rsidRDefault="00263BCB">
      <w:pPr>
        <w:spacing w:line="360" w:lineRule="auto"/>
        <w:jc w:val="both"/>
        <w:rPr>
          <w:sz w:val="24"/>
          <w:szCs w:val="24"/>
        </w:rPr>
      </w:pPr>
      <w:r>
        <w:rPr>
          <w:color w:val="222222"/>
          <w:sz w:val="24"/>
          <w:szCs w:val="24"/>
        </w:rPr>
        <w:t xml:space="preserve">Reim, W., Yli-Viitala, P., Arrasvuori, J. and Parida, V., 2022. Tackling business model challenges in SME internationalization through digitalization. </w:t>
      </w:r>
      <w:r>
        <w:rPr>
          <w:i/>
          <w:iCs/>
          <w:color w:val="222222"/>
          <w:sz w:val="24"/>
          <w:szCs w:val="24"/>
        </w:rPr>
        <w:t>Journal of Innovation &amp; Knowledge</w:t>
      </w:r>
      <w:r>
        <w:rPr>
          <w:color w:val="222222"/>
          <w:sz w:val="24"/>
          <w:szCs w:val="24"/>
        </w:rPr>
        <w:t xml:space="preserve">, </w:t>
      </w:r>
      <w:r>
        <w:rPr>
          <w:i/>
          <w:iCs/>
          <w:color w:val="222222"/>
          <w:sz w:val="24"/>
          <w:szCs w:val="24"/>
        </w:rPr>
        <w:t>7</w:t>
      </w:r>
      <w:r>
        <w:rPr>
          <w:color w:val="222222"/>
          <w:sz w:val="24"/>
          <w:szCs w:val="24"/>
        </w:rPr>
        <w:t>(3), p.100199.</w:t>
      </w:r>
      <w:r>
        <w:rPr>
          <w:sz w:val="24"/>
          <w:szCs w:val="24"/>
        </w:rPr>
        <w:t xml:space="preserve"> </w:t>
      </w:r>
    </w:p>
    <w:p w14:paraId="10F3006F" w14:textId="77777777" w:rsidR="007E1526" w:rsidRDefault="00263BCB">
      <w:pPr>
        <w:spacing w:before="240" w:after="240" w:line="360" w:lineRule="auto"/>
        <w:jc w:val="both"/>
        <w:rPr>
          <w:sz w:val="24"/>
          <w:szCs w:val="24"/>
        </w:rPr>
      </w:pPr>
      <w:r>
        <w:rPr>
          <w:color w:val="222222"/>
          <w:sz w:val="24"/>
          <w:szCs w:val="24"/>
        </w:rPr>
        <w:t xml:space="preserve">Rittelmeyer, P., Lubell, M., Hovis, M., Heikkila, T., Gerlak, A. and Pozzi, T., 2025. Knowledge is not power: Learning in polycentric governance systems. </w:t>
      </w:r>
      <w:r>
        <w:rPr>
          <w:i/>
          <w:iCs/>
          <w:color w:val="222222"/>
          <w:sz w:val="24"/>
          <w:szCs w:val="24"/>
        </w:rPr>
        <w:t>Review of Policy Research</w:t>
      </w:r>
      <w:r>
        <w:rPr>
          <w:color w:val="222222"/>
          <w:sz w:val="24"/>
          <w:szCs w:val="24"/>
        </w:rPr>
        <w:t xml:space="preserve">, </w:t>
      </w:r>
      <w:r>
        <w:rPr>
          <w:i/>
          <w:iCs/>
          <w:color w:val="222222"/>
          <w:sz w:val="24"/>
          <w:szCs w:val="24"/>
        </w:rPr>
        <w:t>42</w:t>
      </w:r>
      <w:r>
        <w:rPr>
          <w:color w:val="222222"/>
          <w:sz w:val="24"/>
          <w:szCs w:val="24"/>
        </w:rPr>
        <w:t>(3), pp.444-465.</w:t>
      </w:r>
      <w:r>
        <w:rPr>
          <w:sz w:val="24"/>
          <w:szCs w:val="24"/>
        </w:rPr>
        <w:t xml:space="preserve"> </w:t>
      </w:r>
    </w:p>
    <w:p w14:paraId="55644C35" w14:textId="77777777" w:rsidR="007E1526" w:rsidRDefault="00263BCB">
      <w:pPr>
        <w:spacing w:before="200" w:after="240" w:line="360" w:lineRule="auto"/>
        <w:jc w:val="both"/>
        <w:rPr>
          <w:sz w:val="24"/>
          <w:szCs w:val="24"/>
        </w:rPr>
      </w:pPr>
      <w:r>
        <w:rPr>
          <w:sz w:val="24"/>
          <w:szCs w:val="24"/>
        </w:rPr>
        <w:t xml:space="preserve">Saberi, R. and Sadeghi, S., 2022. The future of global E-commerce regulation: legal challenges in ensuring fair competition, consumer rights, and data protection. </w:t>
      </w:r>
      <w:r>
        <w:rPr>
          <w:i/>
          <w:iCs/>
          <w:sz w:val="24"/>
          <w:szCs w:val="24"/>
        </w:rPr>
        <w:t>Legal Studies in Digital Age</w:t>
      </w:r>
      <w:r>
        <w:rPr>
          <w:sz w:val="24"/>
          <w:szCs w:val="24"/>
        </w:rPr>
        <w:t xml:space="preserve">, </w:t>
      </w:r>
      <w:r>
        <w:rPr>
          <w:i/>
          <w:iCs/>
          <w:sz w:val="24"/>
          <w:szCs w:val="24"/>
        </w:rPr>
        <w:t>1</w:t>
      </w:r>
      <w:r>
        <w:rPr>
          <w:sz w:val="24"/>
          <w:szCs w:val="24"/>
        </w:rPr>
        <w:t xml:space="preserve">(1), pp.39-52. </w:t>
      </w:r>
    </w:p>
    <w:p w14:paraId="03CC7BB4" w14:textId="77777777" w:rsidR="007E1526" w:rsidRDefault="00263BCB">
      <w:pPr>
        <w:spacing w:before="200" w:after="240" w:line="360" w:lineRule="auto"/>
        <w:jc w:val="both"/>
        <w:rPr>
          <w:sz w:val="24"/>
          <w:szCs w:val="24"/>
        </w:rPr>
      </w:pPr>
      <w:r>
        <w:rPr>
          <w:sz w:val="24"/>
          <w:szCs w:val="24"/>
        </w:rPr>
        <w:t xml:space="preserve">Salhab, H., Zoubi, M., Khrais, L.T., Estaitia, H., Harb, L., Al Huniti, A. and Morshed, A., 2025. AI-driven sustainable marketing in Gulf Cooperation Council retail: Advancing SDGs through smart channels. </w:t>
      </w:r>
      <w:r>
        <w:rPr>
          <w:i/>
          <w:iCs/>
          <w:sz w:val="24"/>
          <w:szCs w:val="24"/>
        </w:rPr>
        <w:t>Administrative sciences</w:t>
      </w:r>
      <w:r>
        <w:rPr>
          <w:sz w:val="24"/>
          <w:szCs w:val="24"/>
        </w:rPr>
        <w:t xml:space="preserve">, </w:t>
      </w:r>
      <w:r>
        <w:rPr>
          <w:i/>
          <w:iCs/>
          <w:sz w:val="24"/>
          <w:szCs w:val="24"/>
        </w:rPr>
        <w:t>15</w:t>
      </w:r>
      <w:r>
        <w:rPr>
          <w:sz w:val="24"/>
          <w:szCs w:val="24"/>
        </w:rPr>
        <w:t xml:space="preserve">(1), p.20. </w:t>
      </w:r>
    </w:p>
    <w:p w14:paraId="56B251D3" w14:textId="77777777" w:rsidR="007E1526" w:rsidRDefault="00263BCB">
      <w:pPr>
        <w:spacing w:line="360" w:lineRule="auto"/>
        <w:jc w:val="both"/>
        <w:rPr>
          <w:sz w:val="24"/>
          <w:szCs w:val="24"/>
        </w:rPr>
      </w:pPr>
      <w:r>
        <w:rPr>
          <w:color w:val="222222"/>
          <w:sz w:val="24"/>
          <w:szCs w:val="24"/>
        </w:rPr>
        <w:t xml:space="preserve">Sethi, D., Chaturvedi, V., Sethi, A. and Jain, N., 2024. Assessing the effect of ethnocentrism and cultural intelligence on employees during corporate restructuring. </w:t>
      </w:r>
      <w:r>
        <w:rPr>
          <w:i/>
          <w:iCs/>
          <w:color w:val="222222"/>
          <w:sz w:val="24"/>
          <w:szCs w:val="24"/>
        </w:rPr>
        <w:t>Employee Responsibilities and Rights Journal</w:t>
      </w:r>
      <w:r>
        <w:rPr>
          <w:color w:val="222222"/>
          <w:sz w:val="24"/>
          <w:szCs w:val="24"/>
        </w:rPr>
        <w:t xml:space="preserve">, </w:t>
      </w:r>
      <w:r>
        <w:rPr>
          <w:i/>
          <w:iCs/>
          <w:color w:val="222222"/>
          <w:sz w:val="24"/>
          <w:szCs w:val="24"/>
        </w:rPr>
        <w:t>36</w:t>
      </w:r>
      <w:r>
        <w:rPr>
          <w:color w:val="222222"/>
          <w:sz w:val="24"/>
          <w:szCs w:val="24"/>
        </w:rPr>
        <w:t>(1), pp.19-39.</w:t>
      </w:r>
      <w:r>
        <w:rPr>
          <w:sz w:val="24"/>
          <w:szCs w:val="24"/>
        </w:rPr>
        <w:t xml:space="preserve"> </w:t>
      </w:r>
    </w:p>
    <w:p w14:paraId="11F9F6A7" w14:textId="77777777" w:rsidR="007E1526" w:rsidRDefault="00263BCB">
      <w:pPr>
        <w:spacing w:before="200" w:after="240" w:line="360" w:lineRule="auto"/>
        <w:jc w:val="both"/>
        <w:rPr>
          <w:sz w:val="24"/>
          <w:szCs w:val="24"/>
        </w:rPr>
      </w:pPr>
      <w:r>
        <w:rPr>
          <w:sz w:val="24"/>
          <w:szCs w:val="24"/>
        </w:rPr>
        <w:t xml:space="preserve">Statista. (2026). </w:t>
      </w:r>
      <w:r>
        <w:rPr>
          <w:i/>
          <w:iCs/>
          <w:sz w:val="24"/>
          <w:szCs w:val="24"/>
        </w:rPr>
        <w:t>German retail sales 2026</w:t>
      </w:r>
      <w:r>
        <w:rPr>
          <w:sz w:val="24"/>
          <w:szCs w:val="24"/>
        </w:rPr>
        <w:t xml:space="preserve">. [online] Available at: </w:t>
      </w:r>
      <w:hyperlink r:id="rId13">
        <w:r>
          <w:rPr>
            <w:color w:val="1155CC"/>
            <w:sz w:val="24"/>
            <w:szCs w:val="24"/>
            <w:u w:val="single"/>
          </w:rPr>
          <w:t>https://www.statista.com/statistics/1108786/retail-sales-change-germany/</w:t>
        </w:r>
      </w:hyperlink>
      <w:r>
        <w:rPr>
          <w:sz w:val="24"/>
          <w:szCs w:val="24"/>
        </w:rPr>
        <w:t xml:space="preserve">  [Accessed 11 Sept. 2026].</w:t>
      </w:r>
    </w:p>
    <w:p w14:paraId="3D7826D5" w14:textId="77777777" w:rsidR="007E1526" w:rsidRDefault="00263BCB">
      <w:pPr>
        <w:spacing w:after="240" w:line="360" w:lineRule="auto"/>
        <w:jc w:val="both"/>
        <w:rPr>
          <w:sz w:val="24"/>
          <w:szCs w:val="24"/>
        </w:rPr>
      </w:pPr>
      <w:r>
        <w:rPr>
          <w:sz w:val="24"/>
          <w:szCs w:val="24"/>
        </w:rPr>
        <w:t xml:space="preserve">Statista. (2026). </w:t>
      </w:r>
      <w:r>
        <w:rPr>
          <w:i/>
          <w:iCs/>
          <w:sz w:val="24"/>
          <w:szCs w:val="24"/>
        </w:rPr>
        <w:t>Topic: Discount supermarkets in the United Kingdom (UK)</w:t>
      </w:r>
      <w:r>
        <w:rPr>
          <w:sz w:val="24"/>
          <w:szCs w:val="24"/>
        </w:rPr>
        <w:t xml:space="preserve">. [online] Available at: </w:t>
      </w:r>
      <w:hyperlink r:id="rId14">
        <w:r>
          <w:rPr>
            <w:color w:val="1155CC"/>
            <w:sz w:val="24"/>
            <w:szCs w:val="24"/>
            <w:u w:val="single"/>
          </w:rPr>
          <w:t>https://www.statista.com/topics/13054/discount-supermarkets-in-the-united-kingdom-uk</w:t>
        </w:r>
      </w:hyperlink>
      <w:r>
        <w:rPr>
          <w:sz w:val="24"/>
          <w:szCs w:val="24"/>
        </w:rPr>
        <w:t xml:space="preserve">  [Accessed 10 Sept. 2026].</w:t>
      </w:r>
    </w:p>
    <w:p w14:paraId="45767BC4" w14:textId="77777777" w:rsidR="007E1526" w:rsidRDefault="00263BCB">
      <w:pPr>
        <w:spacing w:after="240" w:line="360" w:lineRule="auto"/>
        <w:jc w:val="both"/>
        <w:rPr>
          <w:sz w:val="24"/>
          <w:szCs w:val="24"/>
        </w:rPr>
      </w:pPr>
      <w:r>
        <w:rPr>
          <w:sz w:val="24"/>
          <w:szCs w:val="24"/>
        </w:rPr>
        <w:t xml:space="preserve">Statista. (2026). </w:t>
      </w:r>
      <w:r>
        <w:rPr>
          <w:i/>
          <w:iCs/>
          <w:sz w:val="24"/>
          <w:szCs w:val="24"/>
        </w:rPr>
        <w:t>Topic: Food retail in Germany</w:t>
      </w:r>
      <w:r>
        <w:rPr>
          <w:sz w:val="24"/>
          <w:szCs w:val="24"/>
        </w:rPr>
        <w:t xml:space="preserve">. [online] Available at: </w:t>
      </w:r>
      <w:hyperlink r:id="rId15">
        <w:r>
          <w:rPr>
            <w:color w:val="1155CC"/>
            <w:sz w:val="24"/>
            <w:szCs w:val="24"/>
            <w:u w:val="single"/>
          </w:rPr>
          <w:t>https://www.statista.com/topics/6307/food-trade-in-germany/</w:t>
        </w:r>
      </w:hyperlink>
      <w:r>
        <w:rPr>
          <w:sz w:val="24"/>
          <w:szCs w:val="24"/>
        </w:rPr>
        <w:t xml:space="preserve">  [Accessed 10 Sept. 2026].</w:t>
      </w:r>
    </w:p>
    <w:p w14:paraId="6D76E57E" w14:textId="77777777" w:rsidR="007E1526" w:rsidRDefault="00263BCB">
      <w:pPr>
        <w:spacing w:after="240" w:line="360" w:lineRule="auto"/>
        <w:jc w:val="both"/>
        <w:rPr>
          <w:sz w:val="24"/>
          <w:szCs w:val="24"/>
        </w:rPr>
      </w:pPr>
      <w:r>
        <w:rPr>
          <w:sz w:val="24"/>
          <w:szCs w:val="24"/>
        </w:rPr>
        <w:t xml:space="preserve">Target. (2015). </w:t>
      </w:r>
      <w:r>
        <w:rPr>
          <w:i/>
          <w:iCs/>
          <w:sz w:val="24"/>
          <w:szCs w:val="24"/>
        </w:rPr>
        <w:t>Target Corporation Announces Plans to Discontinue Canadian Operations</w:t>
      </w:r>
      <w:r>
        <w:rPr>
          <w:sz w:val="24"/>
          <w:szCs w:val="24"/>
        </w:rPr>
        <w:t xml:space="preserve">. [online] Available at: </w:t>
      </w:r>
      <w:hyperlink r:id="rId16">
        <w:r>
          <w:rPr>
            <w:color w:val="1155CC"/>
            <w:sz w:val="24"/>
            <w:szCs w:val="24"/>
            <w:u w:val="single"/>
          </w:rPr>
          <w:t>https://corporate.target.com/press/release/2015/01/target-corporation-announces-plans-to-discontinue-canadian-operations</w:t>
        </w:r>
      </w:hyperlink>
      <w:r>
        <w:rPr>
          <w:sz w:val="24"/>
          <w:szCs w:val="24"/>
        </w:rPr>
        <w:t xml:space="preserve">  [Accessed 10 Sept. 2026].</w:t>
      </w:r>
    </w:p>
    <w:p w14:paraId="054F0412" w14:textId="77777777" w:rsidR="007E1526" w:rsidRDefault="00263BCB">
      <w:pPr>
        <w:spacing w:before="200" w:after="240" w:line="360" w:lineRule="auto"/>
        <w:jc w:val="both"/>
        <w:rPr>
          <w:sz w:val="24"/>
          <w:szCs w:val="24"/>
        </w:rPr>
      </w:pPr>
      <w:r>
        <w:rPr>
          <w:sz w:val="24"/>
          <w:szCs w:val="24"/>
        </w:rPr>
        <w:t xml:space="preserve">‌Target. (2026). </w:t>
      </w:r>
      <w:r>
        <w:rPr>
          <w:i/>
          <w:iCs/>
          <w:sz w:val="24"/>
          <w:szCs w:val="24"/>
        </w:rPr>
        <w:t>Target Outlines Strategic Plan for a New Chapter of Growth in 2026 and Beyond</w:t>
      </w:r>
      <w:r>
        <w:rPr>
          <w:sz w:val="24"/>
          <w:szCs w:val="24"/>
        </w:rPr>
        <w:t xml:space="preserve">. [online] Available at: </w:t>
      </w:r>
      <w:hyperlink r:id="rId17">
        <w:r>
          <w:rPr>
            <w:color w:val="1155CC"/>
            <w:sz w:val="24"/>
            <w:szCs w:val="24"/>
            <w:u w:val="single"/>
          </w:rPr>
          <w:t>https://corporate.target.com/press/release/2026/03/target-outlines-strategic-plan-for-a-new-chapter-of-growth-in-2026-and-beyond</w:t>
        </w:r>
      </w:hyperlink>
      <w:r>
        <w:rPr>
          <w:sz w:val="24"/>
          <w:szCs w:val="24"/>
        </w:rPr>
        <w:t xml:space="preserve">  [Accessed 11 Sept. 2026].</w:t>
      </w:r>
    </w:p>
    <w:p w14:paraId="435BCC3A" w14:textId="77777777" w:rsidR="007E1526" w:rsidRDefault="00263BCB">
      <w:pPr>
        <w:spacing w:before="200" w:after="240" w:line="360" w:lineRule="auto"/>
        <w:jc w:val="both"/>
        <w:rPr>
          <w:sz w:val="24"/>
          <w:szCs w:val="24"/>
        </w:rPr>
      </w:pPr>
      <w:r>
        <w:rPr>
          <w:sz w:val="24"/>
          <w:szCs w:val="24"/>
        </w:rPr>
        <w:t>Teixeira, N.M. (2020) Management control systems and tools for internationalization success. Hershey, Pennsylvania: IGI Global.</w:t>
      </w:r>
    </w:p>
    <w:p w14:paraId="33B6B4EC" w14:textId="77777777" w:rsidR="007E1526" w:rsidRDefault="00263BCB">
      <w:pPr>
        <w:spacing w:after="240" w:line="360" w:lineRule="auto"/>
        <w:jc w:val="both"/>
        <w:rPr>
          <w:sz w:val="24"/>
          <w:szCs w:val="24"/>
        </w:rPr>
      </w:pPr>
      <w:r>
        <w:rPr>
          <w:sz w:val="24"/>
          <w:szCs w:val="24"/>
        </w:rPr>
        <w:t xml:space="preserve">Vimal, S. (2026). </w:t>
      </w:r>
      <w:r>
        <w:rPr>
          <w:i/>
          <w:iCs/>
          <w:sz w:val="24"/>
          <w:szCs w:val="24"/>
        </w:rPr>
        <w:t>German retail sales rise 2.7% in 2025 as online channels lead growth</w:t>
      </w:r>
      <w:r>
        <w:rPr>
          <w:sz w:val="24"/>
          <w:szCs w:val="24"/>
        </w:rPr>
        <w:t xml:space="preserve">. [online] Retail Insight Network. Available at: </w:t>
      </w:r>
      <w:hyperlink r:id="rId18">
        <w:r>
          <w:rPr>
            <w:color w:val="1155CC"/>
            <w:sz w:val="24"/>
            <w:szCs w:val="24"/>
            <w:u w:val="single"/>
          </w:rPr>
          <w:t>https://www.retail-insight-network.com/news/german-2025-retail-sales-2-7/</w:t>
        </w:r>
      </w:hyperlink>
      <w:r>
        <w:rPr>
          <w:sz w:val="24"/>
          <w:szCs w:val="24"/>
        </w:rPr>
        <w:t xml:space="preserve">  [Accessed 10 Sept. 2026].</w:t>
      </w:r>
    </w:p>
    <w:p w14:paraId="03479223" w14:textId="77777777" w:rsidR="007E1526" w:rsidRDefault="00263BCB">
      <w:pPr>
        <w:spacing w:before="480" w:after="120" w:line="360" w:lineRule="auto"/>
        <w:jc w:val="both"/>
        <w:rPr>
          <w:sz w:val="24"/>
          <w:szCs w:val="24"/>
        </w:rPr>
      </w:pPr>
      <w:r>
        <w:rPr>
          <w:color w:val="222222"/>
          <w:sz w:val="24"/>
          <w:szCs w:val="24"/>
        </w:rPr>
        <w:t xml:space="preserve">Zolinski, D., 2023. </w:t>
      </w:r>
      <w:r>
        <w:rPr>
          <w:i/>
          <w:iCs/>
          <w:color w:val="222222"/>
          <w:sz w:val="24"/>
          <w:szCs w:val="24"/>
        </w:rPr>
        <w:t>Digital transformation and business model innovation: a multiple case study of retail chains in Germany</w:t>
      </w:r>
      <w:r>
        <w:rPr>
          <w:color w:val="222222"/>
          <w:sz w:val="24"/>
          <w:szCs w:val="24"/>
        </w:rPr>
        <w:t xml:space="preserve"> (Master's thesis, Universidade Catolica Portuguesa (Portugal)).</w:t>
      </w:r>
      <w:r>
        <w:rPr>
          <w:sz w:val="24"/>
          <w:szCs w:val="24"/>
        </w:rPr>
        <w:t xml:space="preserve"> </w:t>
      </w:r>
    </w:p>
    <w:p w14:paraId="6BBDF85E" w14:textId="77777777" w:rsidR="007E1526" w:rsidRDefault="00263BCB">
      <w:pPr>
        <w:spacing w:before="240" w:after="240" w:line="360" w:lineRule="auto"/>
        <w:jc w:val="both"/>
        <w:rPr>
          <w:sz w:val="24"/>
          <w:szCs w:val="24"/>
        </w:rPr>
      </w:pPr>
      <w:r>
        <w:rPr>
          <w:sz w:val="24"/>
          <w:szCs w:val="24"/>
        </w:rPr>
        <w:t>‌</w:t>
      </w:r>
    </w:p>
    <w:p w14:paraId="71EE1C11" w14:textId="77777777" w:rsidR="007E1526" w:rsidRDefault="007E1526">
      <w:pPr>
        <w:spacing w:before="200" w:after="240" w:line="360" w:lineRule="auto"/>
        <w:jc w:val="both"/>
        <w:rPr>
          <w:sz w:val="24"/>
          <w:szCs w:val="24"/>
        </w:rPr>
      </w:pPr>
    </w:p>
    <w:p w14:paraId="56B7BAED" w14:textId="77777777" w:rsidR="007E1526" w:rsidRDefault="00263BCB">
      <w:pPr>
        <w:spacing w:before="240" w:after="240" w:line="360" w:lineRule="auto"/>
        <w:jc w:val="both"/>
        <w:rPr>
          <w:sz w:val="24"/>
          <w:szCs w:val="24"/>
        </w:rPr>
      </w:pPr>
      <w:r>
        <w:rPr>
          <w:sz w:val="24"/>
          <w:szCs w:val="24"/>
        </w:rPr>
        <w:t>‌</w:t>
      </w:r>
    </w:p>
    <w:p w14:paraId="618AEE96" w14:textId="77777777" w:rsidR="007E1526" w:rsidRDefault="007E1526">
      <w:pPr>
        <w:spacing w:before="200" w:after="240" w:line="360" w:lineRule="auto"/>
        <w:jc w:val="both"/>
        <w:rPr>
          <w:sz w:val="24"/>
          <w:szCs w:val="24"/>
        </w:rPr>
      </w:pPr>
    </w:p>
    <w:p w14:paraId="29EFDE30" w14:textId="77777777" w:rsidR="007E1526" w:rsidRDefault="007E1526">
      <w:pPr>
        <w:spacing w:before="200" w:after="240" w:line="360" w:lineRule="auto"/>
        <w:jc w:val="both"/>
        <w:rPr>
          <w:sz w:val="24"/>
          <w:szCs w:val="24"/>
        </w:rPr>
      </w:pPr>
    </w:p>
    <w:p w14:paraId="722BAE47" w14:textId="77777777" w:rsidR="007E1526" w:rsidRDefault="00263BCB">
      <w:pPr>
        <w:spacing w:before="240" w:after="240" w:line="360" w:lineRule="auto"/>
        <w:jc w:val="both"/>
        <w:rPr>
          <w:sz w:val="24"/>
          <w:szCs w:val="24"/>
        </w:rPr>
      </w:pPr>
      <w:r>
        <w:rPr>
          <w:sz w:val="24"/>
          <w:szCs w:val="24"/>
        </w:rPr>
        <w:t>‌</w:t>
      </w:r>
    </w:p>
    <w:p w14:paraId="10C9C7A4" w14:textId="77777777" w:rsidR="007E1526" w:rsidRDefault="007E1526">
      <w:pPr>
        <w:spacing w:before="200" w:after="200" w:line="360" w:lineRule="auto"/>
        <w:jc w:val="both"/>
        <w:rPr>
          <w:sz w:val="24"/>
          <w:szCs w:val="24"/>
        </w:rPr>
      </w:pPr>
    </w:p>
    <w:sectPr w:rsidR="007E1526">
      <w:footerReference w:type="default" r:id="rId19"/>
      <w:pgSz w:w="11909" w:h="16834"/>
      <w:pgMar w:top="1440" w:right="1440" w:bottom="1440" w:left="1440" w:header="720" w:footer="720" w:gutter="0"/>
      <w:pgNumType w:start="1"/>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AB1967" w14:textId="77777777" w:rsidR="00263BCB" w:rsidRDefault="00263BCB">
      <w:pPr>
        <w:spacing w:line="240" w:lineRule="auto"/>
      </w:pPr>
      <w:r>
        <w:separator/>
      </w:r>
    </w:p>
  </w:endnote>
  <w:endnote w:type="continuationSeparator" w:id="0">
    <w:p w14:paraId="7BE4FCCF" w14:textId="77777777" w:rsidR="00263BCB" w:rsidRDefault="00263BC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6BD110" w14:textId="77777777" w:rsidR="007E1526" w:rsidRDefault="00263BCB">
    <w:pPr>
      <w:pBdr>
        <w:top w:val="nil"/>
        <w:left w:val="nil"/>
        <w:bottom w:val="nil"/>
        <w:right w:val="nil"/>
        <w:between w:val="nil"/>
      </w:pBdr>
      <w:tabs>
        <w:tab w:val="center" w:pos="4680"/>
        <w:tab w:val="right" w:pos="9360"/>
      </w:tabs>
      <w:spacing w:line="240" w:lineRule="auto"/>
      <w:jc w:val="right"/>
      <w:rPr>
        <w:color w:val="000000"/>
      </w:rPr>
    </w:pPr>
    <w:r>
      <w:rPr>
        <w:color w:val="000000"/>
      </w:rPr>
      <w:t xml:space="preserve">Page | </w:t>
    </w:r>
    <w:r>
      <w:rPr>
        <w:color w:val="000000"/>
      </w:rPr>
      <w:fldChar w:fldCharType="begin"/>
    </w:r>
    <w:r>
      <w:rPr>
        <w:color w:val="000000"/>
      </w:rPr>
      <w:instrText>PAGE</w:instrText>
    </w:r>
    <w:r>
      <w:rPr>
        <w:color w:val="000000"/>
      </w:rPr>
      <w:fldChar w:fldCharType="separate"/>
    </w:r>
    <w:r>
      <w:rPr>
        <w:color w:val="000000"/>
      </w:rPr>
      <w:fldChar w:fldCharType="end"/>
    </w:r>
    <w:r>
      <w:rPr>
        <w:color w:val="000000"/>
      </w:rPr>
      <w:t xml:space="preserve"> </w:t>
    </w:r>
  </w:p>
  <w:p w14:paraId="52403E42" w14:textId="77777777" w:rsidR="007E1526" w:rsidRDefault="007E1526">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46C37A" w14:textId="77777777" w:rsidR="00263BCB" w:rsidRDefault="00263BCB">
      <w:pPr>
        <w:spacing w:line="240" w:lineRule="auto"/>
      </w:pPr>
      <w:r>
        <w:separator/>
      </w:r>
    </w:p>
  </w:footnote>
  <w:footnote w:type="continuationSeparator" w:id="0">
    <w:p w14:paraId="7B479C4D" w14:textId="77777777" w:rsidR="00263BCB" w:rsidRDefault="00263BC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TrueTypeFonts/>
  <w:proofState w:grammar="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1526"/>
    <w:rsid w:val="00263BCB"/>
    <w:rsid w:val="002A3678"/>
    <w:rsid w:val="007A7A4A"/>
    <w:rsid w:val="007C2606"/>
    <w:rsid w:val="007E1526"/>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ecimalSymbol w:val=","/>
  <w:listSeparator w:val=";"/>
  <w14:docId w14:val="1B2E78DB"/>
  <w15:docId w15:val="{505E0CCB-4A7C-E143-BE5D-25389BECB1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eastAsia="ro-RO"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pPr>
      <w:keepNext/>
      <w:keepLines/>
      <w:spacing w:before="200" w:after="200" w:line="360" w:lineRule="auto"/>
      <w:jc w:val="both"/>
      <w:outlineLvl w:val="0"/>
    </w:pPr>
    <w:rPr>
      <w:b/>
      <w:bCs/>
      <w:sz w:val="24"/>
      <w:szCs w:val="24"/>
    </w:rPr>
  </w:style>
  <w:style w:type="paragraph" w:styleId="Titlu2">
    <w:name w:val="heading 2"/>
    <w:basedOn w:val="Normal"/>
    <w:next w:val="Normal"/>
    <w:uiPriority w:val="9"/>
    <w:unhideWhenUsed/>
    <w:qFormat/>
    <w:pPr>
      <w:keepNext/>
      <w:keepLines/>
      <w:spacing w:before="200" w:after="200" w:line="360" w:lineRule="auto"/>
      <w:jc w:val="both"/>
      <w:outlineLvl w:val="1"/>
    </w:pPr>
    <w:rPr>
      <w:b/>
      <w:bCs/>
      <w:sz w:val="24"/>
      <w:szCs w:val="24"/>
    </w:rPr>
  </w:style>
  <w:style w:type="paragraph" w:styleId="Titlu3">
    <w:name w:val="heading 3"/>
    <w:basedOn w:val="Normal"/>
    <w:next w:val="Normal"/>
    <w:uiPriority w:val="9"/>
    <w:unhideWhenUsed/>
    <w:qFormat/>
    <w:pPr>
      <w:keepNext/>
      <w:keepLines/>
      <w:spacing w:before="200" w:after="200" w:line="360" w:lineRule="auto"/>
      <w:jc w:val="both"/>
      <w:outlineLvl w:val="2"/>
    </w:pPr>
    <w:rPr>
      <w:b/>
      <w:bCs/>
      <w:sz w:val="24"/>
      <w:szCs w:val="24"/>
    </w:rPr>
  </w:style>
  <w:style w:type="paragraph" w:styleId="Titlu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Titlu5">
    <w:name w:val="heading 5"/>
    <w:basedOn w:val="Normal"/>
    <w:next w:val="Normal"/>
    <w:uiPriority w:val="9"/>
    <w:semiHidden/>
    <w:unhideWhenUsed/>
    <w:qFormat/>
    <w:pPr>
      <w:keepNext/>
      <w:keepLines/>
      <w:spacing w:before="240" w:after="80"/>
      <w:outlineLvl w:val="4"/>
    </w:pPr>
    <w:rPr>
      <w:color w:val="666666"/>
    </w:rPr>
  </w:style>
  <w:style w:type="paragraph" w:styleId="Titlu6">
    <w:name w:val="heading 6"/>
    <w:basedOn w:val="Normal"/>
    <w:next w:val="Normal"/>
    <w:uiPriority w:val="9"/>
    <w:semiHidden/>
    <w:unhideWhenUsed/>
    <w:qFormat/>
    <w:pPr>
      <w:keepNext/>
      <w:keepLines/>
      <w:spacing w:before="240" w:after="80"/>
      <w:outlineLvl w:val="5"/>
    </w:pPr>
    <w:rPr>
      <w:i/>
      <w:iCs/>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Normal"/>
    <w:tblPr>
      <w:tblCellMar>
        <w:top w:w="100" w:type="dxa"/>
        <w:left w:w="100" w:type="dxa"/>
        <w:bottom w:w="100" w:type="dxa"/>
        <w:right w:w="100" w:type="dxa"/>
      </w:tblCellMar>
    </w:tblPr>
  </w:style>
  <w:style w:type="paragraph" w:styleId="Titlu">
    <w:name w:val="Title"/>
    <w:basedOn w:val="Normal"/>
    <w:next w:val="Normal"/>
    <w:uiPriority w:val="10"/>
    <w:qFormat/>
    <w:pPr>
      <w:keepNext/>
      <w:keepLines/>
      <w:spacing w:after="60"/>
    </w:pPr>
    <w:rPr>
      <w:sz w:val="52"/>
      <w:szCs w:val="52"/>
    </w:rPr>
  </w:style>
  <w:style w:type="table" w:customStyle="1" w:styleId="TableNormal0">
    <w:name w:val="TableNormal"/>
    <w:tblPr>
      <w:tblCellMar>
        <w:top w:w="100" w:type="dxa"/>
        <w:left w:w="100" w:type="dxa"/>
        <w:bottom w:w="100" w:type="dxa"/>
        <w:right w:w="100" w:type="dxa"/>
      </w:tblCellMar>
    </w:tblPr>
  </w:style>
  <w:style w:type="paragraph" w:styleId="Antet">
    <w:name w:val="header"/>
    <w:basedOn w:val="Normal"/>
    <w:link w:val="AntetCaracter"/>
    <w:uiPriority w:val="99"/>
    <w:unhideWhenUsed/>
    <w:rsid w:val="00172458"/>
    <w:pPr>
      <w:tabs>
        <w:tab w:val="center" w:pos="4680"/>
        <w:tab w:val="right" w:pos="9360"/>
      </w:tabs>
      <w:spacing w:line="240" w:lineRule="auto"/>
    </w:pPr>
    <w:rPr>
      <w:szCs w:val="28"/>
    </w:rPr>
  </w:style>
  <w:style w:type="character" w:customStyle="1" w:styleId="AntetCaracter">
    <w:name w:val="Antet Caracter"/>
    <w:basedOn w:val="Fontdeparagrafimplicit"/>
    <w:link w:val="Antet"/>
    <w:uiPriority w:val="99"/>
    <w:rsid w:val="00172458"/>
    <w:rPr>
      <w:szCs w:val="28"/>
    </w:rPr>
  </w:style>
  <w:style w:type="paragraph" w:styleId="Subsol">
    <w:name w:val="footer"/>
    <w:basedOn w:val="Normal"/>
    <w:link w:val="SubsolCaracter"/>
    <w:uiPriority w:val="99"/>
    <w:unhideWhenUsed/>
    <w:rsid w:val="00172458"/>
    <w:pPr>
      <w:tabs>
        <w:tab w:val="center" w:pos="4680"/>
        <w:tab w:val="right" w:pos="9360"/>
      </w:tabs>
      <w:spacing w:line="240" w:lineRule="auto"/>
    </w:pPr>
    <w:rPr>
      <w:szCs w:val="28"/>
    </w:rPr>
  </w:style>
  <w:style w:type="character" w:customStyle="1" w:styleId="SubsolCaracter">
    <w:name w:val="Subsol Caracter"/>
    <w:basedOn w:val="Fontdeparagrafimplicit"/>
    <w:link w:val="Subsol"/>
    <w:uiPriority w:val="99"/>
    <w:rsid w:val="00172458"/>
    <w:rPr>
      <w:szCs w:val="28"/>
    </w:rPr>
  </w:style>
  <w:style w:type="paragraph" w:styleId="Titlucuprins">
    <w:name w:val="TOC Heading"/>
    <w:basedOn w:val="Titlu1"/>
    <w:next w:val="Normal"/>
    <w:uiPriority w:val="39"/>
    <w:unhideWhenUsed/>
    <w:qFormat/>
    <w:rsid w:val="00172458"/>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Cuprins1">
    <w:name w:val="toc 1"/>
    <w:basedOn w:val="Normal"/>
    <w:next w:val="Normal"/>
    <w:autoRedefine/>
    <w:uiPriority w:val="39"/>
    <w:unhideWhenUsed/>
    <w:rsid w:val="00172458"/>
    <w:pPr>
      <w:spacing w:after="100"/>
    </w:pPr>
    <w:rPr>
      <w:szCs w:val="28"/>
    </w:rPr>
  </w:style>
  <w:style w:type="paragraph" w:styleId="Cuprins2">
    <w:name w:val="toc 2"/>
    <w:basedOn w:val="Normal"/>
    <w:next w:val="Normal"/>
    <w:autoRedefine/>
    <w:uiPriority w:val="39"/>
    <w:unhideWhenUsed/>
    <w:rsid w:val="00172458"/>
    <w:pPr>
      <w:spacing w:after="100"/>
      <w:ind w:left="220"/>
    </w:pPr>
    <w:rPr>
      <w:szCs w:val="28"/>
    </w:rPr>
  </w:style>
  <w:style w:type="paragraph" w:styleId="Cuprins3">
    <w:name w:val="toc 3"/>
    <w:basedOn w:val="Normal"/>
    <w:next w:val="Normal"/>
    <w:autoRedefine/>
    <w:uiPriority w:val="39"/>
    <w:unhideWhenUsed/>
    <w:rsid w:val="00172458"/>
    <w:pPr>
      <w:spacing w:after="100"/>
      <w:ind w:left="440"/>
    </w:pPr>
    <w:rPr>
      <w:szCs w:val="28"/>
    </w:rPr>
  </w:style>
  <w:style w:type="character" w:styleId="Hyperlink">
    <w:name w:val="Hyperlink"/>
    <w:basedOn w:val="Fontdeparagrafimplicit"/>
    <w:uiPriority w:val="99"/>
    <w:unhideWhenUsed/>
    <w:rsid w:val="00172458"/>
    <w:rPr>
      <w:color w:val="0000FF" w:themeColor="hyperlink"/>
      <w:u w:val="single"/>
    </w:rPr>
  </w:style>
  <w:style w:type="paragraph" w:styleId="Subtitlu">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ebsco.com/" TargetMode="External" /><Relationship Id="rId13" Type="http://schemas.openxmlformats.org/officeDocument/2006/relationships/hyperlink" Target="https://www.statista.com/statistics/1108786/retail-sales-change-germany/" TargetMode="External" /><Relationship Id="rId18" Type="http://schemas.openxmlformats.org/officeDocument/2006/relationships/hyperlink" Target="https://www.retail-insight-network.com/news/german-2025-retail-sales-2-7/" TargetMode="External" /><Relationship Id="rId3" Type="http://schemas.openxmlformats.org/officeDocument/2006/relationships/settings" Target="settings.xml" /><Relationship Id="rId21" Type="http://schemas.openxmlformats.org/officeDocument/2006/relationships/theme" Target="theme/theme1.xml" /><Relationship Id="rId7" Type="http://schemas.openxmlformats.org/officeDocument/2006/relationships/image" Target="media/image1.png" /><Relationship Id="rId12" Type="http://schemas.openxmlformats.org/officeDocument/2006/relationships/hyperlink" Target="https://www.oecd.org/en/publications/local-retail-global-trends_55e2edec-en/full-report/the-twin-transition-of-retail-smes_e9ff5378.html" TargetMode="External" /><Relationship Id="rId17" Type="http://schemas.openxmlformats.org/officeDocument/2006/relationships/hyperlink" Target="https://corporate.target.com/press/release/2026/03/target-outlines-strategic-plan-for-a-new-chapter-of-growth-in-2026-and-beyond" TargetMode="External" /><Relationship Id="rId2" Type="http://schemas.openxmlformats.org/officeDocument/2006/relationships/styles" Target="styles.xml" /><Relationship Id="rId16" Type="http://schemas.openxmlformats.org/officeDocument/2006/relationships/hyperlink" Target="https://corporate.target.com/press/release/2015/01/target-corporation-announces-plans-to-discontinue-canadian-operations" TargetMode="External" /><Relationship Id="rId20"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www.investopedia.com/terms/p/porter-diamond.asp" TargetMode="External" /><Relationship Id="rId5" Type="http://schemas.openxmlformats.org/officeDocument/2006/relationships/footnotes" Target="footnotes.xml" /><Relationship Id="rId15" Type="http://schemas.openxmlformats.org/officeDocument/2006/relationships/hyperlink" Target="https://www.statista.com/topics/6307/food-trade-in-germany/" TargetMode="External" /><Relationship Id="rId10" Type="http://schemas.openxmlformats.org/officeDocument/2006/relationships/hyperlink" Target="https://www.destatis.de/EN/Themes/Society-Environment/Income-Consumption-Living-Conditions/Use-Information-Technologies/Tables/use-internet-sex-age-mz-ikt.html" TargetMode="External" /><Relationship Id="rId19"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hyperlink" Target="https://ec.europa.eu/eurostat/statistics-explained/index.php?title=E-commerce_statistics_for_individuals" TargetMode="External" /><Relationship Id="rId14" Type="http://schemas.openxmlformats.org/officeDocument/2006/relationships/hyperlink" Target="https://www.statista.com/topics/13054/discount-supermarkets-in-the-united-kingdom-uk"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4vMfnn/mh0cd9d4/82KMpnVP5qw==">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7978</Words>
  <Characters>46274</Characters>
  <Application>Microsoft Office Word</Application>
  <DocSecurity>0</DocSecurity>
  <Lines>385</Lines>
  <Paragraphs>108</Paragraphs>
  <ScaleCrop>false</ScaleCrop>
  <Company/>
  <LinksUpToDate>false</LinksUpToDate>
  <CharactersWithSpaces>54144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Violeta Pacuraru</cp:lastModifiedBy>
  <cp:revision>2</cp:revision>
  <dcterms:created xsi:type="dcterms:W3CDTF">2026-10-22T21:33:00Z</dcterms:created>
  <dcterms:modified xsi:type="dcterms:W3CDTF">2026-10-22T21:33:00Z</dcterms:modified>
</cp:coreProperties>
</file>