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0E38C3" w14:textId="77777777" w:rsidR="0037480E" w:rsidRPr="0037480E" w:rsidRDefault="0037480E" w:rsidP="0037480E">
      <w:pPr>
        <w:pStyle w:val="Heading1"/>
        <w:rPr>
          <w:rFonts w:asciiTheme="minorHAnsi" w:hAnsiTheme="minorHAnsi" w:cstheme="minorHAnsi"/>
          <w:b/>
          <w:bCs/>
          <w:color w:val="000000" w:themeColor="text1"/>
        </w:rPr>
      </w:pPr>
      <w:r w:rsidRPr="008A23EA">
        <w:rPr>
          <w:rFonts w:asciiTheme="minorHAnsi" w:hAnsiTheme="minorHAnsi" w:cstheme="minorHAnsi"/>
          <w:b/>
          <w:bCs/>
          <w:color w:val="000000" w:themeColor="text1"/>
          <w:highlight w:val="green"/>
        </w:rPr>
        <w:t>Essay one:</w:t>
      </w:r>
    </w:p>
    <w:p w14:paraId="11A46AAF" w14:textId="77777777" w:rsidR="0037480E" w:rsidRDefault="0037480E" w:rsidP="0037480E">
      <w:pPr>
        <w:rPr>
          <w:rFonts w:cstheme="minorHAnsi"/>
          <w:sz w:val="24"/>
          <w:szCs w:val="24"/>
        </w:rPr>
      </w:pPr>
      <w:r>
        <w:rPr>
          <w:rFonts w:cstheme="minorHAnsi"/>
          <w:sz w:val="24"/>
          <w:szCs w:val="24"/>
        </w:rPr>
        <w:t xml:space="preserve">Assess the impact that cultural diversity has had on policing practice (e.g. neighbourhood policing) and professional policies and standards (e.g. PACE, Code of Ethics). Support your answer with relevant evidence drawn from academic sources. </w:t>
      </w:r>
    </w:p>
    <w:p w14:paraId="6B9D66E1" w14:textId="77777777" w:rsidR="0037480E" w:rsidRDefault="0037480E" w:rsidP="0037480E">
      <w:pPr>
        <w:rPr>
          <w:rFonts w:cstheme="minorHAnsi"/>
          <w:sz w:val="24"/>
          <w:szCs w:val="24"/>
        </w:rPr>
      </w:pPr>
      <w:r>
        <w:rPr>
          <w:rFonts w:cstheme="minorHAnsi"/>
          <w:sz w:val="24"/>
          <w:szCs w:val="24"/>
        </w:rPr>
        <w:t xml:space="preserve">Word limit: 1000 words. </w:t>
      </w:r>
    </w:p>
    <w:p w14:paraId="1080C57F" w14:textId="77777777" w:rsidR="0037480E" w:rsidRDefault="0037480E" w:rsidP="0037480E">
      <w:pPr>
        <w:rPr>
          <w:rFonts w:cstheme="minorHAnsi"/>
          <w:sz w:val="24"/>
          <w:szCs w:val="24"/>
        </w:rPr>
      </w:pPr>
      <w:r>
        <w:rPr>
          <w:rFonts w:cstheme="minorHAnsi"/>
          <w:sz w:val="24"/>
          <w:szCs w:val="24"/>
        </w:rPr>
        <w:t xml:space="preserve">Understanding and embracing cultural diversity is a crucial part of policing communities. The culture and diversities within community’s shape policing practices, policies and standards. Understanding and respecting cultural diversity is important to policing. It enables police forces to serve communities better, build trust and ensure fairness. Police policies and standards are significantly influenced by cultural diversity too. The policies police forces have must be designed to respect and accommodate the cultural differences that exist within the communities they serve. </w:t>
      </w:r>
    </w:p>
    <w:p w14:paraId="37254113" w14:textId="5CFEE480" w:rsidR="0037480E" w:rsidRDefault="0037480E" w:rsidP="0037480E">
      <w:pPr>
        <w:rPr>
          <w:rFonts w:cstheme="minorHAnsi"/>
          <w:sz w:val="24"/>
          <w:szCs w:val="24"/>
        </w:rPr>
      </w:pPr>
      <w:r>
        <w:rPr>
          <w:rFonts w:cstheme="minorHAnsi"/>
          <w:sz w:val="24"/>
          <w:szCs w:val="24"/>
        </w:rPr>
        <w:t xml:space="preserve">Neighbourhood policing, an area of policing that focuses on building ties and working closely with members of communities, has been significantly impacted by cultural diversity. Police forces are always adapting their strategies and approach to effectively police culturally diverse neighbourhoods. There could be a range of barriers that forces </w:t>
      </w:r>
      <w:proofErr w:type="gramStart"/>
      <w:r>
        <w:rPr>
          <w:rFonts w:cstheme="minorHAnsi"/>
          <w:sz w:val="24"/>
          <w:szCs w:val="24"/>
        </w:rPr>
        <w:t>have to</w:t>
      </w:r>
      <w:proofErr w:type="gramEnd"/>
      <w:r>
        <w:rPr>
          <w:rFonts w:cstheme="minorHAnsi"/>
          <w:sz w:val="24"/>
          <w:szCs w:val="24"/>
        </w:rPr>
        <w:t xml:space="preserve"> understand and work around. Failure to understand different cultural nuances within communities can lead to strained relationships, lack of trust and misunderstandings between police and communities. These break downs in communication and trust between police and communities can hinder effective crime prevention and detection. </w:t>
      </w:r>
    </w:p>
    <w:p w14:paraId="2B3E48A0" w14:textId="16D63B95" w:rsidR="0037480E" w:rsidRDefault="0037480E" w:rsidP="0037480E">
      <w:pPr>
        <w:rPr>
          <w:rFonts w:cstheme="minorHAnsi"/>
          <w:sz w:val="24"/>
          <w:szCs w:val="24"/>
        </w:rPr>
      </w:pPr>
      <w:r>
        <w:rPr>
          <w:rFonts w:cstheme="minorHAnsi"/>
          <w:sz w:val="24"/>
          <w:szCs w:val="24"/>
        </w:rPr>
        <w:t xml:space="preserve">Another policing practice that cultural diversity affects is the use of stop and search. The stop and search power gives officers the power to search individuals or vehicles for unlawful items. This power however has historically and continues to be disproportionately used on individuals from black, Asian and minority ethnic groups. According to some articles, black people were seven times more likely to be searched than white people in the year ending March 2021. There is also evidence that suggests that Asian or mixed ethnic background groups were around two and a half times more likely to be stop searched than white people. This sort of disparity and imbalance of powers such as stop search can contribute to the lack of confidence and trust in police forces. This can also cause divisions between police and communities, leading to fewer crimes being recorded, lower cooperation with police and the more difficult detection and prevention of crime. </w:t>
      </w:r>
      <w:r w:rsidR="00FB3344">
        <w:rPr>
          <w:rFonts w:cstheme="minorHAnsi"/>
          <w:sz w:val="24"/>
          <w:szCs w:val="24"/>
        </w:rPr>
        <w:t>(</w:t>
      </w:r>
      <w:r w:rsidR="00FB3344" w:rsidRPr="00FB3344">
        <w:rPr>
          <w:rFonts w:cstheme="minorHAnsi"/>
          <w:sz w:val="24"/>
          <w:szCs w:val="24"/>
        </w:rPr>
        <w:t>Equality and Human Rights Commission</w:t>
      </w:r>
      <w:r w:rsidR="00FB3344">
        <w:rPr>
          <w:rFonts w:cstheme="minorHAnsi"/>
          <w:sz w:val="24"/>
          <w:szCs w:val="24"/>
        </w:rPr>
        <w:t xml:space="preserve">, </w:t>
      </w:r>
      <w:r w:rsidR="00FB3344" w:rsidRPr="00FB3344">
        <w:rPr>
          <w:rFonts w:cstheme="minorHAnsi"/>
          <w:sz w:val="24"/>
          <w:szCs w:val="24"/>
        </w:rPr>
        <w:t>2010)</w:t>
      </w:r>
      <w:r w:rsidR="00FB3344">
        <w:rPr>
          <w:rFonts w:cstheme="minorHAnsi"/>
          <w:sz w:val="24"/>
          <w:szCs w:val="24"/>
        </w:rPr>
        <w:t xml:space="preserve"> (</w:t>
      </w:r>
      <w:r w:rsidR="00FB3344" w:rsidRPr="00FB3344">
        <w:rPr>
          <w:rFonts w:ascii="Calibri" w:hAnsi="Calibri" w:cs="Calibri"/>
          <w:color w:val="000000"/>
        </w:rPr>
        <w:t>Media,</w:t>
      </w:r>
      <w:r w:rsidR="00FB3344">
        <w:rPr>
          <w:rFonts w:ascii="Calibri" w:hAnsi="Calibri" w:cs="Calibri"/>
          <w:color w:val="000000"/>
        </w:rPr>
        <w:t xml:space="preserve"> </w:t>
      </w:r>
      <w:r w:rsidR="00FB3344" w:rsidRPr="00FB3344">
        <w:rPr>
          <w:rFonts w:ascii="Calibri" w:hAnsi="Calibri" w:cs="Calibri"/>
          <w:color w:val="000000"/>
        </w:rPr>
        <w:t>2019)</w:t>
      </w:r>
    </w:p>
    <w:p w14:paraId="0F74E9FC" w14:textId="1FDD323C" w:rsidR="0037480E" w:rsidRDefault="0037480E" w:rsidP="0037480E">
      <w:pPr>
        <w:rPr>
          <w:rFonts w:cstheme="minorHAnsi"/>
          <w:sz w:val="24"/>
          <w:szCs w:val="24"/>
        </w:rPr>
      </w:pPr>
      <w:r>
        <w:rPr>
          <w:rFonts w:cstheme="minorHAnsi"/>
          <w:sz w:val="24"/>
          <w:szCs w:val="24"/>
        </w:rPr>
        <w:t xml:space="preserve">Cultural diversity can also impact community policing. Specifically, being aware of cultural diversities and developing a competency around these diversities will allow police officers to operate within certain cultures and communities in which they may be less familiar with. Understanding the cultural nuances and sensitivities of the communities they serve will help make better decisions and solve problems more effectively. Understanding the cultural differences can also improve communication between the police and communities, assist in building trust and confidence and reduce the perception of discrimination.  The impact this </w:t>
      </w:r>
      <w:r>
        <w:rPr>
          <w:rFonts w:cstheme="minorHAnsi"/>
          <w:sz w:val="24"/>
          <w:szCs w:val="24"/>
        </w:rPr>
        <w:lastRenderedPageBreak/>
        <w:t xml:space="preserve">has on policing is quite substantive as forces and officers will have to spend time to learn and understand the communities they serve. </w:t>
      </w:r>
      <w:r w:rsidR="0064788E">
        <w:rPr>
          <w:rFonts w:cstheme="minorHAnsi"/>
          <w:sz w:val="24"/>
          <w:szCs w:val="24"/>
        </w:rPr>
        <w:t>(</w:t>
      </w:r>
      <w:r w:rsidR="0064788E" w:rsidRPr="0064788E">
        <w:rPr>
          <w:rFonts w:cstheme="minorHAnsi"/>
          <w:sz w:val="24"/>
          <w:szCs w:val="24"/>
        </w:rPr>
        <w:t>Independent Office for Police Conduct</w:t>
      </w:r>
      <w:r w:rsidR="0064788E">
        <w:rPr>
          <w:rFonts w:cstheme="minorHAnsi"/>
          <w:sz w:val="24"/>
          <w:szCs w:val="24"/>
        </w:rPr>
        <w:t xml:space="preserve">, </w:t>
      </w:r>
      <w:r w:rsidR="0064788E" w:rsidRPr="0064788E">
        <w:rPr>
          <w:rFonts w:cstheme="minorHAnsi"/>
          <w:sz w:val="24"/>
          <w:szCs w:val="24"/>
        </w:rPr>
        <w:t>2023)</w:t>
      </w:r>
    </w:p>
    <w:p w14:paraId="13412372" w14:textId="77777777" w:rsidR="0037480E" w:rsidRDefault="0037480E" w:rsidP="0037480E">
      <w:pPr>
        <w:rPr>
          <w:rFonts w:cstheme="minorHAnsi"/>
          <w:sz w:val="24"/>
          <w:szCs w:val="24"/>
          <w:highlight w:val="cyan"/>
        </w:rPr>
      </w:pPr>
    </w:p>
    <w:p w14:paraId="44F9770C" w14:textId="5DDEA48B" w:rsidR="0037480E" w:rsidRDefault="0037480E" w:rsidP="0037480E">
      <w:pPr>
        <w:rPr>
          <w:rFonts w:cstheme="minorHAnsi"/>
          <w:sz w:val="24"/>
          <w:szCs w:val="24"/>
        </w:rPr>
      </w:pPr>
      <w:r>
        <w:rPr>
          <w:rFonts w:cstheme="minorHAnsi"/>
          <w:sz w:val="24"/>
          <w:szCs w:val="24"/>
        </w:rPr>
        <w:t xml:space="preserve">There are also policies and standards that cultural diversities impact, such as PACE (Police and Criminal Evidence Act 1984) and the code of ethics. PACE sets out a legislative framework for police powers and safeguards and the Code of Ethics outlines the principles and standards of behaviour expected from police officers. </w:t>
      </w:r>
    </w:p>
    <w:p w14:paraId="3158EEC3" w14:textId="051BDC0C" w:rsidR="0037480E" w:rsidRDefault="0037480E" w:rsidP="0037480E">
      <w:pPr>
        <w:rPr>
          <w:rFonts w:cstheme="minorHAnsi"/>
          <w:sz w:val="24"/>
          <w:szCs w:val="24"/>
        </w:rPr>
      </w:pPr>
      <w:r>
        <w:rPr>
          <w:rFonts w:cstheme="minorHAnsi"/>
          <w:sz w:val="24"/>
          <w:szCs w:val="24"/>
        </w:rPr>
        <w:t xml:space="preserve">Diversities can affect PACE in many ways, one of which is that police forces and officers </w:t>
      </w:r>
      <w:proofErr w:type="gramStart"/>
      <w:r>
        <w:rPr>
          <w:rFonts w:cstheme="minorHAnsi"/>
          <w:sz w:val="24"/>
          <w:szCs w:val="24"/>
        </w:rPr>
        <w:t>have to</w:t>
      </w:r>
      <w:proofErr w:type="gramEnd"/>
      <w:r>
        <w:rPr>
          <w:rFonts w:cstheme="minorHAnsi"/>
          <w:sz w:val="24"/>
          <w:szCs w:val="24"/>
        </w:rPr>
        <w:t xml:space="preserve"> set up extra support and explain different things to individuals, to ensure fair treatment of all individuals. This changes the way police officers handle situations as individuals may require an interpreter for example. </w:t>
      </w:r>
    </w:p>
    <w:p w14:paraId="3BCC7BCB" w14:textId="6628BB32" w:rsidR="0037480E" w:rsidRDefault="0037480E" w:rsidP="0037480E">
      <w:pPr>
        <w:rPr>
          <w:rFonts w:cstheme="minorHAnsi"/>
          <w:sz w:val="24"/>
          <w:szCs w:val="24"/>
        </w:rPr>
      </w:pPr>
      <w:r>
        <w:rPr>
          <w:rFonts w:cstheme="minorHAnsi"/>
          <w:sz w:val="24"/>
          <w:szCs w:val="24"/>
        </w:rPr>
        <w:t xml:space="preserve">The code of ethics </w:t>
      </w:r>
      <w:proofErr w:type="gramStart"/>
      <w:r>
        <w:rPr>
          <w:rFonts w:cstheme="minorHAnsi"/>
          <w:sz w:val="24"/>
          <w:szCs w:val="24"/>
        </w:rPr>
        <w:t>are</w:t>
      </w:r>
      <w:proofErr w:type="gramEnd"/>
      <w:r>
        <w:rPr>
          <w:rFonts w:cstheme="minorHAnsi"/>
          <w:sz w:val="24"/>
          <w:szCs w:val="24"/>
        </w:rPr>
        <w:t xml:space="preserve"> also used in cultural diversity as they set out that police officers should treat all individuals with fairness, impartiality and respect, regardless of their cultural background. Both PACE and the Code of Ethics outline and emphasise the impartial, fair way to deal with individuals. Understanding both cultural diversities and these rules and regulations that police are held to will again ultimately assist police in better decision making and prevention and detection of crime. </w:t>
      </w:r>
    </w:p>
    <w:p w14:paraId="2EB5E321" w14:textId="2E650CE2" w:rsidR="0037480E" w:rsidRDefault="0037480E" w:rsidP="0037480E">
      <w:pPr>
        <w:rPr>
          <w:rFonts w:cstheme="minorHAnsi"/>
          <w:sz w:val="24"/>
          <w:szCs w:val="24"/>
        </w:rPr>
      </w:pPr>
      <w:r>
        <w:rPr>
          <w:rFonts w:cstheme="minorHAnsi"/>
          <w:sz w:val="24"/>
          <w:szCs w:val="24"/>
        </w:rPr>
        <w:t xml:space="preserve">Alongside understanding the cultural diversities of the community’s police forces, it is also important for police forces to have diversity within its ranks. Having a diverse police force means that the force is representative of the communities it serves. This can assist in reducing the perception of discrimination and boost the sense of legitimacy and trust in police forces. Having diversity within a police force can also improve communication between officers and the public which in turn can reduce misunderstandings and conflicts between communities and police officers. </w:t>
      </w:r>
      <w:r w:rsidR="008A23EA">
        <w:rPr>
          <w:rFonts w:cstheme="minorHAnsi"/>
          <w:sz w:val="24"/>
          <w:szCs w:val="24"/>
        </w:rPr>
        <w:t>(</w:t>
      </w:r>
      <w:r w:rsidR="008A23EA" w:rsidRPr="008A23EA">
        <w:rPr>
          <w:rFonts w:cstheme="minorHAnsi"/>
          <w:sz w:val="24"/>
          <w:szCs w:val="24"/>
        </w:rPr>
        <w:t>Durham University</w:t>
      </w:r>
      <w:r w:rsidR="008A23EA">
        <w:rPr>
          <w:rFonts w:cstheme="minorHAnsi"/>
          <w:sz w:val="24"/>
          <w:szCs w:val="24"/>
        </w:rPr>
        <w:t xml:space="preserve">, </w:t>
      </w:r>
      <w:r w:rsidR="008A23EA" w:rsidRPr="008A23EA">
        <w:rPr>
          <w:rFonts w:cstheme="minorHAnsi"/>
          <w:sz w:val="24"/>
          <w:szCs w:val="24"/>
        </w:rPr>
        <w:t>2019)</w:t>
      </w:r>
    </w:p>
    <w:p w14:paraId="12D72E4D" w14:textId="77777777" w:rsidR="0037480E" w:rsidRDefault="0037480E" w:rsidP="0037480E">
      <w:pPr>
        <w:rPr>
          <w:rFonts w:cstheme="minorHAnsi"/>
          <w:sz w:val="24"/>
          <w:szCs w:val="24"/>
        </w:rPr>
      </w:pPr>
      <w:r>
        <w:rPr>
          <w:rFonts w:cstheme="minorHAnsi"/>
          <w:sz w:val="24"/>
          <w:szCs w:val="24"/>
        </w:rPr>
        <w:t>In conclusion, cultural diversity has had a profound impact on policing practice and professional policies. It has necessitated changes in neighbourhood policing strategies and influenced the development of professional policies like PACE and the Code of Ethics. As communities continue to grow and become more diverse, it is crucial for these adaptations to continue, ensuring that policing practices and policies are inclusive, fair, and effective.</w:t>
      </w:r>
    </w:p>
    <w:p w14:paraId="7497672C" w14:textId="25122776" w:rsidR="00FB3344" w:rsidRDefault="0037480E" w:rsidP="00FB3344">
      <w:pPr>
        <w:rPr>
          <w:rFonts w:cstheme="minorHAnsi"/>
          <w:sz w:val="24"/>
          <w:szCs w:val="24"/>
        </w:rPr>
      </w:pPr>
      <w:r>
        <w:rPr>
          <w:rFonts w:cstheme="minorHAnsi"/>
          <w:sz w:val="24"/>
          <w:szCs w:val="24"/>
        </w:rPr>
        <w:t>Word count: 7</w:t>
      </w:r>
      <w:r w:rsidR="008A23EA">
        <w:rPr>
          <w:rFonts w:cstheme="minorHAnsi"/>
          <w:sz w:val="24"/>
          <w:szCs w:val="24"/>
        </w:rPr>
        <w:t>89</w:t>
      </w:r>
    </w:p>
    <w:p w14:paraId="20211953" w14:textId="75AC0793" w:rsidR="00FB3344" w:rsidRDefault="0037480E" w:rsidP="00FB3344">
      <w:pPr>
        <w:rPr>
          <w:rFonts w:cstheme="minorHAnsi"/>
          <w:sz w:val="24"/>
          <w:szCs w:val="24"/>
        </w:rPr>
      </w:pPr>
      <w:r>
        <w:rPr>
          <w:rFonts w:cstheme="minorHAnsi"/>
          <w:sz w:val="24"/>
          <w:szCs w:val="24"/>
        </w:rPr>
        <w:br/>
      </w:r>
    </w:p>
    <w:p w14:paraId="15070872" w14:textId="30D554CD" w:rsidR="00FB3344" w:rsidRDefault="00FB3344" w:rsidP="0037480E">
      <w:pPr>
        <w:rPr>
          <w:rFonts w:cstheme="minorHAnsi"/>
          <w:sz w:val="24"/>
          <w:szCs w:val="24"/>
        </w:rPr>
      </w:pPr>
    </w:p>
    <w:p w14:paraId="0CE72373" w14:textId="77777777" w:rsidR="00FB3344" w:rsidRDefault="00FB3344" w:rsidP="0037480E">
      <w:pPr>
        <w:rPr>
          <w:rFonts w:cstheme="minorHAnsi"/>
          <w:sz w:val="24"/>
          <w:szCs w:val="24"/>
        </w:rPr>
      </w:pPr>
    </w:p>
    <w:p w14:paraId="4C73BE3F" w14:textId="77777777" w:rsidR="00FB3344" w:rsidRDefault="00FB3344" w:rsidP="0037480E">
      <w:pPr>
        <w:rPr>
          <w:rFonts w:cstheme="minorHAnsi"/>
          <w:sz w:val="24"/>
          <w:szCs w:val="24"/>
        </w:rPr>
      </w:pPr>
    </w:p>
    <w:p w14:paraId="7E947388" w14:textId="77777777" w:rsidR="00FB3344" w:rsidRDefault="00FB3344" w:rsidP="0037480E">
      <w:pPr>
        <w:rPr>
          <w:rFonts w:cstheme="minorHAnsi"/>
          <w:sz w:val="24"/>
          <w:szCs w:val="24"/>
        </w:rPr>
      </w:pPr>
    </w:p>
    <w:p w14:paraId="6417F41F" w14:textId="0F5658AC" w:rsidR="0037480E" w:rsidRDefault="0037480E" w:rsidP="0037480E">
      <w:pPr>
        <w:rPr>
          <w:rFonts w:cstheme="minorHAnsi"/>
          <w:sz w:val="24"/>
          <w:szCs w:val="24"/>
        </w:rPr>
      </w:pPr>
      <w:r>
        <w:rPr>
          <w:rFonts w:cstheme="minorHAnsi"/>
          <w:sz w:val="24"/>
          <w:szCs w:val="24"/>
        </w:rPr>
        <w:lastRenderedPageBreak/>
        <w:br/>
      </w:r>
    </w:p>
    <w:p w14:paraId="05FD334A" w14:textId="77777777" w:rsidR="0037480E" w:rsidRPr="0037480E" w:rsidRDefault="0037480E" w:rsidP="0037480E">
      <w:pPr>
        <w:pStyle w:val="Heading1"/>
        <w:rPr>
          <w:rFonts w:asciiTheme="minorHAnsi" w:hAnsiTheme="minorHAnsi" w:cstheme="minorHAnsi"/>
          <w:b/>
          <w:bCs/>
          <w:color w:val="000000" w:themeColor="text1"/>
        </w:rPr>
      </w:pPr>
      <w:r w:rsidRPr="0037480E">
        <w:rPr>
          <w:rFonts w:asciiTheme="minorHAnsi" w:hAnsiTheme="minorHAnsi" w:cstheme="minorHAnsi"/>
          <w:b/>
          <w:bCs/>
          <w:color w:val="000000" w:themeColor="text1"/>
          <w:highlight w:val="green"/>
        </w:rPr>
        <w:t>Essay two:</w:t>
      </w:r>
      <w:r w:rsidRPr="0037480E">
        <w:rPr>
          <w:rFonts w:asciiTheme="minorHAnsi" w:hAnsiTheme="minorHAnsi" w:cstheme="minorHAnsi"/>
          <w:b/>
          <w:bCs/>
          <w:color w:val="000000" w:themeColor="text1"/>
        </w:rPr>
        <w:t xml:space="preserve"> </w:t>
      </w:r>
    </w:p>
    <w:p w14:paraId="5DA5522E" w14:textId="77777777" w:rsidR="0037480E" w:rsidRDefault="0037480E" w:rsidP="0037480E">
      <w:pPr>
        <w:rPr>
          <w:rFonts w:cstheme="minorHAnsi"/>
          <w:sz w:val="24"/>
          <w:szCs w:val="24"/>
        </w:rPr>
      </w:pPr>
      <w:r>
        <w:rPr>
          <w:rFonts w:cstheme="minorHAnsi"/>
          <w:sz w:val="24"/>
          <w:szCs w:val="24"/>
        </w:rPr>
        <w:t xml:space="preserve">Examine the various socio-economic and psychological characteristics which can make people vulnerable to exploitation by criminal gangs. Your answer must be based on academic research. </w:t>
      </w:r>
    </w:p>
    <w:p w14:paraId="2A4EA6AC" w14:textId="77777777" w:rsidR="0037480E" w:rsidRDefault="0037480E" w:rsidP="0037480E">
      <w:pPr>
        <w:rPr>
          <w:rFonts w:cstheme="minorHAnsi"/>
          <w:sz w:val="24"/>
          <w:szCs w:val="24"/>
        </w:rPr>
      </w:pPr>
      <w:r>
        <w:rPr>
          <w:rFonts w:cstheme="minorHAnsi"/>
          <w:sz w:val="24"/>
          <w:szCs w:val="24"/>
        </w:rPr>
        <w:t xml:space="preserve">Word limit: 1000 words. </w:t>
      </w:r>
    </w:p>
    <w:p w14:paraId="265CE6E8" w14:textId="66849177" w:rsidR="0037480E" w:rsidRDefault="0037480E" w:rsidP="0037480E">
      <w:pPr>
        <w:rPr>
          <w:rFonts w:cstheme="minorHAnsi"/>
          <w:sz w:val="24"/>
          <w:szCs w:val="24"/>
        </w:rPr>
      </w:pPr>
      <w:r>
        <w:rPr>
          <w:rFonts w:cstheme="minorHAnsi"/>
          <w:sz w:val="24"/>
          <w:szCs w:val="24"/>
        </w:rPr>
        <w:t xml:space="preserve">Criminals and organised criminal gangs often exploit vulnerable individuals as a part of their operation, strategies and recruitment. Criminal gangs engage in the exploitation of vulnerable individuals for a number of reasons, some of which can include expanding the gangs’ activities (drug production and sale, human trafficking and firearms trafficking), expanding a support network to foster and assist in the </w:t>
      </w:r>
      <w:proofErr w:type="gramStart"/>
      <w:r>
        <w:rPr>
          <w:rFonts w:cstheme="minorHAnsi"/>
          <w:sz w:val="24"/>
          <w:szCs w:val="24"/>
        </w:rPr>
        <w:t>gangs</w:t>
      </w:r>
      <w:proofErr w:type="gramEnd"/>
      <w:r>
        <w:rPr>
          <w:rFonts w:cstheme="minorHAnsi"/>
          <w:sz w:val="24"/>
          <w:szCs w:val="24"/>
        </w:rPr>
        <w:t xml:space="preserve"> activities and to gain financially. Criminal gangs often focus their exploitations on the vulnerable individuals of communities as normally it’s easier for them to hold more control over these individuals. There are several factors that can make people vulnerable to exploitation which will be explored below. </w:t>
      </w:r>
    </w:p>
    <w:p w14:paraId="551324A0" w14:textId="433FAA4D" w:rsidR="0037480E" w:rsidRDefault="0037480E" w:rsidP="0037480E">
      <w:pPr>
        <w:rPr>
          <w:rFonts w:cstheme="minorHAnsi"/>
          <w:sz w:val="24"/>
          <w:szCs w:val="24"/>
        </w:rPr>
      </w:pPr>
      <w:r>
        <w:rPr>
          <w:rFonts w:cstheme="minorHAnsi"/>
          <w:sz w:val="24"/>
          <w:szCs w:val="24"/>
        </w:rPr>
        <w:t xml:space="preserve">There is a multitude of socioeconomic and psychological characteristics that make people vulnerable to exploitation. For example, poverty can increase the risk of exploitation in individuals. People living in poverty will often face more desperate circumstances and this could lead them to be more willing to accept precarious work conditions or walk into a trap of false promises of employment. A report by researchers at the University of East Anglia and University of Warwick found that the links between domestic abuse, substance misuse and poverty are </w:t>
      </w:r>
      <w:proofErr w:type="gramStart"/>
      <w:r>
        <w:rPr>
          <w:rFonts w:cstheme="minorHAnsi"/>
          <w:sz w:val="24"/>
          <w:szCs w:val="24"/>
        </w:rPr>
        <w:t>actually inter-</w:t>
      </w:r>
      <w:proofErr w:type="gramEnd"/>
      <w:r>
        <w:rPr>
          <w:rFonts w:cstheme="minorHAnsi"/>
          <w:sz w:val="24"/>
          <w:szCs w:val="24"/>
        </w:rPr>
        <w:t xml:space="preserve">dependent. Individuals living in poverty can be vulnerable to exploitation from criminal gangs as the gangs can present individuals with ‘better options’ and a ‘better lifestyle’ which to someone living in poverty, especially extreme poverty, will seem like the best thing to happen to them, without realising what they’ve just got themselves into. </w:t>
      </w:r>
      <w:r w:rsidR="003F2360">
        <w:rPr>
          <w:rFonts w:cstheme="minorHAnsi"/>
          <w:sz w:val="24"/>
          <w:szCs w:val="24"/>
        </w:rPr>
        <w:t>(</w:t>
      </w:r>
      <w:r w:rsidR="003F2360" w:rsidRPr="003F2360">
        <w:rPr>
          <w:rFonts w:ascii="Calibri" w:hAnsi="Calibri" w:cs="Calibri"/>
          <w:color w:val="000000"/>
        </w:rPr>
        <w:t>University of East Anglia</w:t>
      </w:r>
      <w:r w:rsidR="003F2360">
        <w:rPr>
          <w:rFonts w:ascii="Calibri" w:hAnsi="Calibri" w:cs="Calibri"/>
          <w:color w:val="000000"/>
        </w:rPr>
        <w:t xml:space="preserve">, </w:t>
      </w:r>
      <w:r w:rsidR="003F2360" w:rsidRPr="003F2360">
        <w:rPr>
          <w:rFonts w:ascii="Calibri" w:hAnsi="Calibri" w:cs="Calibri"/>
          <w:color w:val="000000"/>
        </w:rPr>
        <w:t>2020)</w:t>
      </w:r>
    </w:p>
    <w:p w14:paraId="5A70FFDD" w14:textId="7C752FB3" w:rsidR="0037480E" w:rsidRDefault="0037480E" w:rsidP="0037480E">
      <w:pPr>
        <w:rPr>
          <w:rFonts w:cstheme="minorHAnsi"/>
          <w:sz w:val="24"/>
          <w:szCs w:val="24"/>
        </w:rPr>
      </w:pPr>
      <w:r>
        <w:rPr>
          <w:rFonts w:cstheme="minorHAnsi"/>
          <w:sz w:val="24"/>
          <w:szCs w:val="24"/>
        </w:rPr>
        <w:t xml:space="preserve">Lack of education for individuals can also increase the risk of exploitation by criminal gangs. Individuals without proper education may not have the knowledge or awareness to identify situations where they are being exploited or at risk of being exploited. They may not be able to recognise the signs of an exploitative situation or may not understand what rights they hold. Lack of education can often mean that individuals have limited access to decent jobs which puts them at risk to being stuck in low income or unstable jobs which further the vulnerabilities to exploitation. Individuals without education can also be socially isolated and may find themselves without a support network from friends or agencies that would decrease the risk of exploitation. On the back of this, individuals without education might find themselves socially isolated from </w:t>
      </w:r>
      <w:proofErr w:type="gramStart"/>
      <w:r>
        <w:rPr>
          <w:rFonts w:cstheme="minorHAnsi"/>
          <w:sz w:val="24"/>
          <w:szCs w:val="24"/>
        </w:rPr>
        <w:t>the majority of</w:t>
      </w:r>
      <w:proofErr w:type="gramEnd"/>
      <w:r>
        <w:rPr>
          <w:rFonts w:cstheme="minorHAnsi"/>
          <w:sz w:val="24"/>
          <w:szCs w:val="24"/>
        </w:rPr>
        <w:t xml:space="preserve"> people but be heavily dependent on a select few for their livelihood, which increases the risk of exploitation as criminal gangs can insert themselves into their lives and act as a best friend. </w:t>
      </w:r>
      <w:r w:rsidR="007D4047">
        <w:rPr>
          <w:rFonts w:cstheme="minorHAnsi"/>
          <w:sz w:val="24"/>
          <w:szCs w:val="24"/>
        </w:rPr>
        <w:t xml:space="preserve">(University of Bedfordshire, 2021) </w:t>
      </w:r>
    </w:p>
    <w:p w14:paraId="3C14B726" w14:textId="25CB19B8" w:rsidR="0037480E" w:rsidRDefault="0037480E" w:rsidP="0037480E">
      <w:pPr>
        <w:rPr>
          <w:rFonts w:cstheme="minorHAnsi"/>
          <w:sz w:val="24"/>
          <w:szCs w:val="24"/>
        </w:rPr>
      </w:pPr>
      <w:r>
        <w:rPr>
          <w:rFonts w:cstheme="minorHAnsi"/>
          <w:sz w:val="24"/>
          <w:szCs w:val="24"/>
        </w:rPr>
        <w:lastRenderedPageBreak/>
        <w:t xml:space="preserve">Socially isolated individuals may feel like they are socially excluded from society and their communities. These individuals may find themselves desperately searching for a sense of belonging and for the support networks they lack from friends and family. This increases the risk of exploitation as individuals could turn towards criminal gangs to find the sense of belonging and comradery that they lack in their lives. Getting involved with the criminal gangs could further worsen their situation as it could lead to a normalisation of crime which could see individuals committing crimes, feeling more socially excluded and potentially pushing them further into the criminal gangs. The entire situation could be a negative feedback loop of getting stuck in a life of crime. </w:t>
      </w:r>
      <w:r w:rsidR="00B17A6D">
        <w:rPr>
          <w:rFonts w:cstheme="minorHAnsi"/>
          <w:sz w:val="24"/>
          <w:szCs w:val="24"/>
        </w:rPr>
        <w:t xml:space="preserve">(University of Bedfordshire, 2021) </w:t>
      </w:r>
    </w:p>
    <w:p w14:paraId="01C2FBEF" w14:textId="2D3866E8" w:rsidR="0037480E" w:rsidRDefault="0037480E" w:rsidP="0037480E">
      <w:pPr>
        <w:rPr>
          <w:rFonts w:cstheme="minorHAnsi"/>
          <w:sz w:val="24"/>
          <w:szCs w:val="24"/>
        </w:rPr>
      </w:pPr>
      <w:r>
        <w:rPr>
          <w:rFonts w:cstheme="minorHAnsi"/>
          <w:sz w:val="24"/>
          <w:szCs w:val="24"/>
        </w:rPr>
        <w:t xml:space="preserve">There are also </w:t>
      </w:r>
      <w:proofErr w:type="gramStart"/>
      <w:r>
        <w:rPr>
          <w:rFonts w:cstheme="minorHAnsi"/>
          <w:sz w:val="24"/>
          <w:szCs w:val="24"/>
        </w:rPr>
        <w:t>a number of</w:t>
      </w:r>
      <w:proofErr w:type="gramEnd"/>
      <w:r>
        <w:rPr>
          <w:rFonts w:cstheme="minorHAnsi"/>
          <w:sz w:val="24"/>
          <w:szCs w:val="24"/>
        </w:rPr>
        <w:t xml:space="preserve"> psychological factors that can affect someone’s vulnerability to exploitation. Low self-esteem can make an individual more susceptible to exploitation because low self-esteem often makes people have a negative image of themselves, which can have a detrimental effect on their self-confidence and sometimes lead to mental health issues. This can lead to individuals being manipulated by criminal gangs. The criminal gangs can prey on low self-esteem individuals and make them feel valued and accepted which can again drag them into the </w:t>
      </w:r>
      <w:r w:rsidR="009F1F9B">
        <w:rPr>
          <w:rFonts w:cstheme="minorHAnsi"/>
          <w:sz w:val="24"/>
          <w:szCs w:val="24"/>
        </w:rPr>
        <w:t>life</w:t>
      </w:r>
      <w:r>
        <w:rPr>
          <w:rFonts w:cstheme="minorHAnsi"/>
          <w:sz w:val="24"/>
          <w:szCs w:val="24"/>
        </w:rPr>
        <w:t xml:space="preserve"> of crime and exploitation from gangs. </w:t>
      </w:r>
    </w:p>
    <w:p w14:paraId="3047AC1C" w14:textId="77777777" w:rsidR="0037480E" w:rsidRDefault="0037480E" w:rsidP="0037480E">
      <w:pPr>
        <w:rPr>
          <w:rFonts w:cstheme="minorHAnsi"/>
          <w:sz w:val="24"/>
          <w:szCs w:val="24"/>
        </w:rPr>
      </w:pPr>
      <w:r>
        <w:rPr>
          <w:rFonts w:cstheme="minorHAnsi"/>
          <w:sz w:val="24"/>
          <w:szCs w:val="24"/>
        </w:rPr>
        <w:t xml:space="preserve">Substance misuse is also another big factor that can increase an individual's vulnerability to exploitation. Individuals who are struggling with addiction often find themselves stuck in a cycle where the substance they are abusing becomes an essential part of their life. Criminal gangs can use this dependency to exploit individuals as they are able to promise a steady supply of drugs. Criminal gangs will supply these drugs which causes a negative loop for the individual as they’ll become more and more dependent on substances and the criminal gangs. </w:t>
      </w:r>
    </w:p>
    <w:p w14:paraId="48A26F10" w14:textId="528380B1" w:rsidR="0037480E" w:rsidRDefault="0037480E" w:rsidP="0037480E">
      <w:pPr>
        <w:rPr>
          <w:rFonts w:cstheme="minorHAnsi"/>
          <w:sz w:val="24"/>
          <w:szCs w:val="24"/>
        </w:rPr>
      </w:pPr>
      <w:r>
        <w:rPr>
          <w:rFonts w:cstheme="minorHAnsi"/>
          <w:sz w:val="24"/>
          <w:szCs w:val="24"/>
        </w:rPr>
        <w:t xml:space="preserve">Trauma can also increase an individual’s vulnerability to exploitation. Individuals that have experienced </w:t>
      </w:r>
      <w:r w:rsidR="009F1F9B">
        <w:rPr>
          <w:rFonts w:cstheme="minorHAnsi"/>
          <w:sz w:val="24"/>
          <w:szCs w:val="24"/>
        </w:rPr>
        <w:t>trauma</w:t>
      </w:r>
      <w:r>
        <w:rPr>
          <w:rFonts w:cstheme="minorHAnsi"/>
          <w:sz w:val="24"/>
          <w:szCs w:val="24"/>
        </w:rPr>
        <w:t xml:space="preserve"> often have a </w:t>
      </w:r>
      <w:r w:rsidR="009F1F9B">
        <w:rPr>
          <w:rFonts w:cstheme="minorHAnsi"/>
          <w:sz w:val="24"/>
          <w:szCs w:val="24"/>
        </w:rPr>
        <w:t>huge</w:t>
      </w:r>
      <w:r>
        <w:rPr>
          <w:rFonts w:cstheme="minorHAnsi"/>
          <w:sz w:val="24"/>
          <w:szCs w:val="24"/>
        </w:rPr>
        <w:t xml:space="preserve"> impact </w:t>
      </w:r>
      <w:r w:rsidR="009F1F9B">
        <w:rPr>
          <w:rFonts w:cstheme="minorHAnsi"/>
          <w:sz w:val="24"/>
          <w:szCs w:val="24"/>
        </w:rPr>
        <w:t>caused to</w:t>
      </w:r>
      <w:r>
        <w:rPr>
          <w:rFonts w:cstheme="minorHAnsi"/>
          <w:sz w:val="24"/>
          <w:szCs w:val="24"/>
        </w:rPr>
        <w:t xml:space="preserve"> their mental, emotional and physical well-being, which can lead to </w:t>
      </w:r>
      <w:proofErr w:type="gramStart"/>
      <w:r>
        <w:rPr>
          <w:rFonts w:cstheme="minorHAnsi"/>
          <w:sz w:val="24"/>
          <w:szCs w:val="24"/>
        </w:rPr>
        <w:t>a number of</w:t>
      </w:r>
      <w:proofErr w:type="gramEnd"/>
      <w:r>
        <w:rPr>
          <w:rFonts w:cstheme="minorHAnsi"/>
          <w:sz w:val="24"/>
          <w:szCs w:val="24"/>
        </w:rPr>
        <w:t xml:space="preserve"> responses including a heightened or constant state of fear and a negative self-image. These factors of individuals who’ve experienced trauma are known and used by criminal gangs to exploit and manipulate the individuals. As stated above the same responses to trauma can lead to exploitation as gangs can fulfil peoples need for validation and belonging and security. </w:t>
      </w:r>
    </w:p>
    <w:p w14:paraId="494C58C7" w14:textId="01671D9A" w:rsidR="005F5709" w:rsidRDefault="0037480E" w:rsidP="0037480E">
      <w:pPr>
        <w:rPr>
          <w:rFonts w:cstheme="minorHAnsi"/>
          <w:sz w:val="24"/>
          <w:szCs w:val="24"/>
        </w:rPr>
      </w:pPr>
      <w:r>
        <w:rPr>
          <w:rFonts w:cstheme="minorHAnsi"/>
          <w:sz w:val="24"/>
          <w:szCs w:val="24"/>
        </w:rPr>
        <w:t xml:space="preserve">There are </w:t>
      </w:r>
      <w:proofErr w:type="gramStart"/>
      <w:r>
        <w:rPr>
          <w:rFonts w:cstheme="minorHAnsi"/>
          <w:sz w:val="24"/>
          <w:szCs w:val="24"/>
        </w:rPr>
        <w:t>a number of</w:t>
      </w:r>
      <w:proofErr w:type="gramEnd"/>
      <w:r>
        <w:rPr>
          <w:rFonts w:cstheme="minorHAnsi"/>
          <w:sz w:val="24"/>
          <w:szCs w:val="24"/>
        </w:rPr>
        <w:t xml:space="preserve"> socio-economic and psychological characteristics that can affect people’s vulnerabilities to being exploited by criminal gangs.</w:t>
      </w:r>
      <w:r w:rsidR="009F1F9B">
        <w:rPr>
          <w:rFonts w:cstheme="minorHAnsi"/>
          <w:sz w:val="24"/>
          <w:szCs w:val="24"/>
        </w:rPr>
        <w:t xml:space="preserve"> People living in poverty may feel forced to make bad decisions due to desperation. People in poverty may also lack education making them have less opportunities for well paying jobs. Social exclusion can also cause people to be vulnerable to exploitation as isolated individuals tend to be easier to manipulate. </w:t>
      </w:r>
      <w:r>
        <w:rPr>
          <w:rFonts w:cstheme="minorHAnsi"/>
          <w:sz w:val="24"/>
          <w:szCs w:val="24"/>
        </w:rPr>
        <w:t xml:space="preserve">It is vital that police officers, probation services, youth offending services and any other agencies that are involved in the safeguarding of individuals understand these impact factors can have on a </w:t>
      </w:r>
      <w:r w:rsidR="009F1F9B">
        <w:rPr>
          <w:rFonts w:cstheme="minorHAnsi"/>
          <w:sz w:val="24"/>
          <w:szCs w:val="24"/>
        </w:rPr>
        <w:t>person’s</w:t>
      </w:r>
      <w:r>
        <w:rPr>
          <w:rFonts w:cstheme="minorHAnsi"/>
          <w:sz w:val="24"/>
          <w:szCs w:val="24"/>
        </w:rPr>
        <w:t xml:space="preserve"> vulnerability as it’s often vital for the needs of individuals to be recognised and met </w:t>
      </w:r>
      <w:proofErr w:type="gramStart"/>
      <w:r>
        <w:rPr>
          <w:rFonts w:cstheme="minorHAnsi"/>
          <w:sz w:val="24"/>
          <w:szCs w:val="24"/>
        </w:rPr>
        <w:t>in order for</w:t>
      </w:r>
      <w:proofErr w:type="gramEnd"/>
      <w:r>
        <w:rPr>
          <w:rFonts w:cstheme="minorHAnsi"/>
          <w:sz w:val="24"/>
          <w:szCs w:val="24"/>
        </w:rPr>
        <w:t xml:space="preserve"> them not to be exploited by criminal gangs. </w:t>
      </w:r>
      <w:r w:rsidR="005F5709">
        <w:rPr>
          <w:rFonts w:cstheme="minorHAnsi"/>
          <w:sz w:val="24"/>
          <w:szCs w:val="24"/>
        </w:rPr>
        <w:t xml:space="preserve">(Annan et al, 2021) (Spicer, Moyle and Coomer, 2019) (Robinson, McLean and Densley, 2018) </w:t>
      </w:r>
    </w:p>
    <w:p w14:paraId="3AF868B5" w14:textId="1BC7CD91" w:rsidR="00B17A6D" w:rsidRDefault="00B17A6D" w:rsidP="0037480E">
      <w:pPr>
        <w:rPr>
          <w:rFonts w:cstheme="minorHAnsi"/>
          <w:sz w:val="24"/>
          <w:szCs w:val="24"/>
        </w:rPr>
      </w:pPr>
      <w:r>
        <w:rPr>
          <w:rFonts w:cstheme="minorHAnsi"/>
          <w:sz w:val="24"/>
          <w:szCs w:val="24"/>
        </w:rPr>
        <w:lastRenderedPageBreak/>
        <w:t>Word count: 9</w:t>
      </w:r>
      <w:r w:rsidR="009F1F9B">
        <w:rPr>
          <w:rFonts w:cstheme="minorHAnsi"/>
          <w:sz w:val="24"/>
          <w:szCs w:val="24"/>
        </w:rPr>
        <w:t>67</w:t>
      </w:r>
    </w:p>
    <w:p w14:paraId="6E41E492" w14:textId="77777777" w:rsidR="0037480E" w:rsidRDefault="0037480E" w:rsidP="0037480E">
      <w:pPr>
        <w:rPr>
          <w:rFonts w:cstheme="minorHAnsi"/>
          <w:sz w:val="24"/>
          <w:szCs w:val="24"/>
        </w:rPr>
      </w:pPr>
    </w:p>
    <w:p w14:paraId="70EA96AB" w14:textId="77777777" w:rsidR="0037480E" w:rsidRDefault="0037480E" w:rsidP="0037480E">
      <w:pPr>
        <w:rPr>
          <w:rFonts w:cstheme="minorHAnsi"/>
          <w:sz w:val="24"/>
          <w:szCs w:val="24"/>
        </w:rPr>
      </w:pPr>
    </w:p>
    <w:p w14:paraId="72A31208" w14:textId="77777777" w:rsidR="0037480E" w:rsidRDefault="0037480E" w:rsidP="0037480E">
      <w:pPr>
        <w:rPr>
          <w:rFonts w:cstheme="minorHAnsi"/>
          <w:sz w:val="24"/>
          <w:szCs w:val="24"/>
        </w:rPr>
      </w:pPr>
    </w:p>
    <w:p w14:paraId="74F7BD1B" w14:textId="77777777" w:rsidR="0037480E" w:rsidRPr="0037480E" w:rsidRDefault="0037480E" w:rsidP="0037480E">
      <w:pPr>
        <w:pStyle w:val="Heading1"/>
        <w:rPr>
          <w:rFonts w:asciiTheme="minorHAnsi" w:hAnsiTheme="minorHAnsi" w:cstheme="minorHAnsi"/>
          <w:b/>
          <w:bCs/>
          <w:color w:val="000000" w:themeColor="text1"/>
        </w:rPr>
      </w:pPr>
      <w:r w:rsidRPr="00803234">
        <w:rPr>
          <w:rFonts w:asciiTheme="minorHAnsi" w:hAnsiTheme="minorHAnsi" w:cstheme="minorHAnsi"/>
          <w:b/>
          <w:bCs/>
          <w:color w:val="000000" w:themeColor="text1"/>
          <w:highlight w:val="green"/>
        </w:rPr>
        <w:t>Essay three:</w:t>
      </w:r>
    </w:p>
    <w:p w14:paraId="5F1EACEB" w14:textId="77777777" w:rsidR="0037480E" w:rsidRDefault="0037480E" w:rsidP="0037480E">
      <w:pPr>
        <w:rPr>
          <w:rFonts w:cstheme="minorHAnsi"/>
          <w:sz w:val="24"/>
          <w:szCs w:val="24"/>
        </w:rPr>
      </w:pPr>
      <w:r>
        <w:rPr>
          <w:rFonts w:cstheme="minorHAnsi"/>
          <w:sz w:val="24"/>
          <w:szCs w:val="24"/>
        </w:rPr>
        <w:t xml:space="preserve">Is MAPPA an effective means of managing violent and sexual offenders? What increases or detracts from its effectiveness? Your answer must be based on academic research. </w:t>
      </w:r>
    </w:p>
    <w:p w14:paraId="36DC93CE" w14:textId="77777777" w:rsidR="0037480E" w:rsidRDefault="0037480E" w:rsidP="0037480E">
      <w:pPr>
        <w:rPr>
          <w:rFonts w:cstheme="minorHAnsi"/>
          <w:sz w:val="24"/>
          <w:szCs w:val="24"/>
        </w:rPr>
      </w:pPr>
      <w:r>
        <w:rPr>
          <w:rFonts w:cstheme="minorHAnsi"/>
          <w:sz w:val="24"/>
          <w:szCs w:val="24"/>
        </w:rPr>
        <w:t>Word limit: 1000 words</w:t>
      </w:r>
    </w:p>
    <w:p w14:paraId="471F16E9" w14:textId="77777777" w:rsidR="0037480E" w:rsidRDefault="0037480E" w:rsidP="0037480E">
      <w:pPr>
        <w:rPr>
          <w:rFonts w:cstheme="minorHAnsi"/>
          <w:sz w:val="24"/>
          <w:szCs w:val="24"/>
        </w:rPr>
      </w:pPr>
      <w:r>
        <w:rPr>
          <w:rFonts w:cstheme="minorHAnsi"/>
          <w:sz w:val="24"/>
          <w:szCs w:val="24"/>
        </w:rPr>
        <w:t>The effectiveness of Multi-Agency Public Protection Arrangements (MAPPA) in managing violent and sexual offenders is a complex and multifaceted issues. Several factors contribute to the assessment of MAPPA’s effectiveness, including information-sharing, collaboration among agencies, risk assessment processes, resource allocation, and continuous improvement.</w:t>
      </w:r>
    </w:p>
    <w:p w14:paraId="0EBEB0A7" w14:textId="77777777" w:rsidR="0037480E" w:rsidRDefault="0037480E" w:rsidP="0037480E">
      <w:pPr>
        <w:rPr>
          <w:rFonts w:cstheme="minorHAnsi"/>
          <w:sz w:val="24"/>
          <w:szCs w:val="24"/>
        </w:rPr>
      </w:pPr>
      <w:r>
        <w:rPr>
          <w:rFonts w:cstheme="minorHAnsi"/>
          <w:sz w:val="24"/>
          <w:szCs w:val="24"/>
        </w:rPr>
        <w:t xml:space="preserve">MAPPA was established to create a framework designed to reduce the risks posed by sexual and violent offenders </w:t>
      </w:r>
      <w:proofErr w:type="gramStart"/>
      <w:r>
        <w:rPr>
          <w:rFonts w:cstheme="minorHAnsi"/>
          <w:sz w:val="24"/>
          <w:szCs w:val="24"/>
        </w:rPr>
        <w:t>in order to</w:t>
      </w:r>
      <w:proofErr w:type="gramEnd"/>
      <w:r>
        <w:rPr>
          <w:rFonts w:cstheme="minorHAnsi"/>
          <w:sz w:val="24"/>
          <w:szCs w:val="24"/>
        </w:rPr>
        <w:t xml:space="preserve"> protect the public, including previously victims, from serious harm. These arrangements involve the coordination and collaboration of various agencies, such as the police, probation services, prisons, health services, and local authorities. With the overarching goal to assess and manage the risks posed by certain offenders. </w:t>
      </w:r>
    </w:p>
    <w:p w14:paraId="448BBF80" w14:textId="77777777" w:rsidR="0037480E" w:rsidRDefault="0037480E" w:rsidP="0037480E">
      <w:pPr>
        <w:rPr>
          <w:rFonts w:cstheme="minorHAnsi"/>
          <w:sz w:val="24"/>
          <w:szCs w:val="24"/>
        </w:rPr>
      </w:pPr>
      <w:r>
        <w:rPr>
          <w:rFonts w:cstheme="minorHAnsi"/>
          <w:sz w:val="24"/>
          <w:szCs w:val="24"/>
        </w:rPr>
        <w:t xml:space="preserve">While different agencies have their own views and appreciations for MAPPA, </w:t>
      </w:r>
      <w:proofErr w:type="gramStart"/>
      <w:r>
        <w:rPr>
          <w:rFonts w:cstheme="minorHAnsi"/>
          <w:sz w:val="24"/>
          <w:szCs w:val="24"/>
        </w:rPr>
        <w:t>on the whole</w:t>
      </w:r>
      <w:proofErr w:type="gramEnd"/>
      <w:r>
        <w:rPr>
          <w:rFonts w:cstheme="minorHAnsi"/>
          <w:sz w:val="24"/>
          <w:szCs w:val="24"/>
        </w:rPr>
        <w:t xml:space="preserve">, MAPPA is a </w:t>
      </w:r>
      <w:proofErr w:type="spellStart"/>
      <w:r>
        <w:rPr>
          <w:rFonts w:cstheme="minorHAnsi"/>
          <w:sz w:val="24"/>
          <w:szCs w:val="24"/>
        </w:rPr>
        <w:t>well respected</w:t>
      </w:r>
      <w:proofErr w:type="spellEnd"/>
      <w:r>
        <w:rPr>
          <w:rFonts w:cstheme="minorHAnsi"/>
          <w:sz w:val="24"/>
          <w:szCs w:val="24"/>
        </w:rPr>
        <w:t xml:space="preserve"> and highly valued practice for managing the risk posed by individuals convicted of sexual and violent offences. Agencies and practitioners agree that MAPPA is </w:t>
      </w:r>
      <w:proofErr w:type="gramStart"/>
      <w:r>
        <w:rPr>
          <w:rFonts w:cstheme="minorHAnsi"/>
          <w:sz w:val="24"/>
          <w:szCs w:val="24"/>
        </w:rPr>
        <w:t>definitely the</w:t>
      </w:r>
      <w:proofErr w:type="gramEnd"/>
      <w:r>
        <w:rPr>
          <w:rFonts w:cstheme="minorHAnsi"/>
          <w:sz w:val="24"/>
          <w:szCs w:val="24"/>
        </w:rPr>
        <w:t xml:space="preserve"> right approach to managing sexual and violent offenders and it has the potential to be really effective at managing the risks posed by these offenders, but as it currently stands there are certain areas that need to be improved and certain aspects need to be clarified and pushed to agencies. </w:t>
      </w:r>
    </w:p>
    <w:p w14:paraId="403E5A41" w14:textId="744B2FEC" w:rsidR="0037480E" w:rsidRDefault="0037480E" w:rsidP="0037480E">
      <w:pPr>
        <w:rPr>
          <w:rFonts w:cstheme="minorHAnsi"/>
          <w:sz w:val="24"/>
          <w:szCs w:val="24"/>
        </w:rPr>
      </w:pPr>
      <w:r>
        <w:rPr>
          <w:rFonts w:cstheme="minorHAnsi"/>
          <w:sz w:val="24"/>
          <w:szCs w:val="24"/>
        </w:rPr>
        <w:t xml:space="preserve">From research, it’s been found that most practitioners from probation and police had concerns over potential risk factors weren’t being raised, causing the potential risk posed to public was going unrecognised and unmanaged. There </w:t>
      </w:r>
      <w:proofErr w:type="gramStart"/>
      <w:r>
        <w:rPr>
          <w:rFonts w:cstheme="minorHAnsi"/>
          <w:sz w:val="24"/>
          <w:szCs w:val="24"/>
        </w:rPr>
        <w:t>is</w:t>
      </w:r>
      <w:proofErr w:type="gramEnd"/>
      <w:r>
        <w:rPr>
          <w:rFonts w:cstheme="minorHAnsi"/>
          <w:sz w:val="24"/>
          <w:szCs w:val="24"/>
        </w:rPr>
        <w:t xml:space="preserve"> concerns over these potential risks going amiss because while in prison the factors that increase risk such as accommodation problems, financial concerns and relationship issues aren’t present and that the prisoners behaviour throughout their sentence isn’t being included in the information being shared under MAPPA. This had been raised to the Offender Management in Custody unit (</w:t>
      </w:r>
      <w:proofErr w:type="spellStart"/>
      <w:r>
        <w:rPr>
          <w:rFonts w:cstheme="minorHAnsi"/>
          <w:sz w:val="24"/>
          <w:szCs w:val="24"/>
        </w:rPr>
        <w:t>OMiC</w:t>
      </w:r>
      <w:proofErr w:type="spellEnd"/>
      <w:r>
        <w:rPr>
          <w:rFonts w:cstheme="minorHAnsi"/>
          <w:sz w:val="24"/>
          <w:szCs w:val="24"/>
        </w:rPr>
        <w:t xml:space="preserve">) although it’s perceived that these concerns haven’t changed how the prison service judge and identify risks. </w:t>
      </w:r>
      <w:r w:rsidR="00803234">
        <w:rPr>
          <w:rFonts w:cstheme="minorHAnsi"/>
          <w:sz w:val="24"/>
          <w:szCs w:val="24"/>
        </w:rPr>
        <w:t>(Mann and Lundrigan, 2023)</w:t>
      </w:r>
    </w:p>
    <w:p w14:paraId="331957C4" w14:textId="037A53CB" w:rsidR="0037480E" w:rsidRDefault="0037480E" w:rsidP="0037480E">
      <w:pPr>
        <w:rPr>
          <w:rFonts w:cstheme="minorHAnsi"/>
          <w:sz w:val="24"/>
          <w:szCs w:val="24"/>
        </w:rPr>
      </w:pPr>
      <w:r>
        <w:rPr>
          <w:rFonts w:cstheme="minorHAnsi"/>
          <w:sz w:val="24"/>
          <w:szCs w:val="24"/>
        </w:rPr>
        <w:t xml:space="preserve">Another area of improvement identified by the research was surrounding level 1 MAPPA offenders. MAPPA coordinators noticed that agencies assumed that identifying an offender as level 1 meant that they’d take sole responsibility for the management of them, which </w:t>
      </w:r>
      <w:r>
        <w:rPr>
          <w:rFonts w:cstheme="minorHAnsi"/>
          <w:sz w:val="24"/>
          <w:szCs w:val="24"/>
        </w:rPr>
        <w:lastRenderedPageBreak/>
        <w:t xml:space="preserve">meant that the cases wouldn’t be put forward for multi-agency meetings and other agencies could miss out on vital information in dealing with them. It was highlighted from practitioners and coordinators that there needed to be further clarification and guidance on dealing with level 1 MAPPA offenders. </w:t>
      </w:r>
      <w:r w:rsidR="00803234">
        <w:rPr>
          <w:rFonts w:cstheme="minorHAnsi"/>
          <w:sz w:val="24"/>
          <w:szCs w:val="24"/>
        </w:rPr>
        <w:t>(Mann and Lundrigan, 2023)</w:t>
      </w:r>
    </w:p>
    <w:p w14:paraId="6E48C01C" w14:textId="06ED4B52" w:rsidR="0037480E" w:rsidRDefault="0037480E" w:rsidP="0037480E">
      <w:pPr>
        <w:rPr>
          <w:rFonts w:cstheme="minorHAnsi"/>
          <w:sz w:val="24"/>
          <w:szCs w:val="24"/>
        </w:rPr>
      </w:pPr>
      <w:r>
        <w:rPr>
          <w:rFonts w:cstheme="minorHAnsi"/>
          <w:sz w:val="24"/>
          <w:szCs w:val="24"/>
        </w:rPr>
        <w:t xml:space="preserve">Another area of concern identified by practitioners and agencies was that some agencies and practitioners, especially those from probation, were taking a risk averse approach in dealing with sexual and violent offenders. It was pointed out that the risk averse approach in deciding </w:t>
      </w:r>
      <w:proofErr w:type="gramStart"/>
      <w:r>
        <w:rPr>
          <w:rFonts w:cstheme="minorHAnsi"/>
          <w:sz w:val="24"/>
          <w:szCs w:val="24"/>
        </w:rPr>
        <w:t>whether or not</w:t>
      </w:r>
      <w:proofErr w:type="gramEnd"/>
      <w:r>
        <w:rPr>
          <w:rFonts w:cstheme="minorHAnsi"/>
          <w:sz w:val="24"/>
          <w:szCs w:val="24"/>
        </w:rPr>
        <w:t xml:space="preserve"> an offender was level 1, 2 or 3 could have been caused by lack of confidence in decision making or lack of support from managers. This led to </w:t>
      </w:r>
      <w:proofErr w:type="gramStart"/>
      <w:r>
        <w:rPr>
          <w:rFonts w:cstheme="minorHAnsi"/>
          <w:sz w:val="24"/>
          <w:szCs w:val="24"/>
        </w:rPr>
        <w:t>a number of</w:t>
      </w:r>
      <w:proofErr w:type="gramEnd"/>
      <w:r>
        <w:rPr>
          <w:rFonts w:cstheme="minorHAnsi"/>
          <w:sz w:val="24"/>
          <w:szCs w:val="24"/>
        </w:rPr>
        <w:t xml:space="preserve"> offenders being pushed through the system that either did not need to be there or did not require the level they were on, which would put immense strain on the system with the resource intensity task of managing offenders on level 2 and 3. </w:t>
      </w:r>
      <w:r w:rsidR="00803234">
        <w:rPr>
          <w:rFonts w:cstheme="minorHAnsi"/>
          <w:sz w:val="24"/>
          <w:szCs w:val="24"/>
        </w:rPr>
        <w:t>(Mann and Lundrigan, 2023)</w:t>
      </w:r>
    </w:p>
    <w:p w14:paraId="77FEDE11" w14:textId="586F4195" w:rsidR="0037480E" w:rsidRDefault="0037480E" w:rsidP="0037480E">
      <w:pPr>
        <w:rPr>
          <w:rFonts w:cstheme="minorHAnsi"/>
          <w:sz w:val="24"/>
          <w:szCs w:val="24"/>
        </w:rPr>
      </w:pPr>
      <w:r>
        <w:rPr>
          <w:rFonts w:cstheme="minorHAnsi"/>
          <w:sz w:val="24"/>
          <w:szCs w:val="24"/>
        </w:rPr>
        <w:t xml:space="preserve">While practitioners and agencies had clear qualms with MAPPA, which there are a lot more than outlined above, there was a lot of positive feedback about MAPPA and most agencies took kindly to the arrangements. For example, most if not all agencies that are MAPPA compliant agreed that it was a very useful tool for forcing agencies to cooperate and talk to one another, whereas pre-MAPPA agencies normally wouldn’t cooperate unless there were underlying personal relationships already established from those making the contact between agencies. </w:t>
      </w:r>
      <w:r w:rsidR="00803234">
        <w:rPr>
          <w:rFonts w:cstheme="minorHAnsi"/>
          <w:sz w:val="24"/>
          <w:szCs w:val="24"/>
        </w:rPr>
        <w:t>(Mann and Lundrigan, 2023)</w:t>
      </w:r>
    </w:p>
    <w:p w14:paraId="079A2199" w14:textId="77777777" w:rsidR="0037480E" w:rsidRDefault="0037480E" w:rsidP="0037480E">
      <w:pPr>
        <w:rPr>
          <w:rFonts w:cstheme="minorHAnsi"/>
          <w:sz w:val="24"/>
          <w:szCs w:val="24"/>
        </w:rPr>
      </w:pPr>
      <w:r>
        <w:rPr>
          <w:rFonts w:cstheme="minorHAnsi"/>
          <w:sz w:val="24"/>
          <w:szCs w:val="24"/>
        </w:rPr>
        <w:t>Alongside this, most agencies and practitioners agree that MAPPA is a vital tool in correctly managing offenders, handling inter agency information sharing and strengthening the safeguarding practices around managing such offenders. The theme throughout the research reflected the general appreciation of MAPPA but that it needed work. Around most of the points raised by practitioners and agencies throughout the research there is a clear positive attitude to working with MAPPA and improving it too. Practitioners appreciate that MAPPA can assist and improve communication between agencies and that it makes information sharing clearer and gives them the confidence to share.</w:t>
      </w:r>
    </w:p>
    <w:p w14:paraId="3F07A1F4" w14:textId="1D3BEEEF" w:rsidR="0037480E" w:rsidRDefault="0037480E" w:rsidP="0037480E">
      <w:pPr>
        <w:rPr>
          <w:rFonts w:cstheme="minorHAnsi"/>
          <w:sz w:val="24"/>
          <w:szCs w:val="24"/>
        </w:rPr>
      </w:pPr>
      <w:r>
        <w:rPr>
          <w:rFonts w:cstheme="minorHAnsi"/>
          <w:sz w:val="24"/>
          <w:szCs w:val="24"/>
        </w:rPr>
        <w:t xml:space="preserve">On reflection of the findings in the research it’s fair to say that the answer to the question, is MAPPA an effective means of managing violent and sexual offenders, is </w:t>
      </w:r>
      <w:proofErr w:type="gramStart"/>
      <w:r>
        <w:rPr>
          <w:rFonts w:cstheme="minorHAnsi"/>
          <w:sz w:val="24"/>
          <w:szCs w:val="24"/>
        </w:rPr>
        <w:t>yes it is</w:t>
      </w:r>
      <w:proofErr w:type="gramEnd"/>
      <w:r>
        <w:rPr>
          <w:rFonts w:cstheme="minorHAnsi"/>
          <w:sz w:val="24"/>
          <w:szCs w:val="24"/>
        </w:rPr>
        <w:t xml:space="preserve"> an effective means of managing offenders, however there is room for improvements. Both around existing processes and in new ideas for the arrangements and when </w:t>
      </w:r>
      <w:r w:rsidR="00803234">
        <w:rPr>
          <w:rFonts w:cstheme="minorHAnsi"/>
          <w:sz w:val="24"/>
          <w:szCs w:val="24"/>
        </w:rPr>
        <w:t>or</w:t>
      </w:r>
      <w:r>
        <w:rPr>
          <w:rFonts w:cstheme="minorHAnsi"/>
          <w:sz w:val="24"/>
          <w:szCs w:val="24"/>
        </w:rPr>
        <w:t xml:space="preserve"> how agencies utilise them. The practitioner </w:t>
      </w:r>
      <w:proofErr w:type="gramStart"/>
      <w:r>
        <w:rPr>
          <w:rFonts w:cstheme="minorHAnsi"/>
          <w:sz w:val="24"/>
          <w:szCs w:val="24"/>
        </w:rPr>
        <w:t>focus</w:t>
      </w:r>
      <w:proofErr w:type="gramEnd"/>
      <w:r>
        <w:rPr>
          <w:rFonts w:cstheme="minorHAnsi"/>
          <w:sz w:val="24"/>
          <w:szCs w:val="24"/>
        </w:rPr>
        <w:t xml:space="preserve"> groups found that MAPPA is a well-respected and highly valued method of managing the risk posed by individuals convicted of sexual and violent offences. Practitioners welcome the multiagency approach and value the opportunity to come together to discuss risk. Practitioners are dedicated to making MAPPA as effective as possible and have a desire to hone the skills required to make best use of it. The group highlighted the highly complex and resource intensive nature of MAPPA, which is reliant on well-established working relationships and effective multi agency working, for its success. </w:t>
      </w:r>
    </w:p>
    <w:p w14:paraId="10FF3BF8" w14:textId="08ED0482" w:rsidR="0037480E" w:rsidRDefault="00803234" w:rsidP="0037480E">
      <w:pPr>
        <w:rPr>
          <w:rFonts w:cstheme="minorHAnsi"/>
          <w:sz w:val="24"/>
          <w:szCs w:val="24"/>
        </w:rPr>
      </w:pPr>
      <w:r>
        <w:rPr>
          <w:rFonts w:cstheme="minorHAnsi"/>
          <w:sz w:val="24"/>
          <w:szCs w:val="24"/>
        </w:rPr>
        <w:t>Word count: 875</w:t>
      </w:r>
    </w:p>
    <w:p w14:paraId="2AAC5470" w14:textId="77777777" w:rsidR="0037480E" w:rsidRDefault="0037480E" w:rsidP="0037480E">
      <w:pPr>
        <w:rPr>
          <w:rFonts w:cstheme="minorHAnsi"/>
          <w:b/>
          <w:bCs/>
          <w:sz w:val="24"/>
          <w:szCs w:val="24"/>
          <w:highlight w:val="green"/>
        </w:rPr>
      </w:pPr>
    </w:p>
    <w:p w14:paraId="30302122" w14:textId="77777777" w:rsidR="0037480E" w:rsidRDefault="0037480E" w:rsidP="0037480E">
      <w:pPr>
        <w:rPr>
          <w:rFonts w:cstheme="minorHAnsi"/>
          <w:b/>
          <w:bCs/>
          <w:sz w:val="24"/>
          <w:szCs w:val="24"/>
          <w:highlight w:val="green"/>
        </w:rPr>
      </w:pPr>
    </w:p>
    <w:p w14:paraId="4173E407" w14:textId="77777777" w:rsidR="0037480E" w:rsidRDefault="0037480E" w:rsidP="0037480E">
      <w:pPr>
        <w:rPr>
          <w:rFonts w:cstheme="minorHAnsi"/>
          <w:b/>
          <w:bCs/>
          <w:sz w:val="24"/>
          <w:szCs w:val="24"/>
          <w:highlight w:val="green"/>
        </w:rPr>
      </w:pPr>
    </w:p>
    <w:p w14:paraId="15FFAFBF" w14:textId="77777777" w:rsidR="0037480E" w:rsidRDefault="0037480E" w:rsidP="0037480E">
      <w:pPr>
        <w:rPr>
          <w:rFonts w:cstheme="minorHAnsi"/>
          <w:b/>
          <w:bCs/>
          <w:sz w:val="24"/>
          <w:szCs w:val="24"/>
          <w:highlight w:val="green"/>
        </w:rPr>
      </w:pPr>
    </w:p>
    <w:p w14:paraId="0D05E5A4" w14:textId="77777777" w:rsidR="0037480E" w:rsidRDefault="0037480E" w:rsidP="0037480E">
      <w:pPr>
        <w:rPr>
          <w:rFonts w:cstheme="minorHAnsi"/>
          <w:b/>
          <w:bCs/>
          <w:sz w:val="24"/>
          <w:szCs w:val="24"/>
          <w:highlight w:val="green"/>
        </w:rPr>
      </w:pPr>
    </w:p>
    <w:p w14:paraId="36478159" w14:textId="77777777" w:rsidR="0037480E" w:rsidRPr="0037480E" w:rsidRDefault="0037480E" w:rsidP="0037480E">
      <w:pPr>
        <w:pStyle w:val="Heading1"/>
        <w:rPr>
          <w:rFonts w:asciiTheme="minorHAnsi" w:hAnsiTheme="minorHAnsi" w:cstheme="minorHAnsi"/>
          <w:b/>
          <w:bCs/>
          <w:color w:val="000000" w:themeColor="text1"/>
        </w:rPr>
      </w:pPr>
      <w:r w:rsidRPr="00A836A7">
        <w:rPr>
          <w:rFonts w:asciiTheme="minorHAnsi" w:hAnsiTheme="minorHAnsi" w:cstheme="minorHAnsi"/>
          <w:b/>
          <w:bCs/>
          <w:color w:val="000000" w:themeColor="text1"/>
          <w:highlight w:val="green"/>
        </w:rPr>
        <w:t>Essay four:</w:t>
      </w:r>
      <w:r w:rsidRPr="0037480E">
        <w:rPr>
          <w:rFonts w:asciiTheme="minorHAnsi" w:hAnsiTheme="minorHAnsi" w:cstheme="minorHAnsi"/>
          <w:b/>
          <w:bCs/>
          <w:color w:val="000000" w:themeColor="text1"/>
        </w:rPr>
        <w:t xml:space="preserve"> </w:t>
      </w:r>
    </w:p>
    <w:p w14:paraId="7039F2B8" w14:textId="77777777" w:rsidR="0037480E" w:rsidRDefault="0037480E" w:rsidP="0037480E">
      <w:pPr>
        <w:rPr>
          <w:rFonts w:cstheme="minorHAnsi"/>
          <w:sz w:val="24"/>
          <w:szCs w:val="24"/>
        </w:rPr>
      </w:pPr>
      <w:r>
        <w:rPr>
          <w:rFonts w:cstheme="minorHAnsi"/>
          <w:sz w:val="24"/>
          <w:szCs w:val="24"/>
        </w:rPr>
        <w:t xml:space="preserve">According to the Institute for Government (2023), recent scandals have exposed severe flaws in forces’ internal vetting and misconduct procedures and affected public confidence in the police. Therefore, why is it important that independent bodies exist to hold police officers accountable? Support your answer with relevant evidence drawn from academic sources. </w:t>
      </w:r>
    </w:p>
    <w:p w14:paraId="7A21704E" w14:textId="77777777" w:rsidR="0037480E" w:rsidRDefault="0037480E" w:rsidP="0037480E">
      <w:pPr>
        <w:rPr>
          <w:rFonts w:cstheme="minorHAnsi"/>
          <w:sz w:val="24"/>
          <w:szCs w:val="24"/>
        </w:rPr>
      </w:pPr>
      <w:r>
        <w:rPr>
          <w:rFonts w:cstheme="minorHAnsi"/>
          <w:sz w:val="24"/>
          <w:szCs w:val="24"/>
        </w:rPr>
        <w:t>Word limit: 1000 words</w:t>
      </w:r>
    </w:p>
    <w:p w14:paraId="6FDE5D17" w14:textId="1F85E21E" w:rsidR="0037480E" w:rsidRDefault="003B3F60" w:rsidP="0037480E">
      <w:pPr>
        <w:rPr>
          <w:rFonts w:cstheme="minorHAnsi"/>
          <w:sz w:val="24"/>
          <w:szCs w:val="24"/>
        </w:rPr>
      </w:pPr>
      <w:r>
        <w:rPr>
          <w:rFonts w:cstheme="minorHAnsi"/>
          <w:sz w:val="24"/>
          <w:szCs w:val="24"/>
        </w:rPr>
        <w:t xml:space="preserve">This essay will </w:t>
      </w:r>
      <w:r w:rsidR="0037480E">
        <w:rPr>
          <w:rFonts w:cstheme="minorHAnsi"/>
          <w:sz w:val="24"/>
          <w:szCs w:val="24"/>
        </w:rPr>
        <w:t>explor</w:t>
      </w:r>
      <w:r>
        <w:rPr>
          <w:rFonts w:cstheme="minorHAnsi"/>
          <w:sz w:val="24"/>
          <w:szCs w:val="24"/>
        </w:rPr>
        <w:t>e</w:t>
      </w:r>
      <w:r w:rsidR="0037480E">
        <w:rPr>
          <w:rFonts w:cstheme="minorHAnsi"/>
          <w:sz w:val="24"/>
          <w:szCs w:val="24"/>
        </w:rPr>
        <w:t xml:space="preserve"> the importance of independent bodies that hold police officers and police forces accountable, considering recent scandals and how forces’ internal vetting and misconduct procedures have failed and the effects this has had on public confidence in the police.  The Institute for Government (2023) is an independent British think tank which aims to improve government effectiveness through research, analysis, and influential public events. (The Institute for Government, 2023).  </w:t>
      </w:r>
    </w:p>
    <w:p w14:paraId="40A625D4" w14:textId="10C406E0" w:rsidR="0037480E" w:rsidRDefault="0037480E" w:rsidP="0037480E">
      <w:pPr>
        <w:rPr>
          <w:rFonts w:cstheme="minorHAnsi"/>
          <w:sz w:val="24"/>
          <w:szCs w:val="24"/>
        </w:rPr>
      </w:pPr>
      <w:r>
        <w:rPr>
          <w:rFonts w:cstheme="minorHAnsi"/>
          <w:sz w:val="24"/>
          <w:szCs w:val="24"/>
        </w:rPr>
        <w:t xml:space="preserve">The institute for Government has found, from its performance tracker 2023, that there are several challenges police forces are facing. The key points from this analysis, report that the public trust in the police is at a historic low, especially among the ethnic minority communities and that recent scandals such as the </w:t>
      </w:r>
      <w:r w:rsidRPr="00A836A7">
        <w:rPr>
          <w:rFonts w:cstheme="minorHAnsi"/>
          <w:sz w:val="24"/>
          <w:szCs w:val="24"/>
        </w:rPr>
        <w:t>David Carrick case</w:t>
      </w:r>
      <w:r w:rsidR="00A836A7">
        <w:rPr>
          <w:rFonts w:cstheme="minorHAnsi"/>
          <w:sz w:val="24"/>
          <w:szCs w:val="24"/>
        </w:rPr>
        <w:t>, which had a profound impact on public trust as communities felt that the trust they held in the police was betrayed and left them feeling as though police forces were not able to protect them</w:t>
      </w:r>
      <w:r>
        <w:rPr>
          <w:rFonts w:cstheme="minorHAnsi"/>
          <w:sz w:val="24"/>
          <w:szCs w:val="24"/>
        </w:rPr>
        <w:t>, and repeated failures to address them have greatly affected the public’s trust in police and their ability to deal with crime</w:t>
      </w:r>
      <w:r w:rsidR="001B5E82">
        <w:rPr>
          <w:rFonts w:cstheme="minorHAnsi"/>
          <w:sz w:val="24"/>
          <w:szCs w:val="24"/>
        </w:rPr>
        <w:t xml:space="preserve"> </w:t>
      </w:r>
      <w:r w:rsidR="001B5E82" w:rsidRPr="001B5E82">
        <w:rPr>
          <w:rFonts w:cstheme="minorHAnsi"/>
          <w:sz w:val="24"/>
          <w:szCs w:val="24"/>
        </w:rPr>
        <w:t xml:space="preserve">(Hoddinott et al., </w:t>
      </w:r>
      <w:r w:rsidR="001B5E82">
        <w:rPr>
          <w:rFonts w:cstheme="minorHAnsi"/>
          <w:sz w:val="24"/>
          <w:szCs w:val="24"/>
        </w:rPr>
        <w:t>2023</w:t>
      </w:r>
      <w:r>
        <w:rPr>
          <w:rFonts w:cstheme="minorHAnsi"/>
          <w:sz w:val="24"/>
          <w:szCs w:val="24"/>
        </w:rPr>
        <w:t xml:space="preserve">).  </w:t>
      </w:r>
      <w:r w:rsidRPr="00F16E92">
        <w:rPr>
          <w:rFonts w:cstheme="minorHAnsi"/>
          <w:sz w:val="24"/>
          <w:szCs w:val="24"/>
        </w:rPr>
        <w:t xml:space="preserve">Police forces and officers play an essential part in maintaining public order, enforcing laws, and ensuring the safety and well-being of individuals and communities. Police officers have a wide array of responsibilities in their role, some of which can vary from maintaining order and ensuring safety at large scale public gatherings, to participating in community events and hosting educational programs, to preventing and detecting crime through high visibility patrols </w:t>
      </w:r>
      <w:r w:rsidR="001B5E82" w:rsidRPr="00F16E92">
        <w:rPr>
          <w:rFonts w:cstheme="minorHAnsi"/>
          <w:sz w:val="24"/>
          <w:szCs w:val="24"/>
        </w:rPr>
        <w:t>and investigations</w:t>
      </w:r>
      <w:r w:rsidRPr="00F16E92">
        <w:rPr>
          <w:rFonts w:cstheme="minorHAnsi"/>
          <w:sz w:val="24"/>
          <w:szCs w:val="24"/>
        </w:rPr>
        <w:t>.</w:t>
      </w:r>
    </w:p>
    <w:p w14:paraId="1BE096C5" w14:textId="53410BBB" w:rsidR="00F16E92" w:rsidRDefault="00F16E92" w:rsidP="0037480E">
      <w:pPr>
        <w:rPr>
          <w:rFonts w:cstheme="minorHAnsi"/>
          <w:sz w:val="24"/>
          <w:szCs w:val="24"/>
        </w:rPr>
      </w:pPr>
      <w:r>
        <w:rPr>
          <w:rFonts w:cstheme="minorHAnsi"/>
          <w:sz w:val="24"/>
          <w:szCs w:val="24"/>
        </w:rPr>
        <w:t xml:space="preserve">Most responsibilities the police hold will have a positive affect on public trust as projects such as community events and educational programs will allow communities to feel supported. Routine patrols and the effective execution of investigations and prevention of crime will also assist in boosting public confidence as communities will protected and that the police are doing what they are ‘meant to do’. However, some responsibilities such as maintaining order at large scale gatherings or protests could negatively impact public confidence as individuals could see the tactics used as hostile towards the groups. </w:t>
      </w:r>
    </w:p>
    <w:p w14:paraId="641B453E" w14:textId="77777777" w:rsidR="00F16E92" w:rsidRDefault="0037480E" w:rsidP="0037480E">
      <w:pPr>
        <w:rPr>
          <w:rFonts w:cstheme="minorHAnsi"/>
          <w:sz w:val="24"/>
          <w:szCs w:val="24"/>
        </w:rPr>
      </w:pPr>
      <w:r>
        <w:rPr>
          <w:rFonts w:cstheme="minorHAnsi"/>
          <w:sz w:val="24"/>
          <w:szCs w:val="24"/>
        </w:rPr>
        <w:t xml:space="preserve">Police forces have a vetting process for all its employees, the process usually consists of background checks (personal history, criminal records, and financial history), reference </w:t>
      </w:r>
      <w:r>
        <w:rPr>
          <w:rFonts w:cstheme="minorHAnsi"/>
          <w:sz w:val="24"/>
          <w:szCs w:val="24"/>
        </w:rPr>
        <w:lastRenderedPageBreak/>
        <w:t>checks, checks for associations and relationships and other checks to assess behaviour, conduct and the suitability to handle sensitive information and situations. These are conducted internally and are a forever changing process</w:t>
      </w:r>
      <w:r w:rsidR="009876E5">
        <w:rPr>
          <w:rFonts w:cstheme="minorHAnsi"/>
          <w:sz w:val="24"/>
          <w:szCs w:val="24"/>
        </w:rPr>
        <w:t xml:space="preserve"> </w:t>
      </w:r>
      <w:r>
        <w:rPr>
          <w:rFonts w:cstheme="minorHAnsi"/>
          <w:sz w:val="24"/>
          <w:szCs w:val="24"/>
        </w:rPr>
        <w:t>(College of Policing, 2023)</w:t>
      </w:r>
      <w:r w:rsidR="009876E5">
        <w:rPr>
          <w:rFonts w:cstheme="minorHAnsi"/>
          <w:sz w:val="24"/>
          <w:szCs w:val="24"/>
        </w:rPr>
        <w:t xml:space="preserve">. </w:t>
      </w:r>
      <w:r>
        <w:rPr>
          <w:rFonts w:cstheme="minorHAnsi"/>
          <w:sz w:val="24"/>
          <w:szCs w:val="24"/>
        </w:rPr>
        <w:t>Police forces also have misconduct procedures too which are procedures and processes to address and investigate allegations of inappropriate behaviour or actions by police officers. There are several key factors in dealing with misconduct and these are the complaints process, the Independent Office for Police Conduct, Local police Professional Standards Departments, misconduct hearings, disciplinary outcomes, appeals process and whistleblowing protection</w:t>
      </w:r>
      <w:r w:rsidR="001B5E82">
        <w:rPr>
          <w:rFonts w:cstheme="minorHAnsi"/>
          <w:sz w:val="24"/>
          <w:szCs w:val="24"/>
        </w:rPr>
        <w:t xml:space="preserve"> </w:t>
      </w:r>
      <w:r>
        <w:rPr>
          <w:rFonts w:cstheme="minorHAnsi"/>
          <w:sz w:val="24"/>
          <w:szCs w:val="24"/>
        </w:rPr>
        <w:t>(</w:t>
      </w:r>
      <w:r w:rsidR="001B5E82">
        <w:rPr>
          <w:rFonts w:cstheme="minorHAnsi"/>
          <w:sz w:val="24"/>
          <w:szCs w:val="24"/>
        </w:rPr>
        <w:t xml:space="preserve">Police Federation, </w:t>
      </w:r>
      <w:r>
        <w:rPr>
          <w:rFonts w:cstheme="minorHAnsi"/>
          <w:sz w:val="24"/>
          <w:szCs w:val="24"/>
        </w:rPr>
        <w:t>2019)</w:t>
      </w:r>
      <w:r w:rsidR="001B5E82">
        <w:rPr>
          <w:rFonts w:cstheme="minorHAnsi"/>
          <w:sz w:val="24"/>
          <w:szCs w:val="24"/>
        </w:rPr>
        <w:t>.</w:t>
      </w:r>
      <w:r>
        <w:rPr>
          <w:rFonts w:cstheme="minorHAnsi"/>
          <w:sz w:val="24"/>
          <w:szCs w:val="24"/>
        </w:rPr>
        <w:t xml:space="preserve"> </w:t>
      </w:r>
    </w:p>
    <w:p w14:paraId="41061433" w14:textId="602E1CFF" w:rsidR="0037480E" w:rsidRDefault="00F16E92" w:rsidP="0037480E">
      <w:pPr>
        <w:rPr>
          <w:rFonts w:cstheme="minorHAnsi"/>
          <w:sz w:val="24"/>
          <w:szCs w:val="24"/>
        </w:rPr>
      </w:pPr>
      <w:r>
        <w:rPr>
          <w:rFonts w:cstheme="minorHAnsi"/>
          <w:sz w:val="24"/>
          <w:szCs w:val="24"/>
        </w:rPr>
        <w:t xml:space="preserve">It is important for forces to have a vetting process for each of their staff and officers </w:t>
      </w:r>
      <w:r w:rsidR="0037480E">
        <w:rPr>
          <w:rFonts w:cstheme="minorHAnsi"/>
          <w:sz w:val="24"/>
          <w:szCs w:val="24"/>
        </w:rPr>
        <w:t>as the process assesses everyone’s integrity, trustworthiness and suitability for the role and the responsibilities that come with the role. It is also important as it allows forces to identify any factors that my compromise an individual’s ability to perform their duty. Having vetting procedures also increases public trust. It is also important for forces to have misconduct procedures as again this promotes transparency, accountability and fairness when addressing allegations of misconduct within the police. Having misconduct procedures and processes will also increase accountability and standards of police forces.</w:t>
      </w:r>
    </w:p>
    <w:p w14:paraId="2141CEBB" w14:textId="77777777" w:rsidR="0037480E" w:rsidRDefault="0037480E" w:rsidP="0037480E">
      <w:pPr>
        <w:rPr>
          <w:rFonts w:cstheme="minorHAnsi"/>
          <w:sz w:val="24"/>
          <w:szCs w:val="24"/>
        </w:rPr>
      </w:pPr>
      <w:r>
        <w:rPr>
          <w:rFonts w:cstheme="minorHAnsi"/>
          <w:sz w:val="24"/>
          <w:szCs w:val="24"/>
        </w:rPr>
        <w:t>Alongside the processes already highlighted, there are also several independent bodies that regulate and uphold police forces standards. There are for example the Independent Office for Police Conduct (IOPC). The IOPC is an independent organisation responsible for overseeing complaints and investigations related to the police. Its primary role is to ensure transparency and accountability in police forces by conducting impartial investigations into incidents involving the police, such as allegations of misconduct, serious injuries, or deaths during or after police contact. The IOPC aims to uphold public confidence in the police by providing an external and objective mechanism for reviewing and investigating complaints against law enforcement agencies.</w:t>
      </w:r>
    </w:p>
    <w:p w14:paraId="74A4AC7B" w14:textId="16FC3AF2" w:rsidR="0037480E" w:rsidRDefault="0037480E" w:rsidP="0037480E">
      <w:pPr>
        <w:rPr>
          <w:rFonts w:cstheme="minorHAnsi"/>
          <w:sz w:val="24"/>
          <w:szCs w:val="24"/>
        </w:rPr>
      </w:pPr>
      <w:r>
        <w:rPr>
          <w:rFonts w:cstheme="minorHAnsi"/>
          <w:sz w:val="24"/>
          <w:szCs w:val="24"/>
        </w:rPr>
        <w:t>Having independent government bodies such as the IOPC are vital in the upkeep of police forces both for legal compliance and public confidence but also because having an independent body investigate and hold the police accountable means that it is easier to identify systemic failures and how to improve them. Having the IOPC also allows for fairness and impartiality when dealing with police misconduct and</w:t>
      </w:r>
      <w:r w:rsidR="009876E5">
        <w:rPr>
          <w:rFonts w:cstheme="minorHAnsi"/>
          <w:sz w:val="24"/>
          <w:szCs w:val="24"/>
        </w:rPr>
        <w:t xml:space="preserve"> </w:t>
      </w:r>
      <w:r>
        <w:rPr>
          <w:rFonts w:cstheme="minorHAnsi"/>
          <w:sz w:val="24"/>
          <w:szCs w:val="24"/>
        </w:rPr>
        <w:t xml:space="preserve">complaints. The IOPC alongside other independent police regulators play a crucial role in maintaining accountability and transparency for police forces and as a result increased public trust and confidence in the police. </w:t>
      </w:r>
    </w:p>
    <w:p w14:paraId="31243BA9" w14:textId="77777777" w:rsidR="009876E5" w:rsidRDefault="0037480E" w:rsidP="0037480E">
      <w:pPr>
        <w:rPr>
          <w:rFonts w:cstheme="minorHAnsi"/>
          <w:sz w:val="24"/>
          <w:szCs w:val="24"/>
        </w:rPr>
      </w:pPr>
      <w:r>
        <w:rPr>
          <w:rFonts w:cstheme="minorHAnsi"/>
          <w:sz w:val="24"/>
          <w:szCs w:val="24"/>
        </w:rPr>
        <w:t>The idea overarching idea behind the IOPC is that it will maintain and foster public trust and confidence in police forces across England and Wales. Going back to the question of why it is important for independent bodies to hold police accountable</w:t>
      </w:r>
      <w:r w:rsidRPr="009876E5">
        <w:rPr>
          <w:rFonts w:cstheme="minorHAnsi"/>
          <w:sz w:val="24"/>
          <w:szCs w:val="24"/>
        </w:rPr>
        <w:t>, it’s important because, in short, holding public trust is vital for positive police-community relations, cooperation from the public, a reduction in crime and a boost in community safety. Tyler, T. R. (2006) in his work "Why People Obey the Law" emphasizes that when individuals trust the police, they are more likely to cooperate and share information, which is vital for effective crime prevention and resolution</w:t>
      </w:r>
      <w:r w:rsidR="001B5E82" w:rsidRPr="009876E5">
        <w:rPr>
          <w:rFonts w:cstheme="minorHAnsi"/>
          <w:sz w:val="24"/>
          <w:szCs w:val="24"/>
        </w:rPr>
        <w:t xml:space="preserve"> (Tyler, 2006)</w:t>
      </w:r>
      <w:r>
        <w:rPr>
          <w:rFonts w:cstheme="minorHAnsi"/>
          <w:sz w:val="24"/>
          <w:szCs w:val="24"/>
        </w:rPr>
        <w:t xml:space="preserve"> </w:t>
      </w:r>
    </w:p>
    <w:p w14:paraId="7D6D315B" w14:textId="37EA434A" w:rsidR="00B7406C" w:rsidRDefault="0037480E" w:rsidP="0037480E">
      <w:pPr>
        <w:rPr>
          <w:rFonts w:cstheme="minorHAnsi"/>
          <w:sz w:val="24"/>
          <w:szCs w:val="24"/>
        </w:rPr>
      </w:pPr>
      <w:r>
        <w:rPr>
          <w:rFonts w:cstheme="minorHAnsi"/>
          <w:sz w:val="24"/>
          <w:szCs w:val="24"/>
        </w:rPr>
        <w:lastRenderedPageBreak/>
        <w:t xml:space="preserve">In their study "The Relationship between Public Satisfaction with Police and the Fear of Crime," Reisig, M. D., &amp; Parks, R. B. (2000) found that higher levels of public satisfaction with the police are associated with lower levels of fear of crime and, consequently, reduced crime rates. </w:t>
      </w:r>
    </w:p>
    <w:p w14:paraId="102BFD17" w14:textId="77777777" w:rsidR="00B7406C" w:rsidRDefault="0037480E" w:rsidP="0037480E">
      <w:pPr>
        <w:rPr>
          <w:rFonts w:cstheme="minorHAnsi"/>
          <w:sz w:val="24"/>
          <w:szCs w:val="24"/>
        </w:rPr>
      </w:pPr>
      <w:proofErr w:type="spellStart"/>
      <w:r>
        <w:rPr>
          <w:rFonts w:cstheme="minorHAnsi"/>
          <w:sz w:val="24"/>
          <w:szCs w:val="24"/>
        </w:rPr>
        <w:t>Skogan</w:t>
      </w:r>
      <w:proofErr w:type="spellEnd"/>
      <w:r>
        <w:rPr>
          <w:rFonts w:cstheme="minorHAnsi"/>
          <w:sz w:val="24"/>
          <w:szCs w:val="24"/>
        </w:rPr>
        <w:t xml:space="preserve">, W., &amp; </w:t>
      </w:r>
      <w:proofErr w:type="spellStart"/>
      <w:r>
        <w:rPr>
          <w:rFonts w:cstheme="minorHAnsi"/>
          <w:sz w:val="24"/>
          <w:szCs w:val="24"/>
        </w:rPr>
        <w:t>Frydl</w:t>
      </w:r>
      <w:proofErr w:type="spellEnd"/>
      <w:r>
        <w:rPr>
          <w:rFonts w:cstheme="minorHAnsi"/>
          <w:sz w:val="24"/>
          <w:szCs w:val="24"/>
        </w:rPr>
        <w:t xml:space="preserve">, K. (2004) in their research "Fairness and Effectiveness in Policing: The Evidence" argue that when the police are perceived as fair and trustworthy, communities are more likely to feel safe, contributing to overall community well-being. </w:t>
      </w:r>
    </w:p>
    <w:p w14:paraId="432E8652" w14:textId="07CACA86" w:rsidR="00B7406C" w:rsidRDefault="0037480E" w:rsidP="0037480E">
      <w:pPr>
        <w:rPr>
          <w:rFonts w:cstheme="minorHAnsi"/>
          <w:sz w:val="24"/>
          <w:szCs w:val="24"/>
        </w:rPr>
      </w:pPr>
      <w:r w:rsidRPr="009876E5">
        <w:rPr>
          <w:rFonts w:cstheme="minorHAnsi"/>
          <w:sz w:val="24"/>
          <w:szCs w:val="24"/>
        </w:rPr>
        <w:t xml:space="preserve">Tyler, T. R., &amp; Fagan, J. (2008) in their study "Legitimacy and Cooperation: Why Do People Help the Police Fight Crime in Their Communities?" found that individuals are more likely to comply with the law when they perceive the police as legitimate and trustworthy. </w:t>
      </w:r>
      <w:r w:rsidR="009876E5" w:rsidRPr="009876E5">
        <w:rPr>
          <w:rFonts w:cstheme="minorHAnsi"/>
          <w:sz w:val="24"/>
          <w:szCs w:val="24"/>
        </w:rPr>
        <w:t>(Tyler and Fagan, 2008)</w:t>
      </w:r>
    </w:p>
    <w:p w14:paraId="6C79CEA3" w14:textId="029903AC" w:rsidR="0037480E" w:rsidRDefault="0037480E" w:rsidP="0037480E">
      <w:pPr>
        <w:rPr>
          <w:rFonts w:cstheme="minorHAnsi"/>
          <w:sz w:val="24"/>
          <w:szCs w:val="24"/>
        </w:rPr>
      </w:pPr>
      <w:r>
        <w:rPr>
          <w:rFonts w:cstheme="minorHAnsi"/>
          <w:sz w:val="24"/>
          <w:szCs w:val="24"/>
        </w:rPr>
        <w:t>There is also another added benefit of improved officer safety as Engel, R. S., Sobol, J. J., &amp; Worden, R. E. (2000) found in their work "Further Exploration of the Impact of Suspect Resistance on Police Officer Use of Force Decisions" suggestions that trustful interactions with the public reduced the likelihood of confrontations that may escalate into violence, contributing to officer safety.</w:t>
      </w:r>
    </w:p>
    <w:p w14:paraId="17F9290C" w14:textId="1CED611A" w:rsidR="0037480E" w:rsidRDefault="0037480E" w:rsidP="0037480E">
      <w:pPr>
        <w:rPr>
          <w:rFonts w:cstheme="minorHAnsi"/>
          <w:sz w:val="24"/>
          <w:szCs w:val="24"/>
        </w:rPr>
      </w:pPr>
      <w:r>
        <w:rPr>
          <w:rFonts w:cstheme="minorHAnsi"/>
          <w:sz w:val="24"/>
          <w:szCs w:val="24"/>
        </w:rPr>
        <w:t>There is a clear link between public trust and confidence in the police and the effectiveness of the police in their duties. Effectively meaning that the more trust in police the public hold, the easier the police have it in their execution of duties. This is why having independent bodies holding police forces and officers accountable are so important as the benefits they bring for public trust alone hold a huge impact on communities, police officers and the detection</w:t>
      </w:r>
      <w:r w:rsidR="00B7406C">
        <w:rPr>
          <w:rFonts w:cstheme="minorHAnsi"/>
          <w:sz w:val="24"/>
          <w:szCs w:val="24"/>
        </w:rPr>
        <w:t xml:space="preserve"> and </w:t>
      </w:r>
      <w:r>
        <w:rPr>
          <w:rFonts w:cstheme="minorHAnsi"/>
          <w:sz w:val="24"/>
          <w:szCs w:val="24"/>
        </w:rPr>
        <w:t>reduction of crime. Not to mention that it is also important, down to the core principles that police officers are held too, for police forces and officers to conduct themselves in a lawful, ethical way which is enforced by the independent bodies.</w:t>
      </w:r>
    </w:p>
    <w:p w14:paraId="4CA85F24" w14:textId="5CC08C70" w:rsidR="0037480E" w:rsidRDefault="00A836A7" w:rsidP="0037480E">
      <w:pPr>
        <w:rPr>
          <w:rFonts w:cstheme="minorHAnsi"/>
          <w:sz w:val="24"/>
          <w:szCs w:val="24"/>
        </w:rPr>
      </w:pPr>
      <w:r>
        <w:rPr>
          <w:rFonts w:cstheme="minorHAnsi"/>
          <w:sz w:val="24"/>
          <w:szCs w:val="24"/>
        </w:rPr>
        <w:t>Word count 1210</w:t>
      </w:r>
    </w:p>
    <w:p w14:paraId="7256C13D" w14:textId="77777777" w:rsidR="0037480E" w:rsidRDefault="0037480E" w:rsidP="0037480E"/>
    <w:p w14:paraId="684BE728" w14:textId="77777777" w:rsidR="003F2360" w:rsidRDefault="003F2360" w:rsidP="0037480E"/>
    <w:p w14:paraId="0887C73D" w14:textId="1E108517" w:rsidR="003F2360" w:rsidRPr="003F2360" w:rsidRDefault="003F2360" w:rsidP="003F2360">
      <w:pPr>
        <w:pStyle w:val="Heading1"/>
        <w:rPr>
          <w:rFonts w:asciiTheme="minorHAnsi" w:hAnsiTheme="minorHAnsi" w:cstheme="minorHAnsi"/>
          <w:b/>
          <w:bCs/>
          <w:color w:val="000000" w:themeColor="text1"/>
          <w:sz w:val="22"/>
          <w:szCs w:val="22"/>
        </w:rPr>
      </w:pPr>
      <w:r w:rsidRPr="003F2360">
        <w:rPr>
          <w:rFonts w:asciiTheme="minorHAnsi" w:hAnsiTheme="minorHAnsi" w:cstheme="minorHAnsi"/>
          <w:b/>
          <w:bCs/>
          <w:color w:val="000000" w:themeColor="text1"/>
        </w:rPr>
        <w:t>Bibliography</w:t>
      </w:r>
    </w:p>
    <w:p w14:paraId="05404736" w14:textId="77777777" w:rsidR="0037480E" w:rsidRDefault="0037480E" w:rsidP="0037480E">
      <w:r>
        <w:t xml:space="preserve">References used in this assignment: </w:t>
      </w:r>
    </w:p>
    <w:p w14:paraId="4EFCAA95" w14:textId="3F56BDFE" w:rsidR="003F2360" w:rsidRPr="003F2360" w:rsidRDefault="003F2360" w:rsidP="003F2360">
      <w:pPr>
        <w:pStyle w:val="NormalWeb"/>
        <w:spacing w:before="0" w:beforeAutospacing="0" w:after="0" w:afterAutospacing="0" w:line="360" w:lineRule="atLeast"/>
        <w:rPr>
          <w:rFonts w:ascii="Calibri" w:hAnsi="Calibri" w:cs="Calibri"/>
          <w:color w:val="000000"/>
          <w:sz w:val="22"/>
          <w:szCs w:val="22"/>
        </w:rPr>
      </w:pPr>
      <w:r w:rsidRPr="005F5709">
        <w:rPr>
          <w:rFonts w:asciiTheme="minorHAnsi" w:hAnsiTheme="minorHAnsi" w:cstheme="minorHAnsi"/>
          <w:color w:val="000000"/>
          <w:sz w:val="22"/>
          <w:szCs w:val="22"/>
        </w:rPr>
        <w:t>University of East Anglia. (2020). </w:t>
      </w:r>
      <w:r w:rsidRPr="005F5709">
        <w:rPr>
          <w:rFonts w:asciiTheme="minorHAnsi" w:hAnsiTheme="minorHAnsi" w:cstheme="minorHAnsi"/>
          <w:i/>
          <w:iCs/>
          <w:color w:val="000000"/>
          <w:sz w:val="22"/>
          <w:szCs w:val="22"/>
        </w:rPr>
        <w:t>New analysis highlights impact of poverty and exploitation on children’s lives</w:t>
      </w:r>
      <w:r w:rsidRPr="005F5709">
        <w:rPr>
          <w:rFonts w:asciiTheme="minorHAnsi" w:hAnsiTheme="minorHAnsi" w:cstheme="minorHAnsi"/>
          <w:color w:val="000000"/>
          <w:sz w:val="22"/>
          <w:szCs w:val="22"/>
        </w:rPr>
        <w:t xml:space="preserve">. [online] Available at: </w:t>
      </w:r>
      <w:hyperlink r:id="rId4" w:history="1">
        <w:r w:rsidRPr="005F5709">
          <w:rPr>
            <w:rStyle w:val="Hyperlink"/>
            <w:rFonts w:asciiTheme="minorHAnsi" w:hAnsiTheme="minorHAnsi" w:cstheme="minorHAnsi"/>
            <w:sz w:val="22"/>
            <w:szCs w:val="22"/>
          </w:rPr>
          <w:t>https://www.uea.ac.uk/about/news/article/new-analysis-highlights-impact-of-poverty-and-exploitation-on-children-s-lives</w:t>
        </w:r>
      </w:hyperlink>
      <w:r w:rsidRPr="003F2360">
        <w:rPr>
          <w:rFonts w:ascii="Calibri" w:hAnsi="Calibri" w:cs="Calibri"/>
          <w:color w:val="000000"/>
          <w:sz w:val="22"/>
          <w:szCs w:val="22"/>
        </w:rPr>
        <w:t>.</w:t>
      </w:r>
    </w:p>
    <w:p w14:paraId="71CD7826" w14:textId="0EFF6592" w:rsidR="005F5709" w:rsidRPr="005F5709" w:rsidRDefault="003F2360" w:rsidP="005F5709">
      <w:pPr>
        <w:pStyle w:val="NormalWeb"/>
        <w:rPr>
          <w:rFonts w:asciiTheme="minorHAnsi" w:hAnsiTheme="minorHAnsi" w:cstheme="minorHAnsi"/>
          <w:color w:val="000000"/>
          <w:sz w:val="27"/>
          <w:szCs w:val="27"/>
        </w:rPr>
      </w:pPr>
      <w:r w:rsidRPr="005F5709">
        <w:rPr>
          <w:rFonts w:asciiTheme="minorHAnsi" w:hAnsiTheme="minorHAnsi" w:cstheme="minorHAnsi"/>
          <w:color w:val="000000"/>
          <w:sz w:val="27"/>
          <w:szCs w:val="27"/>
        </w:rPr>
        <w:t>‌</w:t>
      </w:r>
      <w:r w:rsidR="005F5709" w:rsidRPr="005F5709">
        <w:rPr>
          <w:rFonts w:asciiTheme="minorHAnsi" w:hAnsiTheme="minorHAnsi" w:cstheme="minorHAnsi"/>
          <w:color w:val="000000"/>
          <w:sz w:val="22"/>
          <w:szCs w:val="22"/>
        </w:rPr>
        <w:t xml:space="preserve">Annan, L.G., </w:t>
      </w:r>
      <w:proofErr w:type="spellStart"/>
      <w:r w:rsidR="005F5709" w:rsidRPr="005F5709">
        <w:rPr>
          <w:rFonts w:asciiTheme="minorHAnsi" w:hAnsiTheme="minorHAnsi" w:cstheme="minorHAnsi"/>
          <w:color w:val="000000"/>
          <w:sz w:val="22"/>
          <w:szCs w:val="22"/>
        </w:rPr>
        <w:t>Gaoua</w:t>
      </w:r>
      <w:proofErr w:type="spellEnd"/>
      <w:r w:rsidR="005F5709" w:rsidRPr="005F5709">
        <w:rPr>
          <w:rFonts w:asciiTheme="minorHAnsi" w:hAnsiTheme="minorHAnsi" w:cstheme="minorHAnsi"/>
          <w:color w:val="000000"/>
          <w:sz w:val="22"/>
          <w:szCs w:val="22"/>
        </w:rPr>
        <w:t xml:space="preserve">, N., Mileva, K. and Borges, M. (2021). What makes young people get involved with street gangs in London? A study of the perceived risk factors. Journal of Community Psychology, 50(5). </w:t>
      </w:r>
      <w:proofErr w:type="spellStart"/>
      <w:r w:rsidR="005F5709" w:rsidRPr="005F5709">
        <w:rPr>
          <w:rFonts w:asciiTheme="minorHAnsi" w:hAnsiTheme="minorHAnsi" w:cstheme="minorHAnsi"/>
          <w:color w:val="000000"/>
          <w:sz w:val="22"/>
          <w:szCs w:val="22"/>
        </w:rPr>
        <w:t>doi</w:t>
      </w:r>
      <w:proofErr w:type="spellEnd"/>
      <w:r w:rsidR="005F5709" w:rsidRPr="005F5709">
        <w:rPr>
          <w:rFonts w:asciiTheme="minorHAnsi" w:hAnsiTheme="minorHAnsi" w:cstheme="minorHAnsi"/>
          <w:color w:val="000000"/>
          <w:sz w:val="22"/>
          <w:szCs w:val="22"/>
        </w:rPr>
        <w:t xml:space="preserve">: </w:t>
      </w:r>
      <w:hyperlink r:id="rId5" w:history="1">
        <w:r w:rsidR="005F5709" w:rsidRPr="005F5709">
          <w:rPr>
            <w:rStyle w:val="Hyperlink"/>
            <w:rFonts w:asciiTheme="minorHAnsi" w:hAnsiTheme="minorHAnsi" w:cstheme="minorHAnsi"/>
            <w:sz w:val="22"/>
            <w:szCs w:val="22"/>
          </w:rPr>
          <w:t>https://doi.org/10.1002/jcop.22767</w:t>
        </w:r>
      </w:hyperlink>
      <w:r w:rsidR="005F5709" w:rsidRPr="005F5709">
        <w:rPr>
          <w:rFonts w:asciiTheme="minorHAnsi" w:hAnsiTheme="minorHAnsi" w:cstheme="minorHAnsi"/>
          <w:color w:val="000000"/>
          <w:sz w:val="22"/>
          <w:szCs w:val="22"/>
        </w:rPr>
        <w:t>.</w:t>
      </w:r>
    </w:p>
    <w:p w14:paraId="058945C8" w14:textId="4183127D" w:rsidR="005F5709" w:rsidRPr="005F5709" w:rsidRDefault="005F5709" w:rsidP="005F5709">
      <w:pPr>
        <w:pStyle w:val="NormalWeb"/>
        <w:rPr>
          <w:rFonts w:ascii="Calibri" w:hAnsi="Calibri" w:cs="Calibri"/>
          <w:color w:val="000000"/>
          <w:sz w:val="22"/>
          <w:szCs w:val="22"/>
        </w:rPr>
      </w:pPr>
      <w:r w:rsidRPr="005F5709">
        <w:rPr>
          <w:rFonts w:ascii="Calibri" w:hAnsi="Calibri" w:cs="Calibri"/>
          <w:color w:val="000000"/>
          <w:sz w:val="22"/>
          <w:szCs w:val="22"/>
        </w:rPr>
        <w:lastRenderedPageBreak/>
        <w:t xml:space="preserve">Spicer, J., Moyle, L. and Coomber, R. (2019). The variable and evolving nature of ‘cuckooing’ as a form of criminal exploitation in street level drug markets. Trends in Organized Crime, 23. </w:t>
      </w:r>
      <w:proofErr w:type="spellStart"/>
      <w:r w:rsidRPr="005F5709">
        <w:rPr>
          <w:rFonts w:ascii="Calibri" w:hAnsi="Calibri" w:cs="Calibri"/>
          <w:color w:val="000000"/>
          <w:sz w:val="22"/>
          <w:szCs w:val="22"/>
        </w:rPr>
        <w:t>doi</w:t>
      </w:r>
      <w:proofErr w:type="spellEnd"/>
      <w:r w:rsidRPr="005F5709">
        <w:rPr>
          <w:rFonts w:ascii="Calibri" w:hAnsi="Calibri" w:cs="Calibri"/>
          <w:color w:val="000000"/>
          <w:sz w:val="22"/>
          <w:szCs w:val="22"/>
        </w:rPr>
        <w:t>:</w:t>
      </w:r>
      <w:r>
        <w:rPr>
          <w:rFonts w:ascii="Calibri" w:hAnsi="Calibri" w:cs="Calibri"/>
          <w:color w:val="000000"/>
          <w:sz w:val="22"/>
          <w:szCs w:val="22"/>
        </w:rPr>
        <w:t xml:space="preserve"> </w:t>
      </w:r>
      <w:hyperlink r:id="rId6" w:history="1">
        <w:r w:rsidRPr="00F53A0A">
          <w:rPr>
            <w:rStyle w:val="Hyperlink"/>
            <w:rFonts w:ascii="Calibri" w:hAnsi="Calibri" w:cs="Calibri"/>
            <w:sz w:val="22"/>
            <w:szCs w:val="22"/>
          </w:rPr>
          <w:t>https://doi.org/10.1007/s12117-019-09368-5</w:t>
        </w:r>
      </w:hyperlink>
      <w:r w:rsidRPr="005F5709">
        <w:rPr>
          <w:rFonts w:ascii="Calibri" w:hAnsi="Calibri" w:cs="Calibri"/>
          <w:color w:val="000000"/>
          <w:sz w:val="22"/>
          <w:szCs w:val="22"/>
        </w:rPr>
        <w:t>.</w:t>
      </w:r>
    </w:p>
    <w:p w14:paraId="4F8D61B4" w14:textId="1C0AC70D" w:rsidR="005F5709" w:rsidRPr="005F5709" w:rsidRDefault="005F5709" w:rsidP="005F5709">
      <w:pPr>
        <w:pStyle w:val="NormalWeb"/>
        <w:rPr>
          <w:rFonts w:ascii="Calibri" w:hAnsi="Calibri" w:cs="Calibri"/>
          <w:color w:val="000000"/>
          <w:sz w:val="22"/>
          <w:szCs w:val="22"/>
        </w:rPr>
      </w:pPr>
      <w:r w:rsidRPr="005F5709">
        <w:rPr>
          <w:rFonts w:ascii="Calibri" w:hAnsi="Calibri" w:cs="Calibri"/>
          <w:color w:val="000000"/>
          <w:sz w:val="22"/>
          <w:szCs w:val="22"/>
        </w:rPr>
        <w:t>Robinson, G., McLean, R. and Densley, J. (2018). Working County Lines: Child Criminal Exploitation and Illicit Drug Dealing in Glasgow and Merseyside. International Journal of Offender Therapy and Comparative Criminology, [online] 63(5), pp.694–711. Available at:</w:t>
      </w:r>
      <w:r>
        <w:rPr>
          <w:rFonts w:ascii="Calibri" w:hAnsi="Calibri" w:cs="Calibri"/>
          <w:color w:val="000000"/>
          <w:sz w:val="22"/>
          <w:szCs w:val="22"/>
        </w:rPr>
        <w:t xml:space="preserve"> </w:t>
      </w:r>
      <w:hyperlink r:id="rId7" w:history="1">
        <w:r w:rsidRPr="00F53A0A">
          <w:rPr>
            <w:rStyle w:val="Hyperlink"/>
            <w:rFonts w:ascii="Calibri" w:hAnsi="Calibri" w:cs="Calibri"/>
            <w:sz w:val="22"/>
            <w:szCs w:val="22"/>
          </w:rPr>
          <w:t>https://journals.sagepub.com/doi/full/10.1177/0306624X18806742</w:t>
        </w:r>
      </w:hyperlink>
      <w:r w:rsidRPr="005F5709">
        <w:rPr>
          <w:rFonts w:ascii="Calibri" w:hAnsi="Calibri" w:cs="Calibri"/>
          <w:color w:val="000000"/>
          <w:sz w:val="22"/>
          <w:szCs w:val="22"/>
        </w:rPr>
        <w:t>.</w:t>
      </w:r>
    </w:p>
    <w:p w14:paraId="7DEA1A44" w14:textId="2D321A3A" w:rsidR="005F5709" w:rsidRPr="007D4047" w:rsidRDefault="007D4047" w:rsidP="005F5709">
      <w:pPr>
        <w:pStyle w:val="NormalWeb"/>
        <w:rPr>
          <w:rFonts w:ascii="Calibri" w:hAnsi="Calibri" w:cs="Calibri"/>
          <w:color w:val="000000"/>
          <w:sz w:val="22"/>
          <w:szCs w:val="22"/>
        </w:rPr>
      </w:pPr>
      <w:r w:rsidRPr="007D4047">
        <w:rPr>
          <w:rFonts w:ascii="Calibri" w:hAnsi="Calibri" w:cs="Calibri"/>
          <w:color w:val="000000"/>
          <w:sz w:val="22"/>
          <w:szCs w:val="22"/>
        </w:rPr>
        <w:t xml:space="preserve">University of Bedfordshire 2021. Excluded or missing from education and child exploitation: literature review and stakeholder views on safeguarding practice report. [online] Available at: </w:t>
      </w:r>
      <w:hyperlink r:id="rId8" w:history="1">
        <w:r w:rsidRPr="007D4047">
          <w:rPr>
            <w:rStyle w:val="Hyperlink"/>
            <w:rFonts w:ascii="Calibri" w:hAnsi="Calibri" w:cs="Calibri"/>
            <w:sz w:val="22"/>
            <w:szCs w:val="22"/>
          </w:rPr>
          <w:t>https://tce.researchinpractice.org.uk/wp-content/uploads/2022/02/2757_TCE_Education__Exploitation_report_v2.pdf</w:t>
        </w:r>
      </w:hyperlink>
      <w:r w:rsidRPr="007D4047">
        <w:rPr>
          <w:rFonts w:ascii="Calibri" w:hAnsi="Calibri" w:cs="Calibri"/>
          <w:color w:val="000000"/>
          <w:sz w:val="22"/>
          <w:szCs w:val="22"/>
        </w:rPr>
        <w:t>.</w:t>
      </w:r>
    </w:p>
    <w:p w14:paraId="60E33B9F" w14:textId="61D880B3" w:rsidR="00FB3344" w:rsidRPr="00A836A7" w:rsidRDefault="005F5709" w:rsidP="00FB3344">
      <w:pPr>
        <w:pStyle w:val="NormalWeb"/>
        <w:rPr>
          <w:rFonts w:ascii="Calibri" w:hAnsi="Calibri" w:cs="Calibri"/>
          <w:color w:val="000000"/>
          <w:sz w:val="22"/>
          <w:szCs w:val="22"/>
        </w:rPr>
      </w:pPr>
      <w:r w:rsidRPr="00FB3344">
        <w:rPr>
          <w:rFonts w:ascii="Calibri" w:hAnsi="Calibri" w:cs="Calibri"/>
          <w:color w:val="000000"/>
          <w:sz w:val="22"/>
          <w:szCs w:val="22"/>
        </w:rPr>
        <w:t>‌</w:t>
      </w:r>
      <w:r w:rsidR="00FB3344" w:rsidRPr="00FB3344">
        <w:rPr>
          <w:rFonts w:ascii="Calibri" w:hAnsi="Calibri" w:cs="Calibri"/>
          <w:color w:val="000000"/>
          <w:sz w:val="22"/>
          <w:szCs w:val="22"/>
        </w:rPr>
        <w:t xml:space="preserve">Equality and Human Rights Commission (2010). Stop and Think a Critical Review of the Use of Stop and Search Powers in England and Wales Equality and Human Rights Commission Foreword Acknowledgements. [online] Available at: </w:t>
      </w:r>
      <w:hyperlink r:id="rId9" w:history="1">
        <w:r w:rsidR="00FB3344" w:rsidRPr="004E0A45">
          <w:rPr>
            <w:rStyle w:val="Hyperlink"/>
            <w:rFonts w:ascii="Calibri" w:hAnsi="Calibri" w:cs="Calibri"/>
            <w:sz w:val="22"/>
            <w:szCs w:val="22"/>
          </w:rPr>
          <w:t>https://www.equalityhumanrights.com/sites/default/files/ehrc_stop_and_search_report.pdf</w:t>
        </w:r>
      </w:hyperlink>
      <w:r w:rsidR="00FB3344" w:rsidRPr="00FB3344">
        <w:rPr>
          <w:rFonts w:ascii="Calibri" w:hAnsi="Calibri" w:cs="Calibri"/>
          <w:color w:val="000000"/>
          <w:sz w:val="22"/>
          <w:szCs w:val="22"/>
        </w:rPr>
        <w:t>.</w:t>
      </w:r>
    </w:p>
    <w:p w14:paraId="223692F1" w14:textId="1ACCF48E" w:rsidR="00FB3344" w:rsidRPr="00FB3344" w:rsidRDefault="00FB3344" w:rsidP="00FB3344">
      <w:pPr>
        <w:pStyle w:val="NormalWeb"/>
        <w:rPr>
          <w:rFonts w:ascii="Calibri" w:hAnsi="Calibri" w:cs="Calibri"/>
          <w:color w:val="000000"/>
          <w:sz w:val="22"/>
          <w:szCs w:val="22"/>
        </w:rPr>
      </w:pPr>
      <w:r w:rsidRPr="00FB3344">
        <w:rPr>
          <w:rFonts w:ascii="Calibri" w:hAnsi="Calibri" w:cs="Calibri"/>
          <w:color w:val="000000"/>
          <w:sz w:val="22"/>
          <w:szCs w:val="22"/>
        </w:rPr>
        <w:t xml:space="preserve">Media, P. (2019). ‘More BAME people likely to be targeted’ under relaxed stop-and-search rules. [online] the Guardian. Available at: </w:t>
      </w:r>
      <w:hyperlink r:id="rId10" w:history="1">
        <w:r w:rsidRPr="004E0A45">
          <w:rPr>
            <w:rStyle w:val="Hyperlink"/>
            <w:rFonts w:ascii="Calibri" w:hAnsi="Calibri" w:cs="Calibri"/>
            <w:sz w:val="22"/>
            <w:szCs w:val="22"/>
          </w:rPr>
          <w:t>https://www.theguardian.com/law/2019/oct/18/more-bame-people-likely-to-be-targeted-under-relaxed-stop-and-search-rules</w:t>
        </w:r>
      </w:hyperlink>
      <w:r w:rsidRPr="00FB3344">
        <w:rPr>
          <w:rFonts w:ascii="Calibri" w:hAnsi="Calibri" w:cs="Calibri"/>
          <w:color w:val="000000"/>
          <w:sz w:val="22"/>
          <w:szCs w:val="22"/>
        </w:rPr>
        <w:t>.</w:t>
      </w:r>
    </w:p>
    <w:p w14:paraId="343B3795" w14:textId="028355DD" w:rsidR="00FB3344" w:rsidRPr="00FB3344" w:rsidRDefault="00FB3344" w:rsidP="00FB3344">
      <w:pPr>
        <w:pStyle w:val="NormalWeb"/>
        <w:spacing w:before="0" w:beforeAutospacing="0" w:after="0" w:afterAutospacing="0" w:line="360" w:lineRule="atLeast"/>
        <w:rPr>
          <w:rFonts w:ascii="Calibri" w:hAnsi="Calibri" w:cs="Calibri"/>
          <w:color w:val="000000"/>
          <w:sz w:val="22"/>
          <w:szCs w:val="22"/>
        </w:rPr>
      </w:pPr>
      <w:r>
        <w:rPr>
          <w:rFonts w:ascii="Calibri" w:hAnsi="Calibri" w:cs="Calibri"/>
          <w:color w:val="000000"/>
          <w:sz w:val="22"/>
          <w:szCs w:val="22"/>
        </w:rPr>
        <w:t xml:space="preserve">Independent Office for Police Conduct </w:t>
      </w:r>
      <w:r w:rsidRPr="00FB3344">
        <w:rPr>
          <w:rFonts w:ascii="Calibri" w:hAnsi="Calibri" w:cs="Calibri"/>
          <w:color w:val="000000"/>
          <w:sz w:val="22"/>
          <w:szCs w:val="22"/>
        </w:rPr>
        <w:t xml:space="preserve">(2023). </w:t>
      </w:r>
      <w:r w:rsidR="008A23EA">
        <w:rPr>
          <w:rFonts w:ascii="Calibri" w:hAnsi="Calibri" w:cs="Calibri"/>
          <w:color w:val="000000"/>
          <w:sz w:val="22"/>
          <w:szCs w:val="22"/>
        </w:rPr>
        <w:t xml:space="preserve">‘National Stop and Search Survey – Report’. [online] </w:t>
      </w:r>
      <w:r w:rsidRPr="00FB3344">
        <w:rPr>
          <w:rFonts w:ascii="Calibri" w:hAnsi="Calibri" w:cs="Calibri"/>
          <w:color w:val="000000"/>
          <w:sz w:val="22"/>
          <w:szCs w:val="22"/>
        </w:rPr>
        <w:t xml:space="preserve">Available at: </w:t>
      </w:r>
      <w:hyperlink r:id="rId11" w:history="1">
        <w:r w:rsidR="008A23EA" w:rsidRPr="004E0A45">
          <w:rPr>
            <w:rStyle w:val="Hyperlink"/>
            <w:rFonts w:ascii="Calibri" w:hAnsi="Calibri" w:cs="Calibri"/>
            <w:sz w:val="22"/>
            <w:szCs w:val="22"/>
          </w:rPr>
          <w:t>https://www.policeconduct.gov.uk/sites/default/files/documents/national-stop-and-search-survey-report-oct-2023.pdf</w:t>
        </w:r>
      </w:hyperlink>
      <w:r w:rsidRPr="00FB3344">
        <w:rPr>
          <w:rFonts w:ascii="Calibri" w:hAnsi="Calibri" w:cs="Calibri"/>
          <w:color w:val="000000"/>
          <w:sz w:val="22"/>
          <w:szCs w:val="22"/>
        </w:rPr>
        <w:t>.</w:t>
      </w:r>
    </w:p>
    <w:p w14:paraId="5ED01184" w14:textId="3CD556B3" w:rsidR="00FB3344" w:rsidRPr="008A23EA" w:rsidRDefault="00FB3344" w:rsidP="00FB3344">
      <w:pPr>
        <w:pStyle w:val="NormalWeb"/>
        <w:rPr>
          <w:rFonts w:ascii="Calibri" w:hAnsi="Calibri" w:cs="Calibri"/>
          <w:color w:val="000000"/>
          <w:sz w:val="22"/>
          <w:szCs w:val="22"/>
        </w:rPr>
      </w:pPr>
      <w:r w:rsidRPr="008A23EA">
        <w:rPr>
          <w:rFonts w:ascii="Calibri" w:hAnsi="Calibri" w:cs="Calibri"/>
          <w:color w:val="000000"/>
          <w:sz w:val="22"/>
          <w:szCs w:val="22"/>
        </w:rPr>
        <w:t>‌</w:t>
      </w:r>
      <w:r w:rsidR="008A23EA" w:rsidRPr="008A23EA">
        <w:rPr>
          <w:rFonts w:ascii="Calibri" w:hAnsi="Calibri" w:cs="Calibri"/>
          <w:color w:val="000000"/>
          <w:sz w:val="22"/>
          <w:szCs w:val="22"/>
        </w:rPr>
        <w:t xml:space="preserve">Durham University (2019). ‘Summary of Research Findings – Diversity, Equality and Inclusion in Policing 2019’. [online] Available at: </w:t>
      </w:r>
      <w:hyperlink r:id="rId12" w:history="1">
        <w:r w:rsidR="008A23EA" w:rsidRPr="008A23EA">
          <w:rPr>
            <w:rStyle w:val="Hyperlink"/>
            <w:rFonts w:ascii="Calibri" w:hAnsi="Calibri" w:cs="Calibri"/>
            <w:sz w:val="22"/>
            <w:szCs w:val="22"/>
          </w:rPr>
          <w:t>https://www.apccs.police.uk/media/5817/diversity-equality-and-inclusion-in-policing-2019-report.pdf</w:t>
        </w:r>
      </w:hyperlink>
      <w:r w:rsidR="008A23EA" w:rsidRPr="008A23EA">
        <w:rPr>
          <w:rFonts w:ascii="Calibri" w:hAnsi="Calibri" w:cs="Calibri"/>
          <w:color w:val="000000"/>
          <w:sz w:val="22"/>
          <w:szCs w:val="22"/>
        </w:rPr>
        <w:t>.</w:t>
      </w:r>
    </w:p>
    <w:p w14:paraId="468730BA" w14:textId="0AED5B65" w:rsidR="00803234" w:rsidRPr="00803234" w:rsidRDefault="00803234" w:rsidP="00803234">
      <w:pPr>
        <w:pStyle w:val="NormalWeb"/>
        <w:spacing w:before="0" w:beforeAutospacing="0" w:after="0" w:afterAutospacing="0" w:line="360" w:lineRule="atLeast"/>
        <w:rPr>
          <w:rFonts w:ascii="Calibri" w:hAnsi="Calibri" w:cs="Calibri"/>
          <w:color w:val="000000"/>
          <w:sz w:val="22"/>
          <w:szCs w:val="22"/>
        </w:rPr>
      </w:pPr>
      <w:r w:rsidRPr="00803234">
        <w:rPr>
          <w:rFonts w:ascii="Calibri" w:hAnsi="Calibri" w:cs="Calibri"/>
          <w:color w:val="000000"/>
          <w:sz w:val="22"/>
          <w:szCs w:val="22"/>
        </w:rPr>
        <w:t>Mann, N. and Lundrigan, S. (2023). </w:t>
      </w:r>
      <w:r w:rsidRPr="00803234">
        <w:rPr>
          <w:rFonts w:ascii="Calibri" w:hAnsi="Calibri" w:cs="Calibri"/>
          <w:i/>
          <w:iCs/>
          <w:color w:val="000000"/>
          <w:sz w:val="22"/>
          <w:szCs w:val="22"/>
        </w:rPr>
        <w:t>The National MAPPA Research: Process Effectiveness Report</w:t>
      </w:r>
      <w:r w:rsidRPr="00803234">
        <w:rPr>
          <w:rFonts w:ascii="Calibri" w:hAnsi="Calibri" w:cs="Calibri"/>
          <w:color w:val="000000"/>
          <w:sz w:val="22"/>
          <w:szCs w:val="22"/>
        </w:rPr>
        <w:t xml:space="preserve">. [online] Available at: </w:t>
      </w:r>
      <w:hyperlink r:id="rId13" w:history="1">
        <w:r w:rsidRPr="004E0A45">
          <w:rPr>
            <w:rStyle w:val="Hyperlink"/>
            <w:rFonts w:ascii="Calibri" w:hAnsi="Calibri" w:cs="Calibri"/>
            <w:sz w:val="22"/>
            <w:szCs w:val="22"/>
          </w:rPr>
          <w:t>https://www.aru.ac.uk/-/media/Files/pier/The-National-MAPPA-Research-Process-effectiveness-report.pdf</w:t>
        </w:r>
      </w:hyperlink>
      <w:r w:rsidRPr="00803234">
        <w:rPr>
          <w:rFonts w:ascii="Calibri" w:hAnsi="Calibri" w:cs="Calibri"/>
          <w:color w:val="000000"/>
          <w:sz w:val="22"/>
          <w:szCs w:val="22"/>
        </w:rPr>
        <w:t>.</w:t>
      </w:r>
    </w:p>
    <w:p w14:paraId="21C456C4" w14:textId="7283A000" w:rsidR="003B3F60" w:rsidRPr="003B3F60" w:rsidRDefault="00803234" w:rsidP="003B3F60">
      <w:pPr>
        <w:pStyle w:val="NormalWeb"/>
        <w:rPr>
          <w:rFonts w:ascii="Calibri" w:hAnsi="Calibri" w:cs="Calibri"/>
          <w:color w:val="000000"/>
          <w:sz w:val="22"/>
          <w:szCs w:val="22"/>
        </w:rPr>
      </w:pPr>
      <w:r w:rsidRPr="003B3F60">
        <w:rPr>
          <w:rFonts w:ascii="Calibri" w:hAnsi="Calibri" w:cs="Calibri"/>
          <w:color w:val="000000"/>
          <w:sz w:val="22"/>
          <w:szCs w:val="22"/>
        </w:rPr>
        <w:t>‌</w:t>
      </w:r>
      <w:r w:rsidR="003B3F60" w:rsidRPr="003B3F60">
        <w:rPr>
          <w:rFonts w:ascii="Calibri" w:hAnsi="Calibri" w:cs="Calibri"/>
          <w:color w:val="000000"/>
          <w:sz w:val="22"/>
          <w:szCs w:val="22"/>
        </w:rPr>
        <w:t>The Institute for Government. (20</w:t>
      </w:r>
      <w:r w:rsidR="003B3F60">
        <w:rPr>
          <w:rFonts w:ascii="Calibri" w:hAnsi="Calibri" w:cs="Calibri"/>
          <w:color w:val="000000"/>
          <w:sz w:val="22"/>
          <w:szCs w:val="22"/>
        </w:rPr>
        <w:t>23</w:t>
      </w:r>
      <w:r w:rsidR="003B3F60" w:rsidRPr="003B3F60">
        <w:rPr>
          <w:rFonts w:ascii="Calibri" w:hAnsi="Calibri" w:cs="Calibri"/>
          <w:color w:val="000000"/>
          <w:sz w:val="22"/>
          <w:szCs w:val="22"/>
        </w:rPr>
        <w:t xml:space="preserve">). About us. [online] Available at: </w:t>
      </w:r>
      <w:hyperlink r:id="rId14" w:history="1">
        <w:r w:rsidR="003B3F60" w:rsidRPr="004E0A45">
          <w:rPr>
            <w:rStyle w:val="Hyperlink"/>
            <w:rFonts w:ascii="Calibri" w:hAnsi="Calibri" w:cs="Calibri"/>
            <w:sz w:val="22"/>
            <w:szCs w:val="22"/>
          </w:rPr>
          <w:t>https://www.instituteforgovernment.org.uk/about-us</w:t>
        </w:r>
      </w:hyperlink>
      <w:r w:rsidR="003B3F60" w:rsidRPr="003B3F60">
        <w:rPr>
          <w:rFonts w:ascii="Calibri" w:hAnsi="Calibri" w:cs="Calibri"/>
          <w:color w:val="000000"/>
          <w:sz w:val="22"/>
          <w:szCs w:val="22"/>
        </w:rPr>
        <w:t>.</w:t>
      </w:r>
    </w:p>
    <w:p w14:paraId="01F6FA6D" w14:textId="724544E5" w:rsidR="001B5E82" w:rsidRPr="001B5E82" w:rsidRDefault="001B5E82" w:rsidP="001B5E82">
      <w:pPr>
        <w:pStyle w:val="NormalWeb"/>
        <w:spacing w:before="0" w:beforeAutospacing="0" w:after="0" w:afterAutospacing="0" w:line="360" w:lineRule="atLeast"/>
        <w:rPr>
          <w:rFonts w:ascii="Calibri" w:hAnsi="Calibri" w:cs="Calibri"/>
          <w:color w:val="000000"/>
          <w:sz w:val="22"/>
          <w:szCs w:val="22"/>
        </w:rPr>
      </w:pPr>
      <w:r w:rsidRPr="001B5E82">
        <w:rPr>
          <w:rFonts w:ascii="Calibri" w:hAnsi="Calibri" w:cs="Calibri"/>
          <w:color w:val="000000"/>
          <w:sz w:val="22"/>
          <w:szCs w:val="22"/>
        </w:rPr>
        <w:t>Hoddinott, S., Davies, N., Fright, M., Nye, P. and Richards, G. (</w:t>
      </w:r>
      <w:r>
        <w:rPr>
          <w:rFonts w:ascii="Calibri" w:hAnsi="Calibri" w:cs="Calibri"/>
          <w:color w:val="000000"/>
          <w:sz w:val="22"/>
          <w:szCs w:val="22"/>
        </w:rPr>
        <w:t>2023</w:t>
      </w:r>
      <w:r w:rsidRPr="001B5E82">
        <w:rPr>
          <w:rFonts w:ascii="Calibri" w:hAnsi="Calibri" w:cs="Calibri"/>
          <w:color w:val="000000"/>
          <w:sz w:val="22"/>
          <w:szCs w:val="22"/>
        </w:rPr>
        <w:t>). </w:t>
      </w:r>
      <w:r w:rsidRPr="001B5E82">
        <w:rPr>
          <w:rFonts w:ascii="Calibri" w:hAnsi="Calibri" w:cs="Calibri"/>
          <w:i/>
          <w:iCs/>
          <w:color w:val="000000"/>
          <w:sz w:val="22"/>
          <w:szCs w:val="22"/>
        </w:rPr>
        <w:t>Public services as the UK approaches a general election</w:t>
      </w:r>
      <w:r w:rsidRPr="001B5E82">
        <w:rPr>
          <w:rFonts w:ascii="Calibri" w:hAnsi="Calibri" w:cs="Calibri"/>
          <w:color w:val="000000"/>
          <w:sz w:val="22"/>
          <w:szCs w:val="22"/>
        </w:rPr>
        <w:t xml:space="preserve">. [online] Available at: </w:t>
      </w:r>
      <w:hyperlink r:id="rId15" w:history="1">
        <w:r w:rsidRPr="001B5E82">
          <w:rPr>
            <w:rStyle w:val="Hyperlink"/>
            <w:rFonts w:ascii="Calibri" w:hAnsi="Calibri" w:cs="Calibri"/>
            <w:sz w:val="22"/>
            <w:szCs w:val="22"/>
          </w:rPr>
          <w:t>https://www.instituteforgovernment.org.uk/sites/default/files/2024-01/performance-tracker-2023.pdf</w:t>
        </w:r>
      </w:hyperlink>
      <w:r w:rsidRPr="001B5E82">
        <w:rPr>
          <w:rFonts w:ascii="Calibri" w:hAnsi="Calibri" w:cs="Calibri"/>
          <w:color w:val="000000"/>
          <w:sz w:val="22"/>
          <w:szCs w:val="22"/>
        </w:rPr>
        <w:t>.</w:t>
      </w:r>
    </w:p>
    <w:p w14:paraId="16F0C521" w14:textId="2BA30178" w:rsidR="001B5E82" w:rsidRPr="001B5E82" w:rsidRDefault="001B5E82" w:rsidP="001B5E82">
      <w:pPr>
        <w:pStyle w:val="NormalWeb"/>
        <w:rPr>
          <w:rFonts w:ascii="Calibri" w:hAnsi="Calibri" w:cs="Calibri"/>
          <w:color w:val="000000"/>
          <w:sz w:val="22"/>
          <w:szCs w:val="22"/>
        </w:rPr>
      </w:pPr>
      <w:r w:rsidRPr="001B5E82">
        <w:rPr>
          <w:rFonts w:ascii="Calibri" w:hAnsi="Calibri" w:cs="Calibri"/>
          <w:color w:val="000000"/>
          <w:sz w:val="22"/>
          <w:szCs w:val="22"/>
        </w:rPr>
        <w:t xml:space="preserve">‌College of Policing (2023). Vetting Code of Practice. [online] College of Policing. Available at: </w:t>
      </w:r>
      <w:hyperlink r:id="rId16" w:history="1">
        <w:r w:rsidRPr="001B5E82">
          <w:rPr>
            <w:rStyle w:val="Hyperlink"/>
            <w:rFonts w:ascii="Calibri" w:hAnsi="Calibri" w:cs="Calibri"/>
            <w:sz w:val="22"/>
            <w:szCs w:val="22"/>
          </w:rPr>
          <w:t>https://www.college.police.uk/guidance/vetting-code-practice</w:t>
        </w:r>
      </w:hyperlink>
      <w:r w:rsidRPr="001B5E82">
        <w:rPr>
          <w:rFonts w:ascii="Calibri" w:hAnsi="Calibri" w:cs="Calibri"/>
          <w:color w:val="000000"/>
          <w:sz w:val="22"/>
          <w:szCs w:val="22"/>
        </w:rPr>
        <w:t>.</w:t>
      </w:r>
    </w:p>
    <w:p w14:paraId="2DCCF409" w14:textId="77E7AF6E" w:rsidR="001B5E82" w:rsidRPr="001B5E82" w:rsidRDefault="001B5E82" w:rsidP="001B5E82">
      <w:pPr>
        <w:pStyle w:val="NormalWeb"/>
        <w:rPr>
          <w:rFonts w:ascii="Calibri" w:hAnsi="Calibri" w:cs="Calibri"/>
          <w:color w:val="000000"/>
          <w:sz w:val="22"/>
          <w:szCs w:val="22"/>
        </w:rPr>
      </w:pPr>
      <w:r w:rsidRPr="001B5E82">
        <w:rPr>
          <w:rFonts w:ascii="Calibri" w:hAnsi="Calibri" w:cs="Calibri"/>
          <w:color w:val="000000"/>
          <w:sz w:val="22"/>
          <w:szCs w:val="22"/>
        </w:rPr>
        <w:t>Police Federation</w:t>
      </w:r>
      <w:r w:rsidRPr="001B5E82">
        <w:rPr>
          <w:rFonts w:ascii="Calibri" w:hAnsi="Calibri" w:cs="Calibri"/>
          <w:color w:val="000000"/>
          <w:sz w:val="22"/>
          <w:szCs w:val="22"/>
        </w:rPr>
        <w:t xml:space="preserve"> (</w:t>
      </w:r>
      <w:r w:rsidRPr="001B5E82">
        <w:rPr>
          <w:rFonts w:ascii="Calibri" w:hAnsi="Calibri" w:cs="Calibri"/>
          <w:color w:val="000000"/>
          <w:sz w:val="22"/>
          <w:szCs w:val="22"/>
        </w:rPr>
        <w:t>2019</w:t>
      </w:r>
      <w:r w:rsidRPr="001B5E82">
        <w:rPr>
          <w:rFonts w:ascii="Calibri" w:hAnsi="Calibri" w:cs="Calibri"/>
          <w:color w:val="000000"/>
          <w:sz w:val="22"/>
          <w:szCs w:val="22"/>
        </w:rPr>
        <w:t xml:space="preserve">). Misconduct. [online] Available at: </w:t>
      </w:r>
      <w:hyperlink r:id="rId17" w:history="1">
        <w:r w:rsidRPr="001B5E82">
          <w:rPr>
            <w:rStyle w:val="Hyperlink"/>
            <w:rFonts w:ascii="Calibri" w:hAnsi="Calibri" w:cs="Calibri"/>
            <w:sz w:val="22"/>
            <w:szCs w:val="22"/>
          </w:rPr>
          <w:t>https://www.polfed.org/westmids/advice-regs/misconduct/</w:t>
        </w:r>
      </w:hyperlink>
      <w:r w:rsidRPr="001B5E82">
        <w:rPr>
          <w:rFonts w:ascii="Calibri" w:hAnsi="Calibri" w:cs="Calibri"/>
          <w:color w:val="000000"/>
          <w:sz w:val="22"/>
          <w:szCs w:val="22"/>
        </w:rPr>
        <w:t>.</w:t>
      </w:r>
    </w:p>
    <w:p w14:paraId="72690DDC" w14:textId="77777777" w:rsidR="001B5E82" w:rsidRPr="001B5E82" w:rsidRDefault="001B5E82" w:rsidP="001B5E82">
      <w:pPr>
        <w:pStyle w:val="NormalWeb"/>
        <w:spacing w:before="0" w:beforeAutospacing="0" w:after="0" w:afterAutospacing="0" w:line="360" w:lineRule="atLeast"/>
        <w:rPr>
          <w:rFonts w:ascii="Calibri" w:hAnsi="Calibri" w:cs="Calibri"/>
          <w:color w:val="000000"/>
          <w:sz w:val="22"/>
          <w:szCs w:val="22"/>
        </w:rPr>
      </w:pPr>
      <w:r w:rsidRPr="001B5E82">
        <w:rPr>
          <w:rFonts w:ascii="Calibri" w:hAnsi="Calibri" w:cs="Calibri"/>
          <w:color w:val="000000"/>
          <w:sz w:val="22"/>
          <w:szCs w:val="22"/>
        </w:rPr>
        <w:lastRenderedPageBreak/>
        <w:t>Tyler, T.R. (2006). </w:t>
      </w:r>
      <w:r w:rsidRPr="001B5E82">
        <w:rPr>
          <w:rFonts w:ascii="Calibri" w:hAnsi="Calibri" w:cs="Calibri"/>
          <w:i/>
          <w:iCs/>
          <w:color w:val="000000"/>
          <w:sz w:val="22"/>
          <w:szCs w:val="22"/>
        </w:rPr>
        <w:t>Why people obey the law</w:t>
      </w:r>
      <w:r w:rsidRPr="001B5E82">
        <w:rPr>
          <w:rFonts w:ascii="Calibri" w:hAnsi="Calibri" w:cs="Calibri"/>
          <w:color w:val="000000"/>
          <w:sz w:val="22"/>
          <w:szCs w:val="22"/>
        </w:rPr>
        <w:t xml:space="preserve">. </w:t>
      </w:r>
      <w:proofErr w:type="spellStart"/>
      <w:r w:rsidRPr="001B5E82">
        <w:rPr>
          <w:rFonts w:ascii="Calibri" w:hAnsi="Calibri" w:cs="Calibri"/>
          <w:color w:val="000000"/>
          <w:sz w:val="22"/>
          <w:szCs w:val="22"/>
        </w:rPr>
        <w:t>Princenton</w:t>
      </w:r>
      <w:proofErr w:type="spellEnd"/>
      <w:r w:rsidRPr="001B5E82">
        <w:rPr>
          <w:rFonts w:ascii="Calibri" w:hAnsi="Calibri" w:cs="Calibri"/>
          <w:color w:val="000000"/>
          <w:sz w:val="22"/>
          <w:szCs w:val="22"/>
        </w:rPr>
        <w:t xml:space="preserve"> New Jersey: Princeton University Press.</w:t>
      </w:r>
    </w:p>
    <w:p w14:paraId="7D7CE842" w14:textId="7376F37D" w:rsidR="009876E5" w:rsidRPr="009876E5" w:rsidRDefault="001B5E82" w:rsidP="009876E5">
      <w:pPr>
        <w:pStyle w:val="NormalWeb"/>
        <w:rPr>
          <w:rFonts w:ascii="Calibri" w:hAnsi="Calibri" w:cs="Calibri"/>
          <w:color w:val="000000"/>
          <w:sz w:val="22"/>
          <w:szCs w:val="22"/>
        </w:rPr>
      </w:pPr>
      <w:r w:rsidRPr="009876E5">
        <w:rPr>
          <w:rFonts w:ascii="Calibri" w:hAnsi="Calibri" w:cs="Calibri"/>
          <w:color w:val="000000"/>
          <w:sz w:val="22"/>
          <w:szCs w:val="22"/>
        </w:rPr>
        <w:t>‌</w:t>
      </w:r>
      <w:r w:rsidR="009876E5" w:rsidRPr="009876E5">
        <w:rPr>
          <w:rFonts w:ascii="Calibri" w:hAnsi="Calibri" w:cs="Calibri"/>
          <w:color w:val="000000"/>
          <w:sz w:val="22"/>
          <w:szCs w:val="22"/>
        </w:rPr>
        <w:t xml:space="preserve">Tyler, T. and Fagan, J. (2008). Legitimacy and Cooperation: Why Do People Help the Police Fight Crime in Their Communities? SSRN Electronic Journal. </w:t>
      </w:r>
      <w:proofErr w:type="spellStart"/>
      <w:r w:rsidR="009876E5" w:rsidRPr="009876E5">
        <w:rPr>
          <w:rFonts w:ascii="Calibri" w:hAnsi="Calibri" w:cs="Calibri"/>
          <w:color w:val="000000"/>
          <w:sz w:val="22"/>
          <w:szCs w:val="22"/>
        </w:rPr>
        <w:t>doi</w:t>
      </w:r>
      <w:proofErr w:type="spellEnd"/>
      <w:r w:rsidR="009876E5" w:rsidRPr="009876E5">
        <w:rPr>
          <w:rFonts w:ascii="Calibri" w:hAnsi="Calibri" w:cs="Calibri"/>
          <w:color w:val="000000"/>
          <w:sz w:val="22"/>
          <w:szCs w:val="22"/>
        </w:rPr>
        <w:t>:</w:t>
      </w:r>
      <w:r w:rsidR="009876E5">
        <w:rPr>
          <w:rFonts w:ascii="Calibri" w:hAnsi="Calibri" w:cs="Calibri"/>
          <w:color w:val="000000"/>
          <w:sz w:val="22"/>
          <w:szCs w:val="22"/>
        </w:rPr>
        <w:t xml:space="preserve"> </w:t>
      </w:r>
      <w:hyperlink r:id="rId18" w:history="1">
        <w:r w:rsidR="009876E5" w:rsidRPr="001037A9">
          <w:rPr>
            <w:rStyle w:val="Hyperlink"/>
            <w:rFonts w:ascii="Calibri" w:hAnsi="Calibri" w:cs="Calibri"/>
            <w:sz w:val="22"/>
            <w:szCs w:val="22"/>
          </w:rPr>
          <w:t>https://doi.org/10.2139/ssrn.887737</w:t>
        </w:r>
      </w:hyperlink>
      <w:r w:rsidR="009876E5" w:rsidRPr="009876E5">
        <w:rPr>
          <w:rFonts w:ascii="Calibri" w:hAnsi="Calibri" w:cs="Calibri"/>
          <w:color w:val="000000"/>
          <w:sz w:val="22"/>
          <w:szCs w:val="22"/>
        </w:rPr>
        <w:t>.</w:t>
      </w:r>
    </w:p>
    <w:p w14:paraId="3BE72AE8" w14:textId="77777777" w:rsidR="009876E5" w:rsidRPr="009876E5" w:rsidRDefault="009876E5" w:rsidP="009876E5">
      <w:pPr>
        <w:pStyle w:val="NormalWeb"/>
        <w:rPr>
          <w:rFonts w:ascii="Calibri" w:hAnsi="Calibri" w:cs="Calibri"/>
          <w:color w:val="000000"/>
          <w:sz w:val="27"/>
          <w:szCs w:val="27"/>
        </w:rPr>
      </w:pPr>
    </w:p>
    <w:p w14:paraId="4345A4D6" w14:textId="2E65D4BC" w:rsidR="001B5E82" w:rsidRDefault="009876E5" w:rsidP="009876E5">
      <w:pPr>
        <w:pStyle w:val="NormalWeb"/>
        <w:rPr>
          <w:rFonts w:ascii="Calibri" w:hAnsi="Calibri" w:cs="Calibri"/>
          <w:color w:val="000000"/>
          <w:sz w:val="27"/>
          <w:szCs w:val="27"/>
        </w:rPr>
      </w:pPr>
      <w:r w:rsidRPr="009876E5">
        <w:rPr>
          <w:rFonts w:ascii="Calibri" w:hAnsi="Calibri" w:cs="Calibri"/>
          <w:color w:val="000000"/>
          <w:sz w:val="27"/>
          <w:szCs w:val="27"/>
        </w:rPr>
        <w:t>‌</w:t>
      </w:r>
    </w:p>
    <w:p w14:paraId="2ABAC427" w14:textId="77777777" w:rsidR="001B5E82" w:rsidRPr="001B5E82" w:rsidRDefault="001B5E82" w:rsidP="001B5E82">
      <w:pPr>
        <w:pStyle w:val="NormalWeb"/>
        <w:rPr>
          <w:rFonts w:ascii="Calibri" w:hAnsi="Calibri" w:cs="Calibri"/>
          <w:color w:val="000000"/>
          <w:sz w:val="27"/>
          <w:szCs w:val="27"/>
        </w:rPr>
      </w:pPr>
    </w:p>
    <w:p w14:paraId="2DC738CA" w14:textId="5A03DF90" w:rsidR="001B5E82" w:rsidRPr="001B5E82" w:rsidRDefault="001B5E82" w:rsidP="001B5E82">
      <w:pPr>
        <w:pStyle w:val="NormalWeb"/>
        <w:rPr>
          <w:rFonts w:ascii="Calibri" w:hAnsi="Calibri" w:cs="Calibri"/>
          <w:color w:val="000000"/>
          <w:sz w:val="27"/>
          <w:szCs w:val="27"/>
        </w:rPr>
      </w:pPr>
      <w:r w:rsidRPr="001B5E82">
        <w:rPr>
          <w:rFonts w:ascii="Calibri" w:hAnsi="Calibri" w:cs="Calibri"/>
          <w:color w:val="000000"/>
          <w:sz w:val="27"/>
          <w:szCs w:val="27"/>
        </w:rPr>
        <w:t>‌</w:t>
      </w:r>
    </w:p>
    <w:p w14:paraId="7AF1EB08" w14:textId="4EDA60E5" w:rsidR="001B5E82" w:rsidRDefault="001B5E82" w:rsidP="001B5E82">
      <w:pPr>
        <w:pStyle w:val="NormalWeb"/>
        <w:rPr>
          <w:rFonts w:ascii="Calibri" w:hAnsi="Calibri" w:cs="Calibri"/>
          <w:color w:val="000000"/>
          <w:sz w:val="27"/>
          <w:szCs w:val="27"/>
        </w:rPr>
      </w:pPr>
      <w:r w:rsidRPr="001B5E82">
        <w:rPr>
          <w:rFonts w:ascii="Calibri" w:hAnsi="Calibri" w:cs="Calibri"/>
          <w:color w:val="000000"/>
          <w:sz w:val="27"/>
          <w:szCs w:val="27"/>
        </w:rPr>
        <w:t>‌</w:t>
      </w:r>
    </w:p>
    <w:p w14:paraId="0441722E" w14:textId="77777777" w:rsidR="003B3F60" w:rsidRPr="003B3F60" w:rsidRDefault="003B3F60" w:rsidP="003B3F60">
      <w:pPr>
        <w:pStyle w:val="NormalWeb"/>
        <w:rPr>
          <w:rFonts w:ascii="Calibri" w:hAnsi="Calibri" w:cs="Calibri"/>
          <w:color w:val="000000"/>
          <w:sz w:val="27"/>
          <w:szCs w:val="27"/>
        </w:rPr>
      </w:pPr>
    </w:p>
    <w:p w14:paraId="03005637" w14:textId="5DC5F213" w:rsidR="00531D41" w:rsidRPr="00803234" w:rsidRDefault="003B3F60" w:rsidP="003B3F60">
      <w:pPr>
        <w:pStyle w:val="NormalWeb"/>
        <w:rPr>
          <w:rFonts w:ascii="Calibri" w:hAnsi="Calibri" w:cs="Calibri"/>
          <w:color w:val="000000"/>
          <w:sz w:val="27"/>
          <w:szCs w:val="27"/>
        </w:rPr>
      </w:pPr>
      <w:r w:rsidRPr="003B3F60">
        <w:rPr>
          <w:rFonts w:ascii="Calibri" w:hAnsi="Calibri" w:cs="Calibri"/>
          <w:color w:val="000000"/>
          <w:sz w:val="27"/>
          <w:szCs w:val="27"/>
        </w:rPr>
        <w:t>‌</w:t>
      </w:r>
    </w:p>
    <w:sectPr w:rsidR="00531D41" w:rsidRPr="008032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9DE"/>
    <w:rsid w:val="00002FB7"/>
    <w:rsid w:val="00007693"/>
    <w:rsid w:val="000569DE"/>
    <w:rsid w:val="000948D2"/>
    <w:rsid w:val="00103434"/>
    <w:rsid w:val="00173C75"/>
    <w:rsid w:val="001B5E82"/>
    <w:rsid w:val="001D533A"/>
    <w:rsid w:val="002048C1"/>
    <w:rsid w:val="002226B2"/>
    <w:rsid w:val="0030500D"/>
    <w:rsid w:val="00305791"/>
    <w:rsid w:val="00307B3D"/>
    <w:rsid w:val="0037480E"/>
    <w:rsid w:val="003B3F60"/>
    <w:rsid w:val="003D5FBA"/>
    <w:rsid w:val="003F2360"/>
    <w:rsid w:val="00424C63"/>
    <w:rsid w:val="00442FFC"/>
    <w:rsid w:val="004F7FC8"/>
    <w:rsid w:val="00507EB8"/>
    <w:rsid w:val="00513A57"/>
    <w:rsid w:val="00531D41"/>
    <w:rsid w:val="00533EC4"/>
    <w:rsid w:val="00551DDC"/>
    <w:rsid w:val="00564BBC"/>
    <w:rsid w:val="0059046F"/>
    <w:rsid w:val="005B0D8A"/>
    <w:rsid w:val="005C5287"/>
    <w:rsid w:val="005C63BF"/>
    <w:rsid w:val="005F5709"/>
    <w:rsid w:val="00610B00"/>
    <w:rsid w:val="0064788E"/>
    <w:rsid w:val="006F009A"/>
    <w:rsid w:val="00784E1C"/>
    <w:rsid w:val="007D4047"/>
    <w:rsid w:val="00803234"/>
    <w:rsid w:val="008516D7"/>
    <w:rsid w:val="008A23EA"/>
    <w:rsid w:val="008F27FE"/>
    <w:rsid w:val="009876E5"/>
    <w:rsid w:val="009F1F9B"/>
    <w:rsid w:val="00A017EF"/>
    <w:rsid w:val="00A50A7E"/>
    <w:rsid w:val="00A836A7"/>
    <w:rsid w:val="00AA56CA"/>
    <w:rsid w:val="00AB7B1A"/>
    <w:rsid w:val="00AC3BE7"/>
    <w:rsid w:val="00AD0F84"/>
    <w:rsid w:val="00B17A6D"/>
    <w:rsid w:val="00B50823"/>
    <w:rsid w:val="00B50E58"/>
    <w:rsid w:val="00B719CE"/>
    <w:rsid w:val="00B7406C"/>
    <w:rsid w:val="00B878D1"/>
    <w:rsid w:val="00BB457E"/>
    <w:rsid w:val="00D13EE8"/>
    <w:rsid w:val="00D17B70"/>
    <w:rsid w:val="00E81728"/>
    <w:rsid w:val="00EE040B"/>
    <w:rsid w:val="00F16E92"/>
    <w:rsid w:val="00F30BD2"/>
    <w:rsid w:val="00FB3344"/>
    <w:rsid w:val="00FB60DC"/>
    <w:rsid w:val="00FE1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925BE"/>
  <w15:docId w15:val="{93792506-5B90-4661-A0B8-2F937C6AC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48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73C75"/>
    <w:rPr>
      <w:color w:val="0563C1" w:themeColor="hyperlink"/>
      <w:u w:val="single"/>
    </w:rPr>
  </w:style>
  <w:style w:type="character" w:styleId="UnresolvedMention">
    <w:name w:val="Unresolved Mention"/>
    <w:basedOn w:val="DefaultParagraphFont"/>
    <w:uiPriority w:val="99"/>
    <w:semiHidden/>
    <w:unhideWhenUsed/>
    <w:rsid w:val="00173C75"/>
    <w:rPr>
      <w:color w:val="605E5C"/>
      <w:shd w:val="clear" w:color="auto" w:fill="E1DFDD"/>
    </w:rPr>
  </w:style>
  <w:style w:type="character" w:styleId="FollowedHyperlink">
    <w:name w:val="FollowedHyperlink"/>
    <w:basedOn w:val="DefaultParagraphFont"/>
    <w:uiPriority w:val="99"/>
    <w:semiHidden/>
    <w:unhideWhenUsed/>
    <w:rsid w:val="00B878D1"/>
    <w:rPr>
      <w:color w:val="954F72" w:themeColor="followedHyperlink"/>
      <w:u w:val="single"/>
    </w:rPr>
  </w:style>
  <w:style w:type="character" w:customStyle="1" w:styleId="Heading1Char">
    <w:name w:val="Heading 1 Char"/>
    <w:basedOn w:val="DefaultParagraphFont"/>
    <w:link w:val="Heading1"/>
    <w:uiPriority w:val="9"/>
    <w:rsid w:val="0037480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3F23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9876E5"/>
    <w:rPr>
      <w:sz w:val="16"/>
      <w:szCs w:val="16"/>
    </w:rPr>
  </w:style>
  <w:style w:type="paragraph" w:styleId="CommentText">
    <w:name w:val="annotation text"/>
    <w:basedOn w:val="Normal"/>
    <w:link w:val="CommentTextChar"/>
    <w:uiPriority w:val="99"/>
    <w:unhideWhenUsed/>
    <w:rsid w:val="009876E5"/>
    <w:pPr>
      <w:spacing w:line="240" w:lineRule="auto"/>
    </w:pPr>
    <w:rPr>
      <w:sz w:val="20"/>
      <w:szCs w:val="20"/>
    </w:rPr>
  </w:style>
  <w:style w:type="character" w:customStyle="1" w:styleId="CommentTextChar">
    <w:name w:val="Comment Text Char"/>
    <w:basedOn w:val="DefaultParagraphFont"/>
    <w:link w:val="CommentText"/>
    <w:uiPriority w:val="99"/>
    <w:rsid w:val="009876E5"/>
    <w:rPr>
      <w:sz w:val="20"/>
      <w:szCs w:val="20"/>
    </w:rPr>
  </w:style>
  <w:style w:type="paragraph" w:styleId="CommentSubject">
    <w:name w:val="annotation subject"/>
    <w:basedOn w:val="CommentText"/>
    <w:next w:val="CommentText"/>
    <w:link w:val="CommentSubjectChar"/>
    <w:uiPriority w:val="99"/>
    <w:semiHidden/>
    <w:unhideWhenUsed/>
    <w:rsid w:val="009876E5"/>
    <w:rPr>
      <w:b/>
      <w:bCs/>
    </w:rPr>
  </w:style>
  <w:style w:type="character" w:customStyle="1" w:styleId="CommentSubjectChar">
    <w:name w:val="Comment Subject Char"/>
    <w:basedOn w:val="CommentTextChar"/>
    <w:link w:val="CommentSubject"/>
    <w:uiPriority w:val="99"/>
    <w:semiHidden/>
    <w:rsid w:val="009876E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6029767">
      <w:bodyDiv w:val="1"/>
      <w:marLeft w:val="0"/>
      <w:marRight w:val="0"/>
      <w:marTop w:val="0"/>
      <w:marBottom w:val="0"/>
      <w:divBdr>
        <w:top w:val="none" w:sz="0" w:space="0" w:color="auto"/>
        <w:left w:val="none" w:sz="0" w:space="0" w:color="auto"/>
        <w:bottom w:val="none" w:sz="0" w:space="0" w:color="auto"/>
        <w:right w:val="none" w:sz="0" w:space="0" w:color="auto"/>
      </w:divBdr>
    </w:div>
    <w:div w:id="298846291">
      <w:bodyDiv w:val="1"/>
      <w:marLeft w:val="0"/>
      <w:marRight w:val="0"/>
      <w:marTop w:val="0"/>
      <w:marBottom w:val="0"/>
      <w:divBdr>
        <w:top w:val="none" w:sz="0" w:space="0" w:color="auto"/>
        <w:left w:val="none" w:sz="0" w:space="0" w:color="auto"/>
        <w:bottom w:val="none" w:sz="0" w:space="0" w:color="auto"/>
        <w:right w:val="none" w:sz="0" w:space="0" w:color="auto"/>
      </w:divBdr>
    </w:div>
    <w:div w:id="342635514">
      <w:bodyDiv w:val="1"/>
      <w:marLeft w:val="0"/>
      <w:marRight w:val="0"/>
      <w:marTop w:val="0"/>
      <w:marBottom w:val="0"/>
      <w:divBdr>
        <w:top w:val="none" w:sz="0" w:space="0" w:color="auto"/>
        <w:left w:val="none" w:sz="0" w:space="0" w:color="auto"/>
        <w:bottom w:val="none" w:sz="0" w:space="0" w:color="auto"/>
        <w:right w:val="none" w:sz="0" w:space="0" w:color="auto"/>
      </w:divBdr>
    </w:div>
    <w:div w:id="343748153">
      <w:bodyDiv w:val="1"/>
      <w:marLeft w:val="0"/>
      <w:marRight w:val="0"/>
      <w:marTop w:val="0"/>
      <w:marBottom w:val="0"/>
      <w:divBdr>
        <w:top w:val="none" w:sz="0" w:space="0" w:color="auto"/>
        <w:left w:val="none" w:sz="0" w:space="0" w:color="auto"/>
        <w:bottom w:val="none" w:sz="0" w:space="0" w:color="auto"/>
        <w:right w:val="none" w:sz="0" w:space="0" w:color="auto"/>
      </w:divBdr>
    </w:div>
    <w:div w:id="429282177">
      <w:bodyDiv w:val="1"/>
      <w:marLeft w:val="0"/>
      <w:marRight w:val="0"/>
      <w:marTop w:val="0"/>
      <w:marBottom w:val="0"/>
      <w:divBdr>
        <w:top w:val="none" w:sz="0" w:space="0" w:color="auto"/>
        <w:left w:val="none" w:sz="0" w:space="0" w:color="auto"/>
        <w:bottom w:val="none" w:sz="0" w:space="0" w:color="auto"/>
        <w:right w:val="none" w:sz="0" w:space="0" w:color="auto"/>
      </w:divBdr>
    </w:div>
    <w:div w:id="748890677">
      <w:bodyDiv w:val="1"/>
      <w:marLeft w:val="0"/>
      <w:marRight w:val="0"/>
      <w:marTop w:val="0"/>
      <w:marBottom w:val="0"/>
      <w:divBdr>
        <w:top w:val="none" w:sz="0" w:space="0" w:color="auto"/>
        <w:left w:val="none" w:sz="0" w:space="0" w:color="auto"/>
        <w:bottom w:val="none" w:sz="0" w:space="0" w:color="auto"/>
        <w:right w:val="none" w:sz="0" w:space="0" w:color="auto"/>
      </w:divBdr>
    </w:div>
    <w:div w:id="823745097">
      <w:bodyDiv w:val="1"/>
      <w:marLeft w:val="0"/>
      <w:marRight w:val="0"/>
      <w:marTop w:val="0"/>
      <w:marBottom w:val="0"/>
      <w:divBdr>
        <w:top w:val="none" w:sz="0" w:space="0" w:color="auto"/>
        <w:left w:val="none" w:sz="0" w:space="0" w:color="auto"/>
        <w:bottom w:val="none" w:sz="0" w:space="0" w:color="auto"/>
        <w:right w:val="none" w:sz="0" w:space="0" w:color="auto"/>
      </w:divBdr>
    </w:div>
    <w:div w:id="994457492">
      <w:bodyDiv w:val="1"/>
      <w:marLeft w:val="0"/>
      <w:marRight w:val="0"/>
      <w:marTop w:val="0"/>
      <w:marBottom w:val="0"/>
      <w:divBdr>
        <w:top w:val="none" w:sz="0" w:space="0" w:color="auto"/>
        <w:left w:val="none" w:sz="0" w:space="0" w:color="auto"/>
        <w:bottom w:val="none" w:sz="0" w:space="0" w:color="auto"/>
        <w:right w:val="none" w:sz="0" w:space="0" w:color="auto"/>
      </w:divBdr>
    </w:div>
    <w:div w:id="1127308985">
      <w:bodyDiv w:val="1"/>
      <w:marLeft w:val="0"/>
      <w:marRight w:val="0"/>
      <w:marTop w:val="0"/>
      <w:marBottom w:val="0"/>
      <w:divBdr>
        <w:top w:val="none" w:sz="0" w:space="0" w:color="auto"/>
        <w:left w:val="none" w:sz="0" w:space="0" w:color="auto"/>
        <w:bottom w:val="none" w:sz="0" w:space="0" w:color="auto"/>
        <w:right w:val="none" w:sz="0" w:space="0" w:color="auto"/>
      </w:divBdr>
    </w:div>
    <w:div w:id="1223369138">
      <w:bodyDiv w:val="1"/>
      <w:marLeft w:val="0"/>
      <w:marRight w:val="0"/>
      <w:marTop w:val="0"/>
      <w:marBottom w:val="0"/>
      <w:divBdr>
        <w:top w:val="none" w:sz="0" w:space="0" w:color="auto"/>
        <w:left w:val="none" w:sz="0" w:space="0" w:color="auto"/>
        <w:bottom w:val="none" w:sz="0" w:space="0" w:color="auto"/>
        <w:right w:val="none" w:sz="0" w:space="0" w:color="auto"/>
      </w:divBdr>
    </w:div>
    <w:div w:id="1559052056">
      <w:bodyDiv w:val="1"/>
      <w:marLeft w:val="0"/>
      <w:marRight w:val="0"/>
      <w:marTop w:val="0"/>
      <w:marBottom w:val="0"/>
      <w:divBdr>
        <w:top w:val="none" w:sz="0" w:space="0" w:color="auto"/>
        <w:left w:val="none" w:sz="0" w:space="0" w:color="auto"/>
        <w:bottom w:val="none" w:sz="0" w:space="0" w:color="auto"/>
        <w:right w:val="none" w:sz="0" w:space="0" w:color="auto"/>
      </w:divBdr>
    </w:div>
    <w:div w:id="1617713538">
      <w:bodyDiv w:val="1"/>
      <w:marLeft w:val="0"/>
      <w:marRight w:val="0"/>
      <w:marTop w:val="0"/>
      <w:marBottom w:val="0"/>
      <w:divBdr>
        <w:top w:val="none" w:sz="0" w:space="0" w:color="auto"/>
        <w:left w:val="none" w:sz="0" w:space="0" w:color="auto"/>
        <w:bottom w:val="none" w:sz="0" w:space="0" w:color="auto"/>
        <w:right w:val="none" w:sz="0" w:space="0" w:color="auto"/>
      </w:divBdr>
    </w:div>
    <w:div w:id="1816601099">
      <w:bodyDiv w:val="1"/>
      <w:marLeft w:val="0"/>
      <w:marRight w:val="0"/>
      <w:marTop w:val="0"/>
      <w:marBottom w:val="0"/>
      <w:divBdr>
        <w:top w:val="none" w:sz="0" w:space="0" w:color="auto"/>
        <w:left w:val="none" w:sz="0" w:space="0" w:color="auto"/>
        <w:bottom w:val="none" w:sz="0" w:space="0" w:color="auto"/>
        <w:right w:val="none" w:sz="0" w:space="0" w:color="auto"/>
      </w:divBdr>
    </w:div>
    <w:div w:id="1908491141">
      <w:bodyDiv w:val="1"/>
      <w:marLeft w:val="0"/>
      <w:marRight w:val="0"/>
      <w:marTop w:val="0"/>
      <w:marBottom w:val="0"/>
      <w:divBdr>
        <w:top w:val="none" w:sz="0" w:space="0" w:color="auto"/>
        <w:left w:val="none" w:sz="0" w:space="0" w:color="auto"/>
        <w:bottom w:val="none" w:sz="0" w:space="0" w:color="auto"/>
        <w:right w:val="none" w:sz="0" w:space="0" w:color="auto"/>
      </w:divBdr>
    </w:div>
    <w:div w:id="1971206957">
      <w:bodyDiv w:val="1"/>
      <w:marLeft w:val="0"/>
      <w:marRight w:val="0"/>
      <w:marTop w:val="0"/>
      <w:marBottom w:val="0"/>
      <w:divBdr>
        <w:top w:val="none" w:sz="0" w:space="0" w:color="auto"/>
        <w:left w:val="none" w:sz="0" w:space="0" w:color="auto"/>
        <w:bottom w:val="none" w:sz="0" w:space="0" w:color="auto"/>
        <w:right w:val="none" w:sz="0" w:space="0" w:color="auto"/>
      </w:divBdr>
    </w:div>
    <w:div w:id="20027361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tce.researchinpractice.org.uk/wp-content/uploads/2022/02/2757_TCE_Education__Exploitation_report_v2.pdf" TargetMode="External"/><Relationship Id="rId13" Type="http://schemas.openxmlformats.org/officeDocument/2006/relationships/hyperlink" Target="https://www.aru.ac.uk/-/media/Files/pier/The-National-MAPPA-Research-Process-effectiveness-report.pdf" TargetMode="External"/><Relationship Id="rId18" Type="http://schemas.openxmlformats.org/officeDocument/2006/relationships/hyperlink" Target="https://doi.org/10.2139/ssrn.887737" TargetMode="External"/><Relationship Id="rId3" Type="http://schemas.openxmlformats.org/officeDocument/2006/relationships/webSettings" Target="webSettings.xml"/><Relationship Id="rId7" Type="http://schemas.openxmlformats.org/officeDocument/2006/relationships/hyperlink" Target="https://journals.sagepub.com/doi/full/10.1177/0306624X18806742" TargetMode="External"/><Relationship Id="rId12" Type="http://schemas.openxmlformats.org/officeDocument/2006/relationships/hyperlink" Target="https://www.apccs.police.uk/media/5817/diversity-equality-and-inclusion-in-policing-2019-report.pdf" TargetMode="External"/><Relationship Id="rId17" Type="http://schemas.openxmlformats.org/officeDocument/2006/relationships/hyperlink" Target="https://www.polfed.org/westmids/advice-regs/misconduct/" TargetMode="External"/><Relationship Id="rId2" Type="http://schemas.openxmlformats.org/officeDocument/2006/relationships/settings" Target="settings.xml"/><Relationship Id="rId16" Type="http://schemas.openxmlformats.org/officeDocument/2006/relationships/hyperlink" Target="https://www.college.police.uk/guidance/vetting-code-practice"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doi.org/10.1007/s12117-019-09368-5" TargetMode="External"/><Relationship Id="rId11" Type="http://schemas.openxmlformats.org/officeDocument/2006/relationships/hyperlink" Target="https://www.policeconduct.gov.uk/sites/default/files/documents/national-stop-and-search-survey-report-oct-2023.pdf" TargetMode="External"/><Relationship Id="rId5" Type="http://schemas.openxmlformats.org/officeDocument/2006/relationships/hyperlink" Target="https://doi.org/10.1002/jcop.22767" TargetMode="External"/><Relationship Id="rId15" Type="http://schemas.openxmlformats.org/officeDocument/2006/relationships/hyperlink" Target="https://www.instituteforgovernment.org.uk/sites/default/files/2024-01/performance-tracker-2023.pdf" TargetMode="External"/><Relationship Id="rId10" Type="http://schemas.openxmlformats.org/officeDocument/2006/relationships/hyperlink" Target="https://www.theguardian.com/law/2019/oct/18/more-bame-people-likely-to-be-targeted-under-relaxed-stop-and-search-rules" TargetMode="External"/><Relationship Id="rId19" Type="http://schemas.openxmlformats.org/officeDocument/2006/relationships/fontTable" Target="fontTable.xml"/><Relationship Id="rId4" Type="http://schemas.openxmlformats.org/officeDocument/2006/relationships/hyperlink" Target="https://www.uea.ac.uk/about/news/article/new-analysis-highlights-impact-of-poverty-and-exploitation-on-children-s-lives" TargetMode="External"/><Relationship Id="rId9" Type="http://schemas.openxmlformats.org/officeDocument/2006/relationships/hyperlink" Target="https://www.equalityhumanrights.com/sites/default/files/ehrc_stop_and_search_report.pdf" TargetMode="External"/><Relationship Id="rId14" Type="http://schemas.openxmlformats.org/officeDocument/2006/relationships/hyperlink" Target="https://www.instituteforgovernment.org.uk/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1502</TotalTime>
  <Pages>11</Pages>
  <Words>4699</Words>
  <Characters>26788</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Forsyth, Rowan</dc:creator>
  <cp:keywords/>
  <dc:description/>
  <cp:lastModifiedBy>Rowan Forsyth (2222759)</cp:lastModifiedBy>
  <cp:revision>18</cp:revision>
  <dcterms:created xsi:type="dcterms:W3CDTF">2024-01-29T14:27:00Z</dcterms:created>
  <dcterms:modified xsi:type="dcterms:W3CDTF">2024-03-04T16:45:00Z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2024-01-11T14:27:24Z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6b5083b0-ed92-415f-a3d0-02e52e74b0e4</vt:lpwstr>
  </property>
  <property fmtid="{D5CDD505-2E9C-101B-9397-08002B2CF9AE}" pid="8" name="MSIP_Label_f2acd28b-79a3-4a0f-b0ff-4b75658b1549_ContentBits">
    <vt:lpwstr>0</vt:lpwstr>
  </property>
</Properties>
</file>