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E05D4" w14:textId="77777777" w:rsidR="0062781F" w:rsidRDefault="0062781F" w:rsidP="0062781F">
      <w:pPr>
        <w:jc w:val="center"/>
        <w:rPr>
          <w:sz w:val="32"/>
          <w:szCs w:val="32"/>
        </w:rPr>
      </w:pPr>
      <w:r>
        <w:rPr>
          <w:noProof/>
        </w:rPr>
        <w:drawing>
          <wp:inline distT="0" distB="0" distL="0" distR="0" wp14:anchorId="2703D6C7" wp14:editId="59534843">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3AB4F515" w14:textId="77777777" w:rsidR="0062781F" w:rsidRDefault="0062781F" w:rsidP="0062781F">
      <w:pPr>
        <w:jc w:val="center"/>
        <w:rPr>
          <w:sz w:val="32"/>
          <w:szCs w:val="32"/>
        </w:rPr>
      </w:pPr>
    </w:p>
    <w:p w14:paraId="20AFDCA6" w14:textId="6DCD0522" w:rsidR="0062781F" w:rsidRPr="00F4799C" w:rsidRDefault="0062781F" w:rsidP="0062781F">
      <w:pPr>
        <w:jc w:val="center"/>
        <w:rPr>
          <w:rFonts w:asciiTheme="minorBidi" w:hAnsiTheme="minorBidi"/>
          <w:b/>
          <w:bCs/>
          <w:sz w:val="28"/>
          <w:szCs w:val="28"/>
        </w:rPr>
      </w:pPr>
      <w:r w:rsidRPr="00F4799C">
        <w:rPr>
          <w:rFonts w:asciiTheme="minorBidi" w:hAnsiTheme="minorBidi"/>
          <w:b/>
          <w:bCs/>
          <w:sz w:val="28"/>
          <w:szCs w:val="28"/>
        </w:rPr>
        <w:t>Student Name:</w:t>
      </w:r>
      <w:r>
        <w:rPr>
          <w:rFonts w:asciiTheme="minorBidi" w:hAnsiTheme="minorBidi"/>
          <w:b/>
          <w:bCs/>
          <w:sz w:val="28"/>
          <w:szCs w:val="28"/>
        </w:rPr>
        <w:t xml:space="preserve"> Nikki Lotiwan </w:t>
      </w:r>
    </w:p>
    <w:p w14:paraId="20CCF516" w14:textId="6D4AED00" w:rsidR="0062781F" w:rsidRDefault="0062781F" w:rsidP="0062781F">
      <w:pPr>
        <w:jc w:val="center"/>
        <w:rPr>
          <w:rFonts w:asciiTheme="minorBidi" w:hAnsiTheme="minorBidi"/>
          <w:b/>
          <w:bCs/>
          <w:sz w:val="28"/>
          <w:szCs w:val="28"/>
        </w:rPr>
      </w:pPr>
      <w:r w:rsidRPr="00F4799C">
        <w:rPr>
          <w:rFonts w:asciiTheme="minorBidi" w:hAnsiTheme="minorBidi"/>
          <w:b/>
          <w:bCs/>
          <w:sz w:val="28"/>
          <w:szCs w:val="28"/>
        </w:rPr>
        <w:t>Student ID:</w:t>
      </w:r>
      <w:r>
        <w:rPr>
          <w:rFonts w:asciiTheme="minorBidi" w:hAnsiTheme="minorBidi"/>
          <w:b/>
          <w:bCs/>
          <w:sz w:val="28"/>
          <w:szCs w:val="28"/>
        </w:rPr>
        <w:t xml:space="preserve"> 2518745</w:t>
      </w:r>
    </w:p>
    <w:p w14:paraId="4BAFAA48" w14:textId="77777777" w:rsidR="0062781F" w:rsidRPr="0062781F" w:rsidRDefault="0062781F" w:rsidP="0062781F">
      <w:pPr>
        <w:jc w:val="center"/>
        <w:rPr>
          <w:rFonts w:asciiTheme="minorBidi" w:hAnsiTheme="minorBidi"/>
          <w:b/>
          <w:bCs/>
          <w:sz w:val="28"/>
          <w:szCs w:val="28"/>
        </w:rPr>
      </w:pPr>
    </w:p>
    <w:p w14:paraId="24BB28B3" w14:textId="3E412188" w:rsidR="0062781F" w:rsidRPr="00F4799C" w:rsidRDefault="0062781F" w:rsidP="0062781F">
      <w:pPr>
        <w:jc w:val="center"/>
        <w:rPr>
          <w:rFonts w:asciiTheme="minorBidi" w:hAnsiTheme="minorBidi"/>
          <w:b/>
          <w:bCs/>
          <w:sz w:val="28"/>
          <w:szCs w:val="28"/>
        </w:rPr>
      </w:pPr>
      <w:r w:rsidRPr="00F4799C">
        <w:rPr>
          <w:rFonts w:asciiTheme="minorBidi" w:hAnsiTheme="minorBidi"/>
          <w:b/>
          <w:bCs/>
          <w:sz w:val="28"/>
          <w:szCs w:val="28"/>
        </w:rPr>
        <w:t xml:space="preserve">Module Name: </w:t>
      </w:r>
      <w:r>
        <w:rPr>
          <w:rFonts w:asciiTheme="minorBidi" w:hAnsiTheme="minorBidi"/>
          <w:b/>
          <w:bCs/>
          <w:sz w:val="28"/>
          <w:szCs w:val="28"/>
        </w:rPr>
        <w:t>Finance</w:t>
      </w:r>
      <w:r w:rsidRPr="00F4799C">
        <w:rPr>
          <w:rFonts w:asciiTheme="minorBidi" w:hAnsiTheme="minorBidi"/>
          <w:b/>
          <w:bCs/>
          <w:sz w:val="28"/>
          <w:szCs w:val="28"/>
        </w:rPr>
        <w:t xml:space="preserve"> Management</w:t>
      </w:r>
    </w:p>
    <w:p w14:paraId="4EF85990" w14:textId="684EFFE4" w:rsidR="0062781F" w:rsidRDefault="0062781F" w:rsidP="0062781F">
      <w:pPr>
        <w:jc w:val="center"/>
        <w:rPr>
          <w:rFonts w:asciiTheme="minorBidi" w:hAnsiTheme="minorBidi"/>
          <w:b/>
          <w:bCs/>
          <w:sz w:val="28"/>
          <w:szCs w:val="28"/>
        </w:rPr>
      </w:pPr>
      <w:r w:rsidRPr="00F4799C">
        <w:rPr>
          <w:rFonts w:asciiTheme="minorBidi" w:hAnsiTheme="minorBidi"/>
          <w:b/>
          <w:bCs/>
          <w:sz w:val="28"/>
          <w:szCs w:val="28"/>
        </w:rPr>
        <w:t>Module Code: LCMB70</w:t>
      </w:r>
      <w:r>
        <w:rPr>
          <w:rFonts w:asciiTheme="minorBidi" w:hAnsiTheme="minorBidi"/>
          <w:b/>
          <w:bCs/>
          <w:sz w:val="28"/>
          <w:szCs w:val="28"/>
        </w:rPr>
        <w:t>02</w:t>
      </w:r>
    </w:p>
    <w:p w14:paraId="0CE13D90" w14:textId="77777777" w:rsidR="0062781F" w:rsidRPr="00F4799C" w:rsidRDefault="0062781F" w:rsidP="0062781F">
      <w:pPr>
        <w:jc w:val="center"/>
        <w:rPr>
          <w:rFonts w:asciiTheme="minorBidi" w:hAnsiTheme="minorBidi"/>
          <w:b/>
          <w:bCs/>
          <w:sz w:val="28"/>
          <w:szCs w:val="28"/>
        </w:rPr>
      </w:pPr>
    </w:p>
    <w:p w14:paraId="75D9A48F" w14:textId="64177796" w:rsidR="0062781F" w:rsidRDefault="0062781F" w:rsidP="0062781F">
      <w:pPr>
        <w:jc w:val="center"/>
        <w:rPr>
          <w:rFonts w:asciiTheme="minorBidi" w:hAnsiTheme="minorBidi"/>
          <w:b/>
          <w:bCs/>
          <w:sz w:val="28"/>
          <w:szCs w:val="28"/>
        </w:rPr>
      </w:pPr>
      <w:r w:rsidRPr="00F4799C">
        <w:rPr>
          <w:rFonts w:asciiTheme="minorBidi" w:hAnsiTheme="minorBidi"/>
          <w:b/>
          <w:bCs/>
          <w:sz w:val="28"/>
          <w:szCs w:val="28"/>
        </w:rPr>
        <w:t>Lecturer’s Name:</w:t>
      </w:r>
      <w:r>
        <w:rPr>
          <w:rFonts w:asciiTheme="minorBidi" w:hAnsiTheme="minorBidi"/>
          <w:b/>
          <w:bCs/>
          <w:sz w:val="28"/>
          <w:szCs w:val="28"/>
        </w:rPr>
        <w:t xml:space="preserve"> Shenfeng Mei</w:t>
      </w:r>
    </w:p>
    <w:p w14:paraId="3AA7D021" w14:textId="77777777" w:rsidR="0062781F" w:rsidRPr="00F4799C" w:rsidRDefault="0062781F" w:rsidP="0062781F">
      <w:pPr>
        <w:jc w:val="center"/>
        <w:rPr>
          <w:rFonts w:asciiTheme="minorBidi" w:hAnsiTheme="minorBidi"/>
          <w:b/>
          <w:bCs/>
          <w:sz w:val="28"/>
          <w:szCs w:val="28"/>
        </w:rPr>
      </w:pPr>
    </w:p>
    <w:p w14:paraId="398AE8AD" w14:textId="5F02A2C1" w:rsidR="0062781F" w:rsidRPr="00F4799C" w:rsidRDefault="0062781F" w:rsidP="0062781F">
      <w:pPr>
        <w:jc w:val="center"/>
        <w:rPr>
          <w:rFonts w:asciiTheme="minorBidi" w:hAnsiTheme="minorBidi"/>
          <w:b/>
          <w:bCs/>
          <w:sz w:val="28"/>
          <w:szCs w:val="28"/>
        </w:rPr>
      </w:pPr>
      <w:r w:rsidRPr="00F4799C">
        <w:rPr>
          <w:rFonts w:asciiTheme="minorBidi" w:hAnsiTheme="minorBidi"/>
          <w:b/>
          <w:bCs/>
          <w:sz w:val="28"/>
          <w:szCs w:val="28"/>
        </w:rPr>
        <w:t>Work Count:</w:t>
      </w:r>
      <w:r w:rsidR="007E34CB">
        <w:rPr>
          <w:rFonts w:asciiTheme="minorBidi" w:hAnsiTheme="minorBidi"/>
          <w:b/>
          <w:bCs/>
          <w:sz w:val="28"/>
          <w:szCs w:val="28"/>
        </w:rPr>
        <w:t xml:space="preserve"> </w:t>
      </w:r>
      <w:r w:rsidR="00B36AB2">
        <w:rPr>
          <w:rFonts w:asciiTheme="minorBidi" w:hAnsiTheme="minorBidi"/>
          <w:b/>
          <w:bCs/>
          <w:sz w:val="28"/>
          <w:szCs w:val="28"/>
        </w:rPr>
        <w:t>5236</w:t>
      </w:r>
    </w:p>
    <w:p w14:paraId="210D0FE3" w14:textId="77777777" w:rsidR="0062781F" w:rsidRPr="00F4799C" w:rsidRDefault="0062781F" w:rsidP="0062781F">
      <w:pPr>
        <w:jc w:val="center"/>
        <w:rPr>
          <w:rFonts w:asciiTheme="minorBidi" w:hAnsiTheme="minorBidi"/>
          <w:b/>
          <w:bCs/>
          <w:sz w:val="28"/>
          <w:szCs w:val="28"/>
        </w:rPr>
      </w:pPr>
    </w:p>
    <w:p w14:paraId="74F39249" w14:textId="77777777" w:rsidR="0062781F" w:rsidRPr="00F4799C" w:rsidRDefault="0062781F" w:rsidP="0062781F">
      <w:pPr>
        <w:jc w:val="center"/>
        <w:rPr>
          <w:rFonts w:asciiTheme="minorBidi" w:hAnsiTheme="minorBidi"/>
          <w:b/>
          <w:bCs/>
          <w:sz w:val="28"/>
          <w:szCs w:val="28"/>
        </w:rPr>
      </w:pPr>
    </w:p>
    <w:p w14:paraId="06B7E48C" w14:textId="7050FB7E" w:rsidR="0020356A" w:rsidRPr="0062781F" w:rsidRDefault="0062781F" w:rsidP="0062781F">
      <w:pPr>
        <w:jc w:val="center"/>
        <w:rPr>
          <w:rFonts w:asciiTheme="minorBidi" w:hAnsiTheme="minorBidi"/>
          <w:b/>
          <w:bCs/>
          <w:sz w:val="28"/>
          <w:szCs w:val="28"/>
        </w:rPr>
      </w:pPr>
      <w:r w:rsidRPr="00F4799C">
        <w:rPr>
          <w:rFonts w:asciiTheme="minorBidi" w:hAnsiTheme="minorBidi"/>
          <w:b/>
          <w:bCs/>
          <w:sz w:val="28"/>
          <w:szCs w:val="28"/>
        </w:rPr>
        <w:t xml:space="preserve">Term </w:t>
      </w:r>
      <w:r>
        <w:rPr>
          <w:rFonts w:asciiTheme="minorBidi" w:hAnsiTheme="minorBidi"/>
          <w:b/>
          <w:bCs/>
          <w:sz w:val="28"/>
          <w:szCs w:val="28"/>
        </w:rPr>
        <w:t>1</w:t>
      </w:r>
      <w:r w:rsidR="0020356A">
        <w:rPr>
          <w:sz w:val="32"/>
          <w:szCs w:val="32"/>
        </w:rPr>
        <w:br w:type="page"/>
      </w:r>
    </w:p>
    <w:sdt>
      <w:sdtPr>
        <w:rPr>
          <w:rFonts w:ascii="Times New Roman" w:eastAsiaTheme="minorHAnsi" w:hAnsi="Times New Roman" w:cs="Times New Roman"/>
          <w:b/>
          <w:bCs/>
          <w:color w:val="auto"/>
          <w:sz w:val="28"/>
          <w:szCs w:val="28"/>
        </w:rPr>
        <w:id w:val="-1766909675"/>
        <w:docPartObj>
          <w:docPartGallery w:val="Table of Contents"/>
          <w:docPartUnique/>
        </w:docPartObj>
      </w:sdtPr>
      <w:sdtEndPr>
        <w:rPr>
          <w:rFonts w:asciiTheme="minorHAnsi" w:hAnsiTheme="minorHAnsi" w:cstheme="minorBidi"/>
          <w:noProof/>
          <w:sz w:val="22"/>
          <w:szCs w:val="22"/>
        </w:rPr>
      </w:sdtEndPr>
      <w:sdtContent>
        <w:p w14:paraId="6D7A6825" w14:textId="5E179FBD" w:rsidR="0020356A" w:rsidRDefault="0020356A" w:rsidP="00E13F34">
          <w:pPr>
            <w:pStyle w:val="TOCHeading"/>
            <w:spacing w:line="360" w:lineRule="auto"/>
            <w:jc w:val="center"/>
            <w:rPr>
              <w:rFonts w:ascii="Times New Roman" w:hAnsi="Times New Roman" w:cs="Times New Roman"/>
              <w:b/>
              <w:bCs/>
              <w:color w:val="auto"/>
              <w:sz w:val="28"/>
              <w:szCs w:val="28"/>
            </w:rPr>
          </w:pPr>
          <w:r w:rsidRPr="0020356A">
            <w:rPr>
              <w:rFonts w:ascii="Times New Roman" w:hAnsi="Times New Roman" w:cs="Times New Roman"/>
              <w:b/>
              <w:bCs/>
              <w:color w:val="auto"/>
              <w:sz w:val="28"/>
              <w:szCs w:val="28"/>
            </w:rPr>
            <w:t>Table of Contents</w:t>
          </w:r>
        </w:p>
        <w:p w14:paraId="53E232E8" w14:textId="492FF670" w:rsidR="0069537B" w:rsidRPr="006C42EA" w:rsidRDefault="0069537B" w:rsidP="0069537B">
          <w:pPr>
            <w:pStyle w:val="ListParagraph"/>
            <w:numPr>
              <w:ilvl w:val="0"/>
              <w:numId w:val="61"/>
            </w:numPr>
            <w:rPr>
              <w:rFonts w:ascii="Times New Roman" w:hAnsi="Times New Roman" w:cs="Times New Roman"/>
              <w:sz w:val="24"/>
              <w:szCs w:val="24"/>
            </w:rPr>
          </w:pPr>
          <w:r w:rsidRPr="006C42EA">
            <w:rPr>
              <w:rFonts w:ascii="Times New Roman" w:hAnsi="Times New Roman" w:cs="Times New Roman"/>
              <w:sz w:val="24"/>
              <w:szCs w:val="24"/>
            </w:rPr>
            <w:t>Introduction</w:t>
          </w:r>
          <w:r w:rsidR="006C42EA">
            <w:rPr>
              <w:rFonts w:ascii="Times New Roman" w:hAnsi="Times New Roman" w:cs="Times New Roman"/>
              <w:sz w:val="24"/>
              <w:szCs w:val="24"/>
            </w:rPr>
            <w:t>……………………………………………………………………………….4</w:t>
          </w:r>
        </w:p>
        <w:p w14:paraId="04F0154C" w14:textId="72B2E48F" w:rsidR="00E13F34" w:rsidRPr="00E13F34" w:rsidRDefault="0020356A" w:rsidP="00440F84">
          <w:pPr>
            <w:pStyle w:val="TOC1"/>
            <w:rPr>
              <w:rFonts w:eastAsiaTheme="minorEastAsia"/>
              <w:noProof/>
            </w:rPr>
          </w:pPr>
          <w:r>
            <w:fldChar w:fldCharType="begin"/>
          </w:r>
          <w:r>
            <w:instrText xml:space="preserve"> TOC \o "1-3" \h \z \u </w:instrText>
          </w:r>
          <w:r>
            <w:fldChar w:fldCharType="separate"/>
          </w:r>
          <w:hyperlink w:anchor="_Toc228106290" w:history="1">
            <w:r w:rsidR="0069537B">
              <w:rPr>
                <w:rStyle w:val="Hyperlink"/>
                <w:noProof/>
                <w:sz w:val="24"/>
                <w:szCs w:val="24"/>
              </w:rPr>
              <w:t>2</w:t>
            </w:r>
            <w:r w:rsidR="00E13F34" w:rsidRPr="00E13F34">
              <w:rPr>
                <w:rStyle w:val="Hyperlink"/>
                <w:noProof/>
                <w:sz w:val="24"/>
                <w:szCs w:val="24"/>
              </w:rPr>
              <w:t>. Financial Health Check</w:t>
            </w:r>
            <w:r w:rsidR="00E13F34" w:rsidRPr="00E13F34">
              <w:rPr>
                <w:noProof/>
                <w:webHidden/>
              </w:rPr>
              <w:tab/>
            </w:r>
            <w:r w:rsidR="00E13F34" w:rsidRPr="00E13F34">
              <w:rPr>
                <w:noProof/>
                <w:webHidden/>
              </w:rPr>
              <w:fldChar w:fldCharType="begin"/>
            </w:r>
            <w:r w:rsidR="00E13F34" w:rsidRPr="00E13F34">
              <w:rPr>
                <w:noProof/>
                <w:webHidden/>
              </w:rPr>
              <w:instrText xml:space="preserve"> PAGEREF _Toc228106290 \h </w:instrText>
            </w:r>
            <w:r w:rsidR="00E13F34" w:rsidRPr="00E13F34">
              <w:rPr>
                <w:noProof/>
                <w:webHidden/>
              </w:rPr>
            </w:r>
            <w:r w:rsidR="00E13F34" w:rsidRPr="00E13F34">
              <w:rPr>
                <w:noProof/>
                <w:webHidden/>
              </w:rPr>
              <w:fldChar w:fldCharType="separate"/>
            </w:r>
            <w:r w:rsidR="006C42EA">
              <w:rPr>
                <w:noProof/>
                <w:webHidden/>
              </w:rPr>
              <w:t>4</w:t>
            </w:r>
            <w:r w:rsidR="00E13F34" w:rsidRPr="00E13F34">
              <w:rPr>
                <w:noProof/>
                <w:webHidden/>
              </w:rPr>
              <w:fldChar w:fldCharType="end"/>
            </w:r>
          </w:hyperlink>
        </w:p>
        <w:p w14:paraId="096DA847" w14:textId="4CC365BE" w:rsidR="00E13F34" w:rsidRPr="00E13F34" w:rsidRDefault="0069537B"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291" w:history="1">
            <w:r>
              <w:rPr>
                <w:rStyle w:val="Hyperlink"/>
                <w:rFonts w:ascii="Times New Roman" w:hAnsi="Times New Roman" w:cs="Times New Roman"/>
                <w:noProof/>
                <w:sz w:val="24"/>
                <w:szCs w:val="24"/>
              </w:rPr>
              <w:t>2</w:t>
            </w:r>
            <w:r w:rsidR="00E13F34" w:rsidRPr="00E13F34">
              <w:rPr>
                <w:rStyle w:val="Hyperlink"/>
                <w:rFonts w:ascii="Times New Roman" w:hAnsi="Times New Roman" w:cs="Times New Roman"/>
                <w:noProof/>
                <w:sz w:val="24"/>
                <w:szCs w:val="24"/>
              </w:rPr>
              <w:t>.1 Overview of Financial Performance</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_Toc228106291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sidR="006C42EA">
              <w:rPr>
                <w:rFonts w:ascii="Times New Roman" w:hAnsi="Times New Roman" w:cs="Times New Roman"/>
                <w:noProof/>
                <w:webHidden/>
                <w:sz w:val="24"/>
                <w:szCs w:val="24"/>
              </w:rPr>
              <w:t>4</w:t>
            </w:r>
            <w:r w:rsidR="00E13F34" w:rsidRPr="00E13F34">
              <w:rPr>
                <w:rFonts w:ascii="Times New Roman" w:hAnsi="Times New Roman" w:cs="Times New Roman"/>
                <w:noProof/>
                <w:webHidden/>
                <w:sz w:val="24"/>
                <w:szCs w:val="24"/>
              </w:rPr>
              <w:fldChar w:fldCharType="end"/>
            </w:r>
          </w:hyperlink>
        </w:p>
        <w:p w14:paraId="4EDD70F4" w14:textId="7F940D38" w:rsidR="00E13F34" w:rsidRPr="00E13F34" w:rsidRDefault="0069537B"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292" w:history="1">
            <w:r>
              <w:rPr>
                <w:rStyle w:val="Hyperlink"/>
                <w:rFonts w:ascii="Times New Roman" w:hAnsi="Times New Roman" w:cs="Times New Roman"/>
                <w:noProof/>
                <w:sz w:val="24"/>
                <w:szCs w:val="24"/>
              </w:rPr>
              <w:t>2</w:t>
            </w:r>
            <w:r w:rsidR="00E13F34" w:rsidRPr="00E13F34">
              <w:rPr>
                <w:rStyle w:val="Hyperlink"/>
                <w:rFonts w:ascii="Times New Roman" w:hAnsi="Times New Roman" w:cs="Times New Roman"/>
                <w:noProof/>
                <w:sz w:val="24"/>
                <w:szCs w:val="24"/>
              </w:rPr>
              <w:t>.2 Ratio Analysis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_Toc228106292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sidR="006C42EA">
              <w:rPr>
                <w:rFonts w:ascii="Times New Roman" w:hAnsi="Times New Roman" w:cs="Times New Roman"/>
                <w:noProof/>
                <w:webHidden/>
                <w:sz w:val="24"/>
                <w:szCs w:val="24"/>
              </w:rPr>
              <w:t>5</w:t>
            </w:r>
            <w:r w:rsidR="00E13F34" w:rsidRPr="00E13F34">
              <w:rPr>
                <w:rFonts w:ascii="Times New Roman" w:hAnsi="Times New Roman" w:cs="Times New Roman"/>
                <w:noProof/>
                <w:webHidden/>
                <w:sz w:val="24"/>
                <w:szCs w:val="24"/>
              </w:rPr>
              <w:fldChar w:fldCharType="end"/>
            </w:r>
          </w:hyperlink>
        </w:p>
        <w:p w14:paraId="20430D38" w14:textId="485D2F36" w:rsidR="00E13F34" w:rsidRPr="00E13F34" w:rsidRDefault="0069537B" w:rsidP="00E13F34">
          <w:pPr>
            <w:pStyle w:val="TOC3"/>
            <w:tabs>
              <w:tab w:val="right" w:leader="dot" w:pos="9350"/>
            </w:tabs>
            <w:spacing w:line="360" w:lineRule="auto"/>
            <w:rPr>
              <w:rFonts w:ascii="Times New Roman" w:eastAsiaTheme="minorEastAsia" w:hAnsi="Times New Roman" w:cs="Times New Roman"/>
              <w:noProof/>
              <w:sz w:val="24"/>
              <w:szCs w:val="24"/>
            </w:rPr>
          </w:pPr>
          <w:hyperlink w:anchor="_Toc228106293" w:history="1">
            <w:r>
              <w:rPr>
                <w:rStyle w:val="Hyperlink"/>
                <w:rFonts w:ascii="Times New Roman" w:hAnsi="Times New Roman" w:cs="Times New Roman"/>
                <w:noProof/>
                <w:sz w:val="24"/>
                <w:szCs w:val="24"/>
              </w:rPr>
              <w:t>2</w:t>
            </w:r>
            <w:r w:rsidR="00E13F34" w:rsidRPr="00E13F34">
              <w:rPr>
                <w:rStyle w:val="Hyperlink"/>
                <w:rFonts w:ascii="Times New Roman" w:hAnsi="Times New Roman" w:cs="Times New Roman"/>
                <w:noProof/>
                <w:sz w:val="24"/>
                <w:szCs w:val="24"/>
              </w:rPr>
              <w:t>.2.1 Profitability Ratios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_Toc228106293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sidR="006C42EA">
              <w:rPr>
                <w:rFonts w:ascii="Times New Roman" w:hAnsi="Times New Roman" w:cs="Times New Roman"/>
                <w:noProof/>
                <w:webHidden/>
                <w:sz w:val="24"/>
                <w:szCs w:val="24"/>
              </w:rPr>
              <w:t>6</w:t>
            </w:r>
            <w:r w:rsidR="00E13F34" w:rsidRPr="00E13F34">
              <w:rPr>
                <w:rFonts w:ascii="Times New Roman" w:hAnsi="Times New Roman" w:cs="Times New Roman"/>
                <w:noProof/>
                <w:webHidden/>
                <w:sz w:val="24"/>
                <w:szCs w:val="24"/>
              </w:rPr>
              <w:fldChar w:fldCharType="end"/>
            </w:r>
          </w:hyperlink>
        </w:p>
        <w:p w14:paraId="475EE93F" w14:textId="3DE670F3" w:rsidR="00E13F34" w:rsidRPr="00E13F34" w:rsidRDefault="0069537B" w:rsidP="00E13F34">
          <w:pPr>
            <w:pStyle w:val="TOC3"/>
            <w:tabs>
              <w:tab w:val="right" w:leader="dot" w:pos="9350"/>
            </w:tabs>
            <w:spacing w:line="360" w:lineRule="auto"/>
            <w:rPr>
              <w:rFonts w:ascii="Times New Roman" w:eastAsiaTheme="minorEastAsia" w:hAnsi="Times New Roman" w:cs="Times New Roman"/>
              <w:noProof/>
              <w:sz w:val="24"/>
              <w:szCs w:val="24"/>
            </w:rPr>
          </w:pPr>
          <w:hyperlink w:anchor="_Toc228106294" w:history="1">
            <w:r>
              <w:rPr>
                <w:rStyle w:val="Hyperlink"/>
                <w:rFonts w:ascii="Times New Roman" w:hAnsi="Times New Roman" w:cs="Times New Roman"/>
                <w:noProof/>
                <w:sz w:val="24"/>
                <w:szCs w:val="24"/>
              </w:rPr>
              <w:t>2</w:t>
            </w:r>
            <w:r w:rsidR="00E13F34" w:rsidRPr="00E13F34">
              <w:rPr>
                <w:rStyle w:val="Hyperlink"/>
                <w:rFonts w:ascii="Times New Roman" w:hAnsi="Times New Roman" w:cs="Times New Roman"/>
                <w:noProof/>
                <w:sz w:val="24"/>
                <w:szCs w:val="24"/>
              </w:rPr>
              <w:t>.2.2 Liquidity Ratios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_Toc228106294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sidR="006C42EA">
              <w:rPr>
                <w:rFonts w:ascii="Times New Roman" w:hAnsi="Times New Roman" w:cs="Times New Roman"/>
                <w:noProof/>
                <w:webHidden/>
                <w:sz w:val="24"/>
                <w:szCs w:val="24"/>
              </w:rPr>
              <w:t>6</w:t>
            </w:r>
            <w:r w:rsidR="00E13F34" w:rsidRPr="00E13F34">
              <w:rPr>
                <w:rFonts w:ascii="Times New Roman" w:hAnsi="Times New Roman" w:cs="Times New Roman"/>
                <w:noProof/>
                <w:webHidden/>
                <w:sz w:val="24"/>
                <w:szCs w:val="24"/>
              </w:rPr>
              <w:fldChar w:fldCharType="end"/>
            </w:r>
          </w:hyperlink>
        </w:p>
        <w:p w14:paraId="1F26EFCE" w14:textId="150387B7" w:rsidR="00E13F34" w:rsidRPr="00E13F34" w:rsidRDefault="0069537B" w:rsidP="00E13F34">
          <w:pPr>
            <w:pStyle w:val="TOC3"/>
            <w:tabs>
              <w:tab w:val="right" w:leader="dot" w:pos="9350"/>
            </w:tabs>
            <w:spacing w:line="360" w:lineRule="auto"/>
            <w:rPr>
              <w:rFonts w:ascii="Times New Roman" w:eastAsiaTheme="minorEastAsia" w:hAnsi="Times New Roman" w:cs="Times New Roman"/>
              <w:noProof/>
              <w:sz w:val="24"/>
              <w:szCs w:val="24"/>
            </w:rPr>
          </w:pPr>
          <w:hyperlink w:anchor="_Toc228106295" w:history="1">
            <w:r>
              <w:rPr>
                <w:rStyle w:val="Hyperlink"/>
                <w:rFonts w:ascii="Times New Roman" w:hAnsi="Times New Roman" w:cs="Times New Roman"/>
                <w:noProof/>
                <w:sz w:val="24"/>
                <w:szCs w:val="24"/>
              </w:rPr>
              <w:t>2</w:t>
            </w:r>
            <w:r w:rsidR="00E13F34" w:rsidRPr="00E13F34">
              <w:rPr>
                <w:rStyle w:val="Hyperlink"/>
                <w:rFonts w:ascii="Times New Roman" w:hAnsi="Times New Roman" w:cs="Times New Roman"/>
                <w:noProof/>
                <w:sz w:val="24"/>
                <w:szCs w:val="24"/>
              </w:rPr>
              <w:t>.2.3 Efficiency Ratios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_Toc228106295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sidR="006C42EA">
              <w:rPr>
                <w:rFonts w:ascii="Times New Roman" w:hAnsi="Times New Roman" w:cs="Times New Roman"/>
                <w:noProof/>
                <w:webHidden/>
                <w:sz w:val="24"/>
                <w:szCs w:val="24"/>
              </w:rPr>
              <w:t>7</w:t>
            </w:r>
            <w:r w:rsidR="00E13F34" w:rsidRPr="00E13F34">
              <w:rPr>
                <w:rFonts w:ascii="Times New Roman" w:hAnsi="Times New Roman" w:cs="Times New Roman"/>
                <w:noProof/>
                <w:webHidden/>
                <w:sz w:val="24"/>
                <w:szCs w:val="24"/>
              </w:rPr>
              <w:fldChar w:fldCharType="end"/>
            </w:r>
          </w:hyperlink>
        </w:p>
        <w:p w14:paraId="33CA641D" w14:textId="4028122D" w:rsidR="00E13F34" w:rsidRPr="00E13F34" w:rsidRDefault="0069537B" w:rsidP="00E13F34">
          <w:pPr>
            <w:pStyle w:val="TOC3"/>
            <w:tabs>
              <w:tab w:val="right" w:leader="dot" w:pos="9350"/>
            </w:tabs>
            <w:spacing w:line="360" w:lineRule="auto"/>
            <w:rPr>
              <w:rFonts w:ascii="Times New Roman" w:eastAsiaTheme="minorEastAsia" w:hAnsi="Times New Roman" w:cs="Times New Roman"/>
              <w:noProof/>
              <w:sz w:val="24"/>
              <w:szCs w:val="24"/>
            </w:rPr>
          </w:pPr>
          <w:hyperlink w:anchor="_Toc228106296" w:history="1">
            <w:r>
              <w:rPr>
                <w:rStyle w:val="Hyperlink"/>
                <w:rFonts w:ascii="Times New Roman" w:hAnsi="Times New Roman" w:cs="Times New Roman"/>
                <w:noProof/>
                <w:sz w:val="24"/>
                <w:szCs w:val="24"/>
              </w:rPr>
              <w:t>2</w:t>
            </w:r>
            <w:r w:rsidR="00E13F34" w:rsidRPr="00E13F34">
              <w:rPr>
                <w:rStyle w:val="Hyperlink"/>
                <w:rFonts w:ascii="Times New Roman" w:hAnsi="Times New Roman" w:cs="Times New Roman"/>
                <w:noProof/>
                <w:sz w:val="24"/>
                <w:szCs w:val="24"/>
              </w:rPr>
              <w:t>.2.4 Gearing Ratios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_Toc228106296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sidR="006C42EA">
              <w:rPr>
                <w:rFonts w:ascii="Times New Roman" w:hAnsi="Times New Roman" w:cs="Times New Roman"/>
                <w:noProof/>
                <w:webHidden/>
                <w:sz w:val="24"/>
                <w:szCs w:val="24"/>
              </w:rPr>
              <w:t>7</w:t>
            </w:r>
            <w:r w:rsidR="00E13F34" w:rsidRPr="00E13F34">
              <w:rPr>
                <w:rFonts w:ascii="Times New Roman" w:hAnsi="Times New Roman" w:cs="Times New Roman"/>
                <w:noProof/>
                <w:webHidden/>
                <w:sz w:val="24"/>
                <w:szCs w:val="24"/>
              </w:rPr>
              <w:fldChar w:fldCharType="end"/>
            </w:r>
          </w:hyperlink>
        </w:p>
        <w:p w14:paraId="766F81CD" w14:textId="3DC44EA0" w:rsidR="00E13F34" w:rsidRPr="00E13F34" w:rsidRDefault="0069537B" w:rsidP="00E13F34">
          <w:pPr>
            <w:pStyle w:val="TOC3"/>
            <w:tabs>
              <w:tab w:val="right" w:leader="dot" w:pos="9350"/>
            </w:tabs>
            <w:spacing w:line="360" w:lineRule="auto"/>
            <w:rPr>
              <w:rFonts w:ascii="Times New Roman" w:eastAsiaTheme="minorEastAsia" w:hAnsi="Times New Roman" w:cs="Times New Roman"/>
              <w:noProof/>
              <w:sz w:val="24"/>
              <w:szCs w:val="24"/>
            </w:rPr>
          </w:pPr>
          <w:hyperlink w:anchor="_Toc228106297" w:history="1">
            <w:r>
              <w:rPr>
                <w:rStyle w:val="Hyperlink"/>
                <w:rFonts w:ascii="Times New Roman" w:hAnsi="Times New Roman" w:cs="Times New Roman"/>
                <w:noProof/>
                <w:sz w:val="24"/>
                <w:szCs w:val="24"/>
              </w:rPr>
              <w:t>2</w:t>
            </w:r>
            <w:r w:rsidR="00E13F34" w:rsidRPr="00E13F34">
              <w:rPr>
                <w:rStyle w:val="Hyperlink"/>
                <w:rFonts w:ascii="Times New Roman" w:hAnsi="Times New Roman" w:cs="Times New Roman"/>
                <w:noProof/>
                <w:sz w:val="24"/>
                <w:szCs w:val="24"/>
              </w:rPr>
              <w:t>.2.5 Investment Ratios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_Toc228106297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sidR="006C42EA">
              <w:rPr>
                <w:rFonts w:ascii="Times New Roman" w:hAnsi="Times New Roman" w:cs="Times New Roman"/>
                <w:noProof/>
                <w:webHidden/>
                <w:sz w:val="24"/>
                <w:szCs w:val="24"/>
              </w:rPr>
              <w:t>8</w:t>
            </w:r>
            <w:r w:rsidR="00E13F34" w:rsidRPr="00E13F34">
              <w:rPr>
                <w:rFonts w:ascii="Times New Roman" w:hAnsi="Times New Roman" w:cs="Times New Roman"/>
                <w:noProof/>
                <w:webHidden/>
                <w:sz w:val="24"/>
                <w:szCs w:val="24"/>
              </w:rPr>
              <w:fldChar w:fldCharType="end"/>
            </w:r>
          </w:hyperlink>
        </w:p>
        <w:p w14:paraId="2ED38A70" w14:textId="0D5C7D40" w:rsidR="00E13F34" w:rsidRPr="00E13F34" w:rsidRDefault="00E13F34"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298" w:history="1">
            <w:r w:rsidRPr="00E13F34">
              <w:rPr>
                <w:rStyle w:val="Hyperlink"/>
                <w:rFonts w:ascii="Times New Roman" w:hAnsi="Times New Roman" w:cs="Times New Roman"/>
                <w:noProof/>
                <w:sz w:val="24"/>
                <w:szCs w:val="24"/>
              </w:rPr>
              <w:t>2.3 Overall Evaluation</w:t>
            </w:r>
            <w:r w:rsidRPr="00E13F34">
              <w:rPr>
                <w:rFonts w:ascii="Times New Roman" w:hAnsi="Times New Roman" w:cs="Times New Roman"/>
                <w:noProof/>
                <w:webHidden/>
                <w:sz w:val="24"/>
                <w:szCs w:val="24"/>
              </w:rPr>
              <w:tab/>
            </w:r>
            <w:r w:rsidRPr="00E13F34">
              <w:rPr>
                <w:rFonts w:ascii="Times New Roman" w:hAnsi="Times New Roman" w:cs="Times New Roman"/>
                <w:noProof/>
                <w:webHidden/>
                <w:sz w:val="24"/>
                <w:szCs w:val="24"/>
              </w:rPr>
              <w:fldChar w:fldCharType="begin"/>
            </w:r>
            <w:r w:rsidRPr="00E13F34">
              <w:rPr>
                <w:rFonts w:ascii="Times New Roman" w:hAnsi="Times New Roman" w:cs="Times New Roman"/>
                <w:noProof/>
                <w:webHidden/>
                <w:sz w:val="24"/>
                <w:szCs w:val="24"/>
              </w:rPr>
              <w:instrText xml:space="preserve"> PAGEREF _Toc228106298 \h </w:instrText>
            </w:r>
            <w:r w:rsidRPr="00E13F34">
              <w:rPr>
                <w:rFonts w:ascii="Times New Roman" w:hAnsi="Times New Roman" w:cs="Times New Roman"/>
                <w:noProof/>
                <w:webHidden/>
                <w:sz w:val="24"/>
                <w:szCs w:val="24"/>
              </w:rPr>
            </w:r>
            <w:r w:rsidRPr="00E13F34">
              <w:rPr>
                <w:rFonts w:ascii="Times New Roman" w:hAnsi="Times New Roman" w:cs="Times New Roman"/>
                <w:noProof/>
                <w:webHidden/>
                <w:sz w:val="24"/>
                <w:szCs w:val="24"/>
              </w:rPr>
              <w:fldChar w:fldCharType="separate"/>
            </w:r>
            <w:r w:rsidR="006C42EA">
              <w:rPr>
                <w:rFonts w:ascii="Times New Roman" w:hAnsi="Times New Roman" w:cs="Times New Roman"/>
                <w:noProof/>
                <w:webHidden/>
                <w:sz w:val="24"/>
                <w:szCs w:val="24"/>
              </w:rPr>
              <w:t>8</w:t>
            </w:r>
            <w:r w:rsidRPr="00E13F34">
              <w:rPr>
                <w:rFonts w:ascii="Times New Roman" w:hAnsi="Times New Roman" w:cs="Times New Roman"/>
                <w:noProof/>
                <w:webHidden/>
                <w:sz w:val="24"/>
                <w:szCs w:val="24"/>
              </w:rPr>
              <w:fldChar w:fldCharType="end"/>
            </w:r>
          </w:hyperlink>
        </w:p>
        <w:p w14:paraId="0472B2FF" w14:textId="0E294A6C" w:rsidR="00E13F34" w:rsidRPr="00E13F34" w:rsidRDefault="006C42EA" w:rsidP="00440F84">
          <w:pPr>
            <w:pStyle w:val="TOC1"/>
            <w:rPr>
              <w:rFonts w:eastAsiaTheme="minorEastAsia"/>
              <w:noProof/>
            </w:rPr>
          </w:pPr>
          <w:hyperlink w:anchor="_Toc228106299" w:history="1">
            <w:r>
              <w:rPr>
                <w:rStyle w:val="Hyperlink"/>
                <w:noProof/>
                <w:sz w:val="24"/>
                <w:szCs w:val="24"/>
              </w:rPr>
              <w:t>3</w:t>
            </w:r>
            <w:r w:rsidR="00E13F34" w:rsidRPr="00E13F34">
              <w:rPr>
                <w:rStyle w:val="Hyperlink"/>
                <w:noProof/>
                <w:sz w:val="24"/>
                <w:szCs w:val="24"/>
              </w:rPr>
              <w:t>. Working Capital Management Analysis</w:t>
            </w:r>
            <w:r w:rsidR="00E13F34" w:rsidRPr="00E13F34">
              <w:rPr>
                <w:noProof/>
                <w:webHidden/>
              </w:rPr>
              <w:tab/>
            </w:r>
            <w:r w:rsidR="00E13F34" w:rsidRPr="00E13F34">
              <w:rPr>
                <w:noProof/>
                <w:webHidden/>
              </w:rPr>
              <w:fldChar w:fldCharType="begin"/>
            </w:r>
            <w:r w:rsidR="00E13F34" w:rsidRPr="00E13F34">
              <w:rPr>
                <w:noProof/>
                <w:webHidden/>
              </w:rPr>
              <w:instrText xml:space="preserve"> PAGEREF _Toc228106299 \h </w:instrText>
            </w:r>
            <w:r w:rsidR="00E13F34" w:rsidRPr="00E13F34">
              <w:rPr>
                <w:noProof/>
                <w:webHidden/>
              </w:rPr>
            </w:r>
            <w:r w:rsidR="00E13F34" w:rsidRPr="00E13F34">
              <w:rPr>
                <w:noProof/>
                <w:webHidden/>
              </w:rPr>
              <w:fldChar w:fldCharType="separate"/>
            </w:r>
            <w:r>
              <w:rPr>
                <w:noProof/>
                <w:webHidden/>
              </w:rPr>
              <w:t>9</w:t>
            </w:r>
            <w:r w:rsidR="00E13F34" w:rsidRPr="00E13F34">
              <w:rPr>
                <w:noProof/>
                <w:webHidden/>
              </w:rPr>
              <w:fldChar w:fldCharType="end"/>
            </w:r>
          </w:hyperlink>
        </w:p>
        <w:p w14:paraId="3F499EFA" w14:textId="0FBABAB9" w:rsidR="00E13F34" w:rsidRPr="00E13F34" w:rsidRDefault="006C42EA"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300" w:history="1">
            <w:r>
              <w:rPr>
                <w:rStyle w:val="Hyperlink"/>
                <w:rFonts w:ascii="Times New Roman" w:hAnsi="Times New Roman" w:cs="Times New Roman"/>
                <w:noProof/>
                <w:sz w:val="24"/>
                <w:szCs w:val="24"/>
              </w:rPr>
              <w:t>3</w:t>
            </w:r>
            <w:r w:rsidR="00E13F34" w:rsidRPr="00E13F34">
              <w:rPr>
                <w:rStyle w:val="Hyperlink"/>
                <w:rFonts w:ascii="Times New Roman" w:hAnsi="Times New Roman" w:cs="Times New Roman"/>
                <w:noProof/>
                <w:sz w:val="24"/>
                <w:szCs w:val="24"/>
              </w:rPr>
              <w:t>.1 Cash Operating Cycle</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_Toc228106300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00E13F34" w:rsidRPr="00E13F34">
              <w:rPr>
                <w:rFonts w:ascii="Times New Roman" w:hAnsi="Times New Roman" w:cs="Times New Roman"/>
                <w:noProof/>
                <w:webHidden/>
                <w:sz w:val="24"/>
                <w:szCs w:val="24"/>
              </w:rPr>
              <w:fldChar w:fldCharType="end"/>
            </w:r>
          </w:hyperlink>
        </w:p>
        <w:p w14:paraId="0664BB75" w14:textId="72B29DEB" w:rsidR="00E13F34" w:rsidRPr="00E13F34" w:rsidRDefault="006C42EA"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301" w:history="1">
            <w:r>
              <w:rPr>
                <w:rStyle w:val="Hyperlink"/>
                <w:rFonts w:ascii="Times New Roman" w:hAnsi="Times New Roman" w:cs="Times New Roman"/>
                <w:noProof/>
                <w:sz w:val="24"/>
                <w:szCs w:val="24"/>
              </w:rPr>
              <w:t>3</w:t>
            </w:r>
            <w:r w:rsidR="00E13F34" w:rsidRPr="00E13F34">
              <w:rPr>
                <w:rStyle w:val="Hyperlink"/>
                <w:rFonts w:ascii="Times New Roman" w:hAnsi="Times New Roman" w:cs="Times New Roman"/>
                <w:noProof/>
                <w:sz w:val="24"/>
                <w:szCs w:val="24"/>
              </w:rPr>
              <w:t>.2 Analysis of Working Capital Issues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_Toc228106301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00E13F34" w:rsidRPr="00E13F34">
              <w:rPr>
                <w:rFonts w:ascii="Times New Roman" w:hAnsi="Times New Roman" w:cs="Times New Roman"/>
                <w:noProof/>
                <w:webHidden/>
                <w:sz w:val="24"/>
                <w:szCs w:val="24"/>
              </w:rPr>
              <w:fldChar w:fldCharType="end"/>
            </w:r>
          </w:hyperlink>
        </w:p>
        <w:p w14:paraId="61783ACA" w14:textId="302E3939" w:rsidR="00E13F34" w:rsidRPr="00E13F34" w:rsidRDefault="006C42EA"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302" w:history="1">
            <w:r>
              <w:rPr>
                <w:rStyle w:val="Hyperlink"/>
                <w:rFonts w:ascii="Times New Roman" w:hAnsi="Times New Roman" w:cs="Times New Roman"/>
                <w:noProof/>
                <w:sz w:val="24"/>
                <w:szCs w:val="24"/>
              </w:rPr>
              <w:t>3</w:t>
            </w:r>
            <w:r w:rsidR="00E13F34" w:rsidRPr="00E13F34">
              <w:rPr>
                <w:rStyle w:val="Hyperlink"/>
                <w:rFonts w:ascii="Times New Roman" w:hAnsi="Times New Roman" w:cs="Times New Roman"/>
                <w:noProof/>
                <w:sz w:val="24"/>
                <w:szCs w:val="24"/>
              </w:rPr>
              <w:t>.3 Recommendations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_Toc228106302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00E13F34" w:rsidRPr="00E13F34">
              <w:rPr>
                <w:rFonts w:ascii="Times New Roman" w:hAnsi="Times New Roman" w:cs="Times New Roman"/>
                <w:noProof/>
                <w:webHidden/>
                <w:sz w:val="24"/>
                <w:szCs w:val="24"/>
              </w:rPr>
              <w:fldChar w:fldCharType="end"/>
            </w:r>
          </w:hyperlink>
        </w:p>
        <w:p w14:paraId="5C743591" w14:textId="19080E14" w:rsidR="00E13F34" w:rsidRPr="00E13F34" w:rsidRDefault="006C42EA"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303" w:history="1">
            <w:r>
              <w:rPr>
                <w:rStyle w:val="Hyperlink"/>
                <w:rFonts w:ascii="Times New Roman" w:hAnsi="Times New Roman" w:cs="Times New Roman"/>
                <w:noProof/>
                <w:sz w:val="24"/>
                <w:szCs w:val="24"/>
              </w:rPr>
              <w:t>3</w:t>
            </w:r>
            <w:r w:rsidR="00E13F34" w:rsidRPr="00E13F34">
              <w:rPr>
                <w:rStyle w:val="Hyperlink"/>
                <w:rFonts w:ascii="Times New Roman" w:hAnsi="Times New Roman" w:cs="Times New Roman"/>
                <w:noProof/>
                <w:sz w:val="24"/>
                <w:szCs w:val="24"/>
              </w:rPr>
              <w:t>.4 Financing Options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_Toc228106303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00E13F34" w:rsidRPr="00E13F34">
              <w:rPr>
                <w:rFonts w:ascii="Times New Roman" w:hAnsi="Times New Roman" w:cs="Times New Roman"/>
                <w:noProof/>
                <w:webHidden/>
                <w:sz w:val="24"/>
                <w:szCs w:val="24"/>
              </w:rPr>
              <w:fldChar w:fldCharType="end"/>
            </w:r>
          </w:hyperlink>
        </w:p>
        <w:p w14:paraId="7137E1E0" w14:textId="524D9789" w:rsidR="00E13F34" w:rsidRPr="00E13F34" w:rsidRDefault="006C42EA" w:rsidP="00440F84">
          <w:pPr>
            <w:pStyle w:val="TOC1"/>
            <w:rPr>
              <w:rFonts w:eastAsiaTheme="minorEastAsia"/>
              <w:noProof/>
            </w:rPr>
          </w:pPr>
          <w:hyperlink w:anchor="_Toc228106304" w:history="1">
            <w:r>
              <w:rPr>
                <w:rStyle w:val="Hyperlink"/>
                <w:noProof/>
                <w:sz w:val="24"/>
                <w:szCs w:val="24"/>
              </w:rPr>
              <w:t>4</w:t>
            </w:r>
            <w:r w:rsidR="00E13F34" w:rsidRPr="00E13F34">
              <w:rPr>
                <w:rStyle w:val="Hyperlink"/>
                <w:noProof/>
                <w:sz w:val="24"/>
                <w:szCs w:val="24"/>
              </w:rPr>
              <w:t>. Strategic Financial Restructuring Plan</w:t>
            </w:r>
            <w:r w:rsidR="00E13F34" w:rsidRPr="00E13F34">
              <w:rPr>
                <w:noProof/>
                <w:webHidden/>
              </w:rPr>
              <w:tab/>
            </w:r>
            <w:r w:rsidR="00E13F34" w:rsidRPr="00E13F34">
              <w:rPr>
                <w:noProof/>
                <w:webHidden/>
              </w:rPr>
              <w:fldChar w:fldCharType="begin"/>
            </w:r>
            <w:r w:rsidR="00E13F34" w:rsidRPr="00E13F34">
              <w:rPr>
                <w:noProof/>
                <w:webHidden/>
              </w:rPr>
              <w:instrText xml:space="preserve"> PAGEREF _Toc228106304 \h </w:instrText>
            </w:r>
            <w:r w:rsidR="00E13F34" w:rsidRPr="00E13F34">
              <w:rPr>
                <w:noProof/>
                <w:webHidden/>
              </w:rPr>
            </w:r>
            <w:r w:rsidR="00E13F34" w:rsidRPr="00E13F34">
              <w:rPr>
                <w:noProof/>
                <w:webHidden/>
              </w:rPr>
              <w:fldChar w:fldCharType="separate"/>
            </w:r>
            <w:r>
              <w:rPr>
                <w:noProof/>
                <w:webHidden/>
              </w:rPr>
              <w:t>15</w:t>
            </w:r>
            <w:r w:rsidR="00E13F34" w:rsidRPr="00E13F34">
              <w:rPr>
                <w:noProof/>
                <w:webHidden/>
              </w:rPr>
              <w:fldChar w:fldCharType="end"/>
            </w:r>
          </w:hyperlink>
        </w:p>
        <w:p w14:paraId="07E1454A" w14:textId="7D8961E3" w:rsidR="00E13F34" w:rsidRPr="00E13F34" w:rsidRDefault="006C42EA"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305" w:history="1">
            <w:r>
              <w:rPr>
                <w:rStyle w:val="Hyperlink"/>
                <w:rFonts w:ascii="Times New Roman" w:hAnsi="Times New Roman" w:cs="Times New Roman"/>
                <w:noProof/>
                <w:sz w:val="24"/>
                <w:szCs w:val="24"/>
              </w:rPr>
              <w:t>4</w:t>
            </w:r>
            <w:r w:rsidR="00E13F34" w:rsidRPr="00E13F34">
              <w:rPr>
                <w:rStyle w:val="Hyperlink"/>
                <w:rFonts w:ascii="Times New Roman" w:hAnsi="Times New Roman" w:cs="Times New Roman"/>
                <w:noProof/>
                <w:sz w:val="24"/>
                <w:szCs w:val="24"/>
              </w:rPr>
              <w:t>.1 Current Financial Challenges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_Toc228106305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00E13F34" w:rsidRPr="00E13F34">
              <w:rPr>
                <w:rFonts w:ascii="Times New Roman" w:hAnsi="Times New Roman" w:cs="Times New Roman"/>
                <w:noProof/>
                <w:webHidden/>
                <w:sz w:val="24"/>
                <w:szCs w:val="24"/>
              </w:rPr>
              <w:fldChar w:fldCharType="end"/>
            </w:r>
          </w:hyperlink>
        </w:p>
        <w:p w14:paraId="682BE58C" w14:textId="54583754" w:rsidR="00E13F34" w:rsidRPr="00E13F34" w:rsidRDefault="006C42EA"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306" w:history="1">
            <w:r>
              <w:rPr>
                <w:rStyle w:val="Hyperlink"/>
                <w:rFonts w:ascii="Times New Roman" w:hAnsi="Times New Roman" w:cs="Times New Roman"/>
                <w:noProof/>
                <w:sz w:val="24"/>
                <w:szCs w:val="24"/>
              </w:rPr>
              <w:t>4</w:t>
            </w:r>
            <w:r w:rsidR="00E13F34" w:rsidRPr="00E13F34">
              <w:rPr>
                <w:rStyle w:val="Hyperlink"/>
                <w:rFonts w:ascii="Times New Roman" w:hAnsi="Times New Roman" w:cs="Times New Roman"/>
                <w:noProof/>
                <w:sz w:val="24"/>
                <w:szCs w:val="24"/>
              </w:rPr>
              <w:t>.2 Restructuring Strategies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_Toc228106306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00E13F34" w:rsidRPr="00E13F34">
              <w:rPr>
                <w:rFonts w:ascii="Times New Roman" w:hAnsi="Times New Roman" w:cs="Times New Roman"/>
                <w:noProof/>
                <w:webHidden/>
                <w:sz w:val="24"/>
                <w:szCs w:val="24"/>
              </w:rPr>
              <w:fldChar w:fldCharType="end"/>
            </w:r>
          </w:hyperlink>
        </w:p>
        <w:p w14:paraId="77121881" w14:textId="20658ABD" w:rsidR="00E13F34" w:rsidRPr="00E13F34" w:rsidRDefault="006C42EA"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307" w:history="1">
            <w:r>
              <w:rPr>
                <w:rStyle w:val="Hyperlink"/>
                <w:rFonts w:ascii="Times New Roman" w:hAnsi="Times New Roman" w:cs="Times New Roman"/>
                <w:noProof/>
                <w:sz w:val="24"/>
                <w:szCs w:val="24"/>
              </w:rPr>
              <w:t>4</w:t>
            </w:r>
            <w:r w:rsidR="00E13F34" w:rsidRPr="00E13F34">
              <w:rPr>
                <w:rStyle w:val="Hyperlink"/>
                <w:rFonts w:ascii="Times New Roman" w:hAnsi="Times New Roman" w:cs="Times New Roman"/>
                <w:noProof/>
                <w:sz w:val="24"/>
                <w:szCs w:val="24"/>
              </w:rPr>
              <w:t>.3 Impact Analysis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_Toc228106307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00E13F34" w:rsidRPr="00E13F34">
              <w:rPr>
                <w:rFonts w:ascii="Times New Roman" w:hAnsi="Times New Roman" w:cs="Times New Roman"/>
                <w:noProof/>
                <w:webHidden/>
                <w:sz w:val="24"/>
                <w:szCs w:val="24"/>
              </w:rPr>
              <w:fldChar w:fldCharType="end"/>
            </w:r>
          </w:hyperlink>
        </w:p>
        <w:p w14:paraId="0C42F53E" w14:textId="6C19BCA7" w:rsidR="00E13F34" w:rsidRPr="00E13F34" w:rsidRDefault="006C42EA"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308" w:history="1">
            <w:r>
              <w:rPr>
                <w:rStyle w:val="Hyperlink"/>
                <w:rFonts w:ascii="Times New Roman" w:hAnsi="Times New Roman" w:cs="Times New Roman"/>
                <w:noProof/>
                <w:sz w:val="24"/>
                <w:szCs w:val="24"/>
              </w:rPr>
              <w:t>4</w:t>
            </w:r>
            <w:r w:rsidR="00E13F34" w:rsidRPr="00E13F34">
              <w:rPr>
                <w:rStyle w:val="Hyperlink"/>
                <w:rFonts w:ascii="Times New Roman" w:hAnsi="Times New Roman" w:cs="Times New Roman"/>
                <w:noProof/>
                <w:sz w:val="24"/>
                <w:szCs w:val="24"/>
              </w:rPr>
              <w:t>.4 International and Ethical Considerations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_Toc228106308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00E13F34" w:rsidRPr="00E13F34">
              <w:rPr>
                <w:rFonts w:ascii="Times New Roman" w:hAnsi="Times New Roman" w:cs="Times New Roman"/>
                <w:noProof/>
                <w:webHidden/>
                <w:sz w:val="24"/>
                <w:szCs w:val="24"/>
              </w:rPr>
              <w:fldChar w:fldCharType="end"/>
            </w:r>
          </w:hyperlink>
        </w:p>
        <w:p w14:paraId="7FC7000B" w14:textId="3E36E58A" w:rsidR="00E13F34" w:rsidRPr="00E13F34" w:rsidRDefault="006C42EA" w:rsidP="00440F84">
          <w:pPr>
            <w:pStyle w:val="TOC1"/>
            <w:rPr>
              <w:rFonts w:eastAsiaTheme="minorEastAsia"/>
              <w:noProof/>
            </w:rPr>
          </w:pPr>
          <w:hyperlink w:anchor="_Toc228106309" w:history="1">
            <w:r>
              <w:rPr>
                <w:rStyle w:val="Hyperlink"/>
                <w:noProof/>
                <w:sz w:val="24"/>
                <w:szCs w:val="24"/>
              </w:rPr>
              <w:t>5</w:t>
            </w:r>
            <w:r w:rsidR="00E13F34" w:rsidRPr="00E13F34">
              <w:rPr>
                <w:rStyle w:val="Hyperlink"/>
                <w:noProof/>
                <w:sz w:val="24"/>
                <w:szCs w:val="24"/>
              </w:rPr>
              <w:t>. Investment Appraisal and Capital Budgeting</w:t>
            </w:r>
            <w:r w:rsidR="00E13F34" w:rsidRPr="00E13F34">
              <w:rPr>
                <w:noProof/>
                <w:webHidden/>
              </w:rPr>
              <w:tab/>
            </w:r>
            <w:r w:rsidR="00E13F34" w:rsidRPr="00E13F34">
              <w:rPr>
                <w:noProof/>
                <w:webHidden/>
              </w:rPr>
              <w:fldChar w:fldCharType="begin"/>
            </w:r>
            <w:r w:rsidR="00E13F34" w:rsidRPr="00E13F34">
              <w:rPr>
                <w:noProof/>
                <w:webHidden/>
              </w:rPr>
              <w:instrText xml:space="preserve"> PAGEREF _Toc228106309 \h </w:instrText>
            </w:r>
            <w:r w:rsidR="00E13F34" w:rsidRPr="00E13F34">
              <w:rPr>
                <w:noProof/>
                <w:webHidden/>
              </w:rPr>
            </w:r>
            <w:r w:rsidR="00E13F34" w:rsidRPr="00E13F34">
              <w:rPr>
                <w:noProof/>
                <w:webHidden/>
              </w:rPr>
              <w:fldChar w:fldCharType="separate"/>
            </w:r>
            <w:r>
              <w:rPr>
                <w:noProof/>
                <w:webHidden/>
              </w:rPr>
              <w:t>21</w:t>
            </w:r>
            <w:r w:rsidR="00E13F34" w:rsidRPr="00E13F34">
              <w:rPr>
                <w:noProof/>
                <w:webHidden/>
              </w:rPr>
              <w:fldChar w:fldCharType="end"/>
            </w:r>
          </w:hyperlink>
        </w:p>
        <w:p w14:paraId="1059B2DD" w14:textId="2A10EB97" w:rsidR="00E13F34" w:rsidRPr="00E13F34" w:rsidRDefault="006C42EA"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310" w:history="1">
            <w:r>
              <w:rPr>
                <w:rStyle w:val="Hyperlink"/>
                <w:rFonts w:ascii="Times New Roman" w:hAnsi="Times New Roman" w:cs="Times New Roman"/>
                <w:noProof/>
                <w:sz w:val="24"/>
                <w:szCs w:val="24"/>
              </w:rPr>
              <w:t>5</w:t>
            </w:r>
            <w:r w:rsidR="00E13F34" w:rsidRPr="00E13F34">
              <w:rPr>
                <w:rStyle w:val="Hyperlink"/>
                <w:rFonts w:ascii="Times New Roman" w:hAnsi="Times New Roman" w:cs="Times New Roman"/>
                <w:noProof/>
                <w:sz w:val="24"/>
                <w:szCs w:val="24"/>
              </w:rPr>
              <w:t>.1 Introduction to Investment Decision</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_Toc228106310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21</w:t>
            </w:r>
            <w:r w:rsidR="00E13F34" w:rsidRPr="00E13F34">
              <w:rPr>
                <w:rFonts w:ascii="Times New Roman" w:hAnsi="Times New Roman" w:cs="Times New Roman"/>
                <w:noProof/>
                <w:webHidden/>
                <w:sz w:val="24"/>
                <w:szCs w:val="24"/>
              </w:rPr>
              <w:fldChar w:fldCharType="end"/>
            </w:r>
          </w:hyperlink>
        </w:p>
        <w:p w14:paraId="5C2F8E57" w14:textId="12001518" w:rsidR="00E13F34" w:rsidRPr="00E13F34" w:rsidRDefault="006C42EA"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311" w:history="1">
            <w:r>
              <w:rPr>
                <w:rStyle w:val="Hyperlink"/>
                <w:rFonts w:ascii="Times New Roman" w:hAnsi="Times New Roman" w:cs="Times New Roman"/>
                <w:noProof/>
                <w:sz w:val="24"/>
                <w:szCs w:val="24"/>
              </w:rPr>
              <w:t>5</w:t>
            </w:r>
            <w:r w:rsidR="00E13F34" w:rsidRPr="00E13F34">
              <w:rPr>
                <w:rStyle w:val="Hyperlink"/>
                <w:rFonts w:ascii="Times New Roman" w:hAnsi="Times New Roman" w:cs="Times New Roman"/>
                <w:noProof/>
                <w:sz w:val="24"/>
                <w:szCs w:val="24"/>
              </w:rPr>
              <w:t>.2 Project Evaluation</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_Toc228106311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21</w:t>
            </w:r>
            <w:r w:rsidR="00E13F34" w:rsidRPr="00E13F34">
              <w:rPr>
                <w:rFonts w:ascii="Times New Roman" w:hAnsi="Times New Roman" w:cs="Times New Roman"/>
                <w:noProof/>
                <w:webHidden/>
                <w:sz w:val="24"/>
                <w:szCs w:val="24"/>
              </w:rPr>
              <w:fldChar w:fldCharType="end"/>
            </w:r>
          </w:hyperlink>
        </w:p>
        <w:p w14:paraId="27749971" w14:textId="37FEC728" w:rsidR="00E13F34" w:rsidRPr="00E13F34" w:rsidRDefault="006C42EA" w:rsidP="00E13F34">
          <w:pPr>
            <w:pStyle w:val="TOC3"/>
            <w:tabs>
              <w:tab w:val="right" w:leader="dot" w:pos="9350"/>
            </w:tabs>
            <w:spacing w:line="360" w:lineRule="auto"/>
            <w:rPr>
              <w:rFonts w:ascii="Times New Roman" w:eastAsiaTheme="minorEastAsia" w:hAnsi="Times New Roman" w:cs="Times New Roman"/>
              <w:noProof/>
              <w:sz w:val="24"/>
              <w:szCs w:val="24"/>
            </w:rPr>
          </w:pPr>
          <w:hyperlink w:anchor="_Toc228106312" w:history="1">
            <w:r>
              <w:rPr>
                <w:rStyle w:val="Hyperlink"/>
                <w:rFonts w:ascii="Times New Roman" w:hAnsi="Times New Roman" w:cs="Times New Roman"/>
                <w:noProof/>
                <w:sz w:val="24"/>
                <w:szCs w:val="24"/>
              </w:rPr>
              <w:t>5</w:t>
            </w:r>
            <w:r w:rsidR="00E13F34" w:rsidRPr="00E13F34">
              <w:rPr>
                <w:rStyle w:val="Hyperlink"/>
                <w:rFonts w:ascii="Times New Roman" w:hAnsi="Times New Roman" w:cs="Times New Roman"/>
                <w:noProof/>
                <w:sz w:val="24"/>
                <w:szCs w:val="24"/>
              </w:rPr>
              <w:t>.2.1 Payback Period (PBP)</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_Toc228106312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21</w:t>
            </w:r>
            <w:r w:rsidR="00E13F34" w:rsidRPr="00E13F34">
              <w:rPr>
                <w:rFonts w:ascii="Times New Roman" w:hAnsi="Times New Roman" w:cs="Times New Roman"/>
                <w:noProof/>
                <w:webHidden/>
                <w:sz w:val="24"/>
                <w:szCs w:val="24"/>
              </w:rPr>
              <w:fldChar w:fldCharType="end"/>
            </w:r>
          </w:hyperlink>
        </w:p>
        <w:p w14:paraId="3F2F44DD" w14:textId="43A00036" w:rsidR="00E13F34" w:rsidRPr="00E13F34" w:rsidRDefault="006C42EA" w:rsidP="00E13F34">
          <w:pPr>
            <w:pStyle w:val="TOC3"/>
            <w:tabs>
              <w:tab w:val="right" w:leader="dot" w:pos="9350"/>
            </w:tabs>
            <w:spacing w:line="360" w:lineRule="auto"/>
            <w:rPr>
              <w:rFonts w:ascii="Times New Roman" w:eastAsiaTheme="minorEastAsia" w:hAnsi="Times New Roman" w:cs="Times New Roman"/>
              <w:noProof/>
              <w:sz w:val="24"/>
              <w:szCs w:val="24"/>
            </w:rPr>
          </w:pPr>
          <w:hyperlink w:anchor="_Toc228106313" w:history="1">
            <w:r>
              <w:rPr>
                <w:rStyle w:val="Hyperlink"/>
                <w:rFonts w:ascii="Times New Roman" w:hAnsi="Times New Roman" w:cs="Times New Roman"/>
                <w:noProof/>
                <w:sz w:val="24"/>
                <w:szCs w:val="24"/>
              </w:rPr>
              <w:t>5</w:t>
            </w:r>
            <w:r w:rsidR="00E13F34" w:rsidRPr="00E13F34">
              <w:rPr>
                <w:rStyle w:val="Hyperlink"/>
                <w:rFonts w:ascii="Times New Roman" w:hAnsi="Times New Roman" w:cs="Times New Roman"/>
                <w:noProof/>
                <w:sz w:val="24"/>
                <w:szCs w:val="24"/>
              </w:rPr>
              <w:t>.2.2 Accounting Rate of Return (ARR)</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_Toc228106313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22</w:t>
            </w:r>
            <w:r w:rsidR="00E13F34" w:rsidRPr="00E13F34">
              <w:rPr>
                <w:rFonts w:ascii="Times New Roman" w:hAnsi="Times New Roman" w:cs="Times New Roman"/>
                <w:noProof/>
                <w:webHidden/>
                <w:sz w:val="24"/>
                <w:szCs w:val="24"/>
              </w:rPr>
              <w:fldChar w:fldCharType="end"/>
            </w:r>
          </w:hyperlink>
        </w:p>
        <w:p w14:paraId="1371B0B3" w14:textId="48A6AA14" w:rsidR="00E13F34" w:rsidRPr="00E13F34" w:rsidRDefault="006C42EA" w:rsidP="00E13F34">
          <w:pPr>
            <w:pStyle w:val="TOC3"/>
            <w:tabs>
              <w:tab w:val="right" w:leader="dot" w:pos="9350"/>
            </w:tabs>
            <w:spacing w:line="360" w:lineRule="auto"/>
            <w:rPr>
              <w:rFonts w:ascii="Times New Roman" w:eastAsiaTheme="minorEastAsia" w:hAnsi="Times New Roman" w:cs="Times New Roman"/>
              <w:noProof/>
              <w:sz w:val="24"/>
              <w:szCs w:val="24"/>
            </w:rPr>
          </w:pPr>
          <w:hyperlink w:anchor="_Toc228106314" w:history="1">
            <w:r>
              <w:rPr>
                <w:rStyle w:val="Hyperlink"/>
                <w:rFonts w:ascii="Times New Roman" w:hAnsi="Times New Roman" w:cs="Times New Roman"/>
                <w:noProof/>
                <w:sz w:val="24"/>
                <w:szCs w:val="24"/>
              </w:rPr>
              <w:t>5</w:t>
            </w:r>
            <w:r w:rsidR="00E13F34" w:rsidRPr="00E13F34">
              <w:rPr>
                <w:rStyle w:val="Hyperlink"/>
                <w:rFonts w:ascii="Times New Roman" w:hAnsi="Times New Roman" w:cs="Times New Roman"/>
                <w:noProof/>
                <w:sz w:val="24"/>
                <w:szCs w:val="24"/>
              </w:rPr>
              <w:t>.2.3 Net Present Value (NPV)</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_Toc228106314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22</w:t>
            </w:r>
            <w:r w:rsidR="00E13F34" w:rsidRPr="00E13F34">
              <w:rPr>
                <w:rFonts w:ascii="Times New Roman" w:hAnsi="Times New Roman" w:cs="Times New Roman"/>
                <w:noProof/>
                <w:webHidden/>
                <w:sz w:val="24"/>
                <w:szCs w:val="24"/>
              </w:rPr>
              <w:fldChar w:fldCharType="end"/>
            </w:r>
          </w:hyperlink>
        </w:p>
        <w:p w14:paraId="0B947169" w14:textId="355DB861" w:rsidR="00E13F34" w:rsidRPr="00E13F34" w:rsidRDefault="006C42EA" w:rsidP="00E13F34">
          <w:pPr>
            <w:pStyle w:val="TOC3"/>
            <w:tabs>
              <w:tab w:val="right" w:leader="dot" w:pos="9350"/>
            </w:tabs>
            <w:spacing w:line="360" w:lineRule="auto"/>
            <w:rPr>
              <w:rFonts w:ascii="Times New Roman" w:eastAsiaTheme="minorEastAsia" w:hAnsi="Times New Roman" w:cs="Times New Roman"/>
              <w:noProof/>
              <w:sz w:val="24"/>
              <w:szCs w:val="24"/>
            </w:rPr>
          </w:pPr>
          <w:hyperlink w:anchor="_Toc228106315" w:history="1">
            <w:r>
              <w:rPr>
                <w:rStyle w:val="Hyperlink"/>
                <w:rFonts w:ascii="Times New Roman" w:hAnsi="Times New Roman" w:cs="Times New Roman"/>
                <w:noProof/>
                <w:sz w:val="24"/>
                <w:szCs w:val="24"/>
              </w:rPr>
              <w:t>5</w:t>
            </w:r>
            <w:r w:rsidR="00E13F34" w:rsidRPr="00E13F34">
              <w:rPr>
                <w:rStyle w:val="Hyperlink"/>
                <w:rFonts w:ascii="Times New Roman" w:hAnsi="Times New Roman" w:cs="Times New Roman"/>
                <w:noProof/>
                <w:sz w:val="24"/>
                <w:szCs w:val="24"/>
              </w:rPr>
              <w:t>.2.4 Profitability Index (PI)</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_Toc228106315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23</w:t>
            </w:r>
            <w:r w:rsidR="00E13F34" w:rsidRPr="00E13F34">
              <w:rPr>
                <w:rFonts w:ascii="Times New Roman" w:hAnsi="Times New Roman" w:cs="Times New Roman"/>
                <w:noProof/>
                <w:webHidden/>
                <w:sz w:val="24"/>
                <w:szCs w:val="24"/>
              </w:rPr>
              <w:fldChar w:fldCharType="end"/>
            </w:r>
          </w:hyperlink>
        </w:p>
        <w:p w14:paraId="58CF8D54" w14:textId="63648879" w:rsidR="00E13F34" w:rsidRPr="00E13F34" w:rsidRDefault="006C42EA" w:rsidP="00E13F34">
          <w:pPr>
            <w:pStyle w:val="TOC3"/>
            <w:tabs>
              <w:tab w:val="right" w:leader="dot" w:pos="9350"/>
            </w:tabs>
            <w:spacing w:line="360" w:lineRule="auto"/>
            <w:rPr>
              <w:rFonts w:ascii="Times New Roman" w:eastAsiaTheme="minorEastAsia" w:hAnsi="Times New Roman" w:cs="Times New Roman"/>
              <w:noProof/>
              <w:sz w:val="24"/>
              <w:szCs w:val="24"/>
            </w:rPr>
          </w:pPr>
          <w:hyperlink w:anchor="_Toc228106316" w:history="1">
            <w:r>
              <w:rPr>
                <w:rStyle w:val="Hyperlink"/>
                <w:rFonts w:ascii="Times New Roman" w:hAnsi="Times New Roman" w:cs="Times New Roman"/>
                <w:noProof/>
                <w:sz w:val="24"/>
                <w:szCs w:val="24"/>
              </w:rPr>
              <w:t>5</w:t>
            </w:r>
            <w:r w:rsidR="00E13F34" w:rsidRPr="00E13F34">
              <w:rPr>
                <w:rStyle w:val="Hyperlink"/>
                <w:rFonts w:ascii="Times New Roman" w:hAnsi="Times New Roman" w:cs="Times New Roman"/>
                <w:noProof/>
                <w:sz w:val="24"/>
                <w:szCs w:val="24"/>
              </w:rPr>
              <w:t>.2.5 Internal Rate of Return (IRR)</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_Toc228106316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23</w:t>
            </w:r>
            <w:r w:rsidR="00E13F34" w:rsidRPr="00E13F34">
              <w:rPr>
                <w:rFonts w:ascii="Times New Roman" w:hAnsi="Times New Roman" w:cs="Times New Roman"/>
                <w:noProof/>
                <w:webHidden/>
                <w:sz w:val="24"/>
                <w:szCs w:val="24"/>
              </w:rPr>
              <w:fldChar w:fldCharType="end"/>
            </w:r>
          </w:hyperlink>
        </w:p>
        <w:p w14:paraId="2D6DB498" w14:textId="4978559C" w:rsidR="00E13F34" w:rsidRPr="00E13F34" w:rsidRDefault="006C42EA"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317" w:history="1">
            <w:r>
              <w:rPr>
                <w:rStyle w:val="Hyperlink"/>
                <w:rFonts w:ascii="Times New Roman" w:hAnsi="Times New Roman" w:cs="Times New Roman"/>
                <w:noProof/>
                <w:sz w:val="24"/>
                <w:szCs w:val="24"/>
              </w:rPr>
              <w:t>6</w:t>
            </w:r>
            <w:r w:rsidR="00E13F34" w:rsidRPr="00E13F34">
              <w:rPr>
                <w:rStyle w:val="Hyperlink"/>
                <w:rFonts w:ascii="Times New Roman" w:hAnsi="Times New Roman" w:cs="Times New Roman"/>
                <w:noProof/>
                <w:sz w:val="24"/>
                <w:szCs w:val="24"/>
              </w:rPr>
              <w:t>.3 Comparison of Projects</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_Toc228106317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24</w:t>
            </w:r>
            <w:r w:rsidR="00E13F34" w:rsidRPr="00E13F34">
              <w:rPr>
                <w:rFonts w:ascii="Times New Roman" w:hAnsi="Times New Roman" w:cs="Times New Roman"/>
                <w:noProof/>
                <w:webHidden/>
                <w:sz w:val="24"/>
                <w:szCs w:val="24"/>
              </w:rPr>
              <w:fldChar w:fldCharType="end"/>
            </w:r>
          </w:hyperlink>
        </w:p>
        <w:p w14:paraId="64B60654" w14:textId="475B16B2" w:rsidR="00E13F34" w:rsidRPr="00E13F34" w:rsidRDefault="006C42EA"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318" w:history="1">
            <w:r>
              <w:rPr>
                <w:rStyle w:val="Hyperlink"/>
                <w:rFonts w:ascii="Times New Roman" w:hAnsi="Times New Roman" w:cs="Times New Roman"/>
                <w:noProof/>
                <w:sz w:val="24"/>
                <w:szCs w:val="24"/>
              </w:rPr>
              <w:t>6</w:t>
            </w:r>
            <w:r w:rsidR="00E13F34" w:rsidRPr="00E13F34">
              <w:rPr>
                <w:rStyle w:val="Hyperlink"/>
                <w:rFonts w:ascii="Times New Roman" w:hAnsi="Times New Roman" w:cs="Times New Roman"/>
                <w:noProof/>
                <w:sz w:val="24"/>
                <w:szCs w:val="24"/>
              </w:rPr>
              <w:t>.4 Recommended Project</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_Toc228106318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24</w:t>
            </w:r>
            <w:r w:rsidR="00E13F34" w:rsidRPr="00E13F34">
              <w:rPr>
                <w:rFonts w:ascii="Times New Roman" w:hAnsi="Times New Roman" w:cs="Times New Roman"/>
                <w:noProof/>
                <w:webHidden/>
                <w:sz w:val="24"/>
                <w:szCs w:val="24"/>
              </w:rPr>
              <w:fldChar w:fldCharType="end"/>
            </w:r>
          </w:hyperlink>
        </w:p>
        <w:p w14:paraId="361DBFEC" w14:textId="05E89D20" w:rsidR="00E13F34" w:rsidRPr="00E13F34" w:rsidRDefault="006C42EA" w:rsidP="00E13F34">
          <w:pPr>
            <w:pStyle w:val="TOC2"/>
            <w:tabs>
              <w:tab w:val="right" w:leader="dot" w:pos="9350"/>
            </w:tabs>
            <w:spacing w:line="360" w:lineRule="auto"/>
            <w:rPr>
              <w:rFonts w:ascii="Times New Roman" w:eastAsiaTheme="minorEastAsia" w:hAnsi="Times New Roman" w:cs="Times New Roman"/>
              <w:noProof/>
              <w:sz w:val="24"/>
              <w:szCs w:val="24"/>
            </w:rPr>
          </w:pPr>
          <w:hyperlink w:anchor="_Toc228106319" w:history="1">
            <w:r>
              <w:rPr>
                <w:rStyle w:val="Hyperlink"/>
                <w:rFonts w:ascii="Times New Roman" w:hAnsi="Times New Roman" w:cs="Times New Roman"/>
                <w:noProof/>
                <w:sz w:val="24"/>
                <w:szCs w:val="24"/>
              </w:rPr>
              <w:t>6</w:t>
            </w:r>
            <w:r w:rsidR="00E13F34" w:rsidRPr="00E13F34">
              <w:rPr>
                <w:rStyle w:val="Hyperlink"/>
                <w:rFonts w:ascii="Times New Roman" w:hAnsi="Times New Roman" w:cs="Times New Roman"/>
                <w:noProof/>
                <w:sz w:val="24"/>
                <w:szCs w:val="24"/>
              </w:rPr>
              <w:t>.5 Capital Rationing Decision</w:t>
            </w:r>
            <w:r w:rsidR="00E13F34" w:rsidRPr="00E13F34">
              <w:rPr>
                <w:rFonts w:ascii="Times New Roman" w:hAnsi="Times New Roman" w:cs="Times New Roman"/>
                <w:noProof/>
                <w:webHidden/>
                <w:sz w:val="24"/>
                <w:szCs w:val="24"/>
              </w:rPr>
              <w:tab/>
            </w:r>
            <w:r w:rsidR="00E13F34" w:rsidRPr="00E13F34">
              <w:rPr>
                <w:rFonts w:ascii="Times New Roman" w:hAnsi="Times New Roman" w:cs="Times New Roman"/>
                <w:noProof/>
                <w:webHidden/>
                <w:sz w:val="24"/>
                <w:szCs w:val="24"/>
              </w:rPr>
              <w:fldChar w:fldCharType="begin"/>
            </w:r>
            <w:r w:rsidR="00E13F34" w:rsidRPr="00E13F34">
              <w:rPr>
                <w:rFonts w:ascii="Times New Roman" w:hAnsi="Times New Roman" w:cs="Times New Roman"/>
                <w:noProof/>
                <w:webHidden/>
                <w:sz w:val="24"/>
                <w:szCs w:val="24"/>
              </w:rPr>
              <w:instrText xml:space="preserve"> PAGEREF _Toc228106319 \h </w:instrText>
            </w:r>
            <w:r w:rsidR="00E13F34" w:rsidRPr="00E13F34">
              <w:rPr>
                <w:rFonts w:ascii="Times New Roman" w:hAnsi="Times New Roman" w:cs="Times New Roman"/>
                <w:noProof/>
                <w:webHidden/>
                <w:sz w:val="24"/>
                <w:szCs w:val="24"/>
              </w:rPr>
            </w:r>
            <w:r w:rsidR="00E13F34" w:rsidRPr="00E13F3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25</w:t>
            </w:r>
            <w:r w:rsidR="00E13F34" w:rsidRPr="00E13F34">
              <w:rPr>
                <w:rFonts w:ascii="Times New Roman" w:hAnsi="Times New Roman" w:cs="Times New Roman"/>
                <w:noProof/>
                <w:webHidden/>
                <w:sz w:val="24"/>
                <w:szCs w:val="24"/>
              </w:rPr>
              <w:fldChar w:fldCharType="end"/>
            </w:r>
          </w:hyperlink>
        </w:p>
        <w:p w14:paraId="2E58A0CB" w14:textId="2DC348F5" w:rsidR="00E13F34" w:rsidRPr="00440F84" w:rsidRDefault="00440F84" w:rsidP="00440F84">
          <w:pPr>
            <w:pStyle w:val="TOC1"/>
            <w:rPr>
              <w:rFonts w:eastAsiaTheme="minorEastAsia"/>
              <w:noProof/>
            </w:rPr>
          </w:pPr>
          <w:r w:rsidRPr="00440F84">
            <w:rPr>
              <w:sz w:val="24"/>
              <w:szCs w:val="24"/>
            </w:rPr>
            <w:t>Conclusion</w:t>
          </w:r>
          <w:r>
            <w:t>………………………………………………………………………………………………..26</w:t>
          </w:r>
          <w:r>
            <w:br/>
          </w:r>
          <w:hyperlink w:anchor="_Toc228106320" w:history="1">
            <w:r w:rsidR="00E13F34" w:rsidRPr="00440F84">
              <w:rPr>
                <w:rStyle w:val="Hyperlink"/>
                <w:noProof/>
                <w:sz w:val="24"/>
                <w:szCs w:val="24"/>
              </w:rPr>
              <w:t>References</w:t>
            </w:r>
            <w:r w:rsidR="00E13F34" w:rsidRPr="00440F84">
              <w:rPr>
                <w:noProof/>
                <w:webHidden/>
              </w:rPr>
              <w:tab/>
            </w:r>
            <w:r w:rsidR="00E13F34" w:rsidRPr="00440F84">
              <w:rPr>
                <w:noProof/>
                <w:webHidden/>
              </w:rPr>
              <w:fldChar w:fldCharType="begin"/>
            </w:r>
            <w:r w:rsidR="00E13F34" w:rsidRPr="00440F84">
              <w:rPr>
                <w:noProof/>
                <w:webHidden/>
              </w:rPr>
              <w:instrText xml:space="preserve"> PAGEREF _Toc228106320 \h </w:instrText>
            </w:r>
            <w:r w:rsidR="00E13F34" w:rsidRPr="00440F84">
              <w:rPr>
                <w:noProof/>
                <w:webHidden/>
              </w:rPr>
            </w:r>
            <w:r w:rsidR="00E13F34" w:rsidRPr="00440F84">
              <w:rPr>
                <w:noProof/>
                <w:webHidden/>
              </w:rPr>
              <w:fldChar w:fldCharType="separate"/>
            </w:r>
            <w:r w:rsidR="006C42EA" w:rsidRPr="00440F84">
              <w:rPr>
                <w:noProof/>
                <w:webHidden/>
              </w:rPr>
              <w:t>28</w:t>
            </w:r>
            <w:r w:rsidR="00E13F34" w:rsidRPr="00440F84">
              <w:rPr>
                <w:noProof/>
                <w:webHidden/>
              </w:rPr>
              <w:fldChar w:fldCharType="end"/>
            </w:r>
          </w:hyperlink>
        </w:p>
        <w:p w14:paraId="191D6058" w14:textId="32BC3754" w:rsidR="00E13F34" w:rsidRDefault="00E13F34" w:rsidP="00440F84">
          <w:pPr>
            <w:pStyle w:val="TOC1"/>
            <w:rPr>
              <w:rFonts w:eastAsiaTheme="minorEastAsia"/>
              <w:noProof/>
            </w:rPr>
          </w:pPr>
          <w:hyperlink w:anchor="_Toc228106321" w:history="1">
            <w:r w:rsidRPr="00E13F34">
              <w:rPr>
                <w:rStyle w:val="Hyperlink"/>
                <w:noProof/>
                <w:sz w:val="24"/>
                <w:szCs w:val="24"/>
              </w:rPr>
              <w:t>Appendices</w:t>
            </w:r>
            <w:r w:rsidRPr="00E13F34">
              <w:rPr>
                <w:noProof/>
                <w:webHidden/>
              </w:rPr>
              <w:tab/>
            </w:r>
            <w:r w:rsidRPr="00E13F34">
              <w:rPr>
                <w:noProof/>
                <w:webHidden/>
              </w:rPr>
              <w:fldChar w:fldCharType="begin"/>
            </w:r>
            <w:r w:rsidRPr="00E13F34">
              <w:rPr>
                <w:noProof/>
                <w:webHidden/>
              </w:rPr>
              <w:instrText xml:space="preserve"> PAGEREF _Toc228106321 \h </w:instrText>
            </w:r>
            <w:r w:rsidRPr="00E13F34">
              <w:rPr>
                <w:noProof/>
                <w:webHidden/>
              </w:rPr>
            </w:r>
            <w:r w:rsidRPr="00E13F34">
              <w:rPr>
                <w:noProof/>
                <w:webHidden/>
              </w:rPr>
              <w:fldChar w:fldCharType="separate"/>
            </w:r>
            <w:r w:rsidR="006C42EA">
              <w:rPr>
                <w:noProof/>
                <w:webHidden/>
              </w:rPr>
              <w:t>31</w:t>
            </w:r>
            <w:r w:rsidRPr="00E13F34">
              <w:rPr>
                <w:noProof/>
                <w:webHidden/>
              </w:rPr>
              <w:fldChar w:fldCharType="end"/>
            </w:r>
          </w:hyperlink>
        </w:p>
        <w:p w14:paraId="0BFA43FD" w14:textId="1705C638" w:rsidR="0020356A" w:rsidRDefault="0020356A" w:rsidP="00E13F34">
          <w:pPr>
            <w:spacing w:line="360" w:lineRule="auto"/>
          </w:pPr>
          <w:r>
            <w:rPr>
              <w:b/>
              <w:bCs/>
              <w:noProof/>
            </w:rPr>
            <w:fldChar w:fldCharType="end"/>
          </w:r>
        </w:p>
      </w:sdtContent>
    </w:sdt>
    <w:p w14:paraId="5A18689B" w14:textId="77777777" w:rsidR="006C42EA" w:rsidRDefault="006C42EA">
      <w:pPr>
        <w:rPr>
          <w:sz w:val="32"/>
          <w:szCs w:val="32"/>
        </w:rPr>
      </w:pPr>
    </w:p>
    <w:p w14:paraId="2BEF314A" w14:textId="77777777" w:rsidR="006C42EA" w:rsidRDefault="006C42EA">
      <w:pPr>
        <w:rPr>
          <w:sz w:val="32"/>
          <w:szCs w:val="32"/>
        </w:rPr>
      </w:pPr>
    </w:p>
    <w:p w14:paraId="2289D581" w14:textId="77777777" w:rsidR="006C42EA" w:rsidRDefault="006C42EA">
      <w:pPr>
        <w:rPr>
          <w:sz w:val="32"/>
          <w:szCs w:val="32"/>
        </w:rPr>
      </w:pPr>
    </w:p>
    <w:p w14:paraId="07AD037F" w14:textId="77777777" w:rsidR="006C42EA" w:rsidRDefault="006C42EA">
      <w:pPr>
        <w:rPr>
          <w:sz w:val="32"/>
          <w:szCs w:val="32"/>
        </w:rPr>
      </w:pPr>
    </w:p>
    <w:p w14:paraId="2D5B819A" w14:textId="77777777" w:rsidR="006C42EA" w:rsidRDefault="006C42EA">
      <w:pPr>
        <w:rPr>
          <w:sz w:val="32"/>
          <w:szCs w:val="32"/>
        </w:rPr>
      </w:pPr>
    </w:p>
    <w:p w14:paraId="338A3493" w14:textId="77777777" w:rsidR="006C42EA" w:rsidRDefault="006C42EA">
      <w:pPr>
        <w:rPr>
          <w:sz w:val="32"/>
          <w:szCs w:val="32"/>
        </w:rPr>
      </w:pPr>
    </w:p>
    <w:p w14:paraId="70D22466" w14:textId="77777777" w:rsidR="006C42EA" w:rsidRDefault="006C42EA">
      <w:pPr>
        <w:rPr>
          <w:sz w:val="32"/>
          <w:szCs w:val="32"/>
        </w:rPr>
      </w:pPr>
    </w:p>
    <w:p w14:paraId="3AF3D3AD" w14:textId="77777777" w:rsidR="006C42EA" w:rsidRDefault="006C42EA">
      <w:pPr>
        <w:rPr>
          <w:sz w:val="32"/>
          <w:szCs w:val="32"/>
        </w:rPr>
      </w:pPr>
    </w:p>
    <w:p w14:paraId="706346EE" w14:textId="77777777" w:rsidR="006C42EA" w:rsidRDefault="006C42EA">
      <w:pPr>
        <w:rPr>
          <w:sz w:val="32"/>
          <w:szCs w:val="32"/>
        </w:rPr>
      </w:pPr>
    </w:p>
    <w:p w14:paraId="74E443C7" w14:textId="77777777" w:rsidR="006C42EA" w:rsidRDefault="006C42EA">
      <w:pPr>
        <w:rPr>
          <w:sz w:val="32"/>
          <w:szCs w:val="32"/>
        </w:rPr>
      </w:pPr>
    </w:p>
    <w:p w14:paraId="1F1C585D" w14:textId="77777777" w:rsidR="006C42EA" w:rsidRDefault="006C42EA">
      <w:pPr>
        <w:rPr>
          <w:sz w:val="32"/>
          <w:szCs w:val="32"/>
        </w:rPr>
      </w:pPr>
    </w:p>
    <w:p w14:paraId="6F36F112" w14:textId="77777777" w:rsidR="006C42EA" w:rsidRDefault="006C42EA">
      <w:pPr>
        <w:rPr>
          <w:sz w:val="32"/>
          <w:szCs w:val="32"/>
        </w:rPr>
      </w:pPr>
    </w:p>
    <w:p w14:paraId="748FF6D2" w14:textId="77777777" w:rsidR="006C42EA" w:rsidRDefault="006C42EA">
      <w:pPr>
        <w:rPr>
          <w:sz w:val="32"/>
          <w:szCs w:val="32"/>
        </w:rPr>
      </w:pPr>
    </w:p>
    <w:p w14:paraId="117DD14C" w14:textId="22D31A44" w:rsidR="006C42EA" w:rsidRPr="006C42EA" w:rsidRDefault="006C42EA" w:rsidP="006C42EA">
      <w:pPr>
        <w:pStyle w:val="ListParagraph"/>
        <w:numPr>
          <w:ilvl w:val="0"/>
          <w:numId w:val="62"/>
        </w:numPr>
        <w:rPr>
          <w:rFonts w:ascii="Times New Roman" w:hAnsi="Times New Roman" w:cs="Times New Roman"/>
          <w:sz w:val="32"/>
          <w:szCs w:val="32"/>
        </w:rPr>
      </w:pPr>
      <w:r w:rsidRPr="006C42EA">
        <w:rPr>
          <w:rFonts w:ascii="Times New Roman" w:hAnsi="Times New Roman" w:cs="Times New Roman"/>
          <w:sz w:val="32"/>
          <w:szCs w:val="32"/>
        </w:rPr>
        <w:t xml:space="preserve">Introduction </w:t>
      </w:r>
    </w:p>
    <w:p w14:paraId="1F400287" w14:textId="77777777" w:rsidR="006C42EA" w:rsidRDefault="006C42EA" w:rsidP="006C42EA">
      <w:pPr>
        <w:pStyle w:val="ListParagraph"/>
        <w:rPr>
          <w:sz w:val="32"/>
          <w:szCs w:val="32"/>
        </w:rPr>
      </w:pPr>
    </w:p>
    <w:p w14:paraId="30FF8577" w14:textId="77777777" w:rsidR="00B014E9" w:rsidRDefault="006C42EA" w:rsidP="006C42EA">
      <w:pPr>
        <w:pStyle w:val="ListParagraph"/>
        <w:rPr>
          <w:rFonts w:ascii="Times New Roman" w:hAnsi="Times New Roman" w:cs="Times New Roman"/>
          <w:sz w:val="24"/>
          <w:szCs w:val="24"/>
        </w:rPr>
      </w:pPr>
      <w:r>
        <w:rPr>
          <w:rFonts w:ascii="Times New Roman" w:hAnsi="Times New Roman" w:cs="Times New Roman"/>
          <w:sz w:val="24"/>
          <w:szCs w:val="24"/>
        </w:rPr>
        <w:t>This report provides a critical assessment of Tesla Inc.’s financial performance and strategic positioning over a five-year timeframe, spanning from 2020 to 2024, through the lens of a Chief Financial Officer (CFO). The analysis is prompted by es</w:t>
      </w:r>
      <w:r w:rsidR="00B014E9">
        <w:rPr>
          <w:rFonts w:ascii="Times New Roman" w:hAnsi="Times New Roman" w:cs="Times New Roman"/>
          <w:sz w:val="24"/>
          <w:szCs w:val="24"/>
        </w:rPr>
        <w:t xml:space="preserve">calating challenges within the global electric vehicle (EV) sector, which include heightened competition, margin pressures, and increasing capital investment demands. </w:t>
      </w:r>
    </w:p>
    <w:p w14:paraId="57D23452" w14:textId="77777777" w:rsidR="00B014E9" w:rsidRDefault="00B014E9" w:rsidP="006C42EA">
      <w:pPr>
        <w:pStyle w:val="ListParagraph"/>
        <w:rPr>
          <w:rFonts w:ascii="Times New Roman" w:hAnsi="Times New Roman" w:cs="Times New Roman"/>
          <w:sz w:val="24"/>
          <w:szCs w:val="24"/>
        </w:rPr>
      </w:pPr>
    </w:p>
    <w:p w14:paraId="64D613ED" w14:textId="77777777" w:rsidR="000B1862" w:rsidRDefault="00B014E9" w:rsidP="006C42EA">
      <w:pPr>
        <w:pStyle w:val="ListParagraph"/>
        <w:rPr>
          <w:rFonts w:ascii="Times New Roman" w:hAnsi="Times New Roman" w:cs="Times New Roman"/>
          <w:sz w:val="24"/>
          <w:szCs w:val="24"/>
        </w:rPr>
      </w:pPr>
      <w:r>
        <w:rPr>
          <w:rFonts w:ascii="Times New Roman" w:hAnsi="Times New Roman" w:cs="Times New Roman"/>
          <w:sz w:val="24"/>
          <w:szCs w:val="24"/>
        </w:rPr>
        <w:t xml:space="preserve">The objective of this report is to evaluate the financial health of the company via an extensive ratio analysis, assess the efficiency of its working capital management, and pinpoint significant financial risks and operational shortcomings. Drawing from these findings, a strategic </w:t>
      </w:r>
      <w:r w:rsidR="000B1862">
        <w:rPr>
          <w:rFonts w:ascii="Times New Roman" w:hAnsi="Times New Roman" w:cs="Times New Roman"/>
          <w:sz w:val="24"/>
          <w:szCs w:val="24"/>
        </w:rPr>
        <w:t xml:space="preserve">financial restructuring plan is suggested to bolster long-term sustainability, enhance shareholder value, and improve operational flexibility. </w:t>
      </w:r>
    </w:p>
    <w:p w14:paraId="108107C8" w14:textId="77777777" w:rsidR="000B1862" w:rsidRDefault="000B1862" w:rsidP="006C42EA">
      <w:pPr>
        <w:pStyle w:val="ListParagraph"/>
        <w:rPr>
          <w:rFonts w:ascii="Times New Roman" w:hAnsi="Times New Roman" w:cs="Times New Roman"/>
          <w:sz w:val="24"/>
          <w:szCs w:val="24"/>
        </w:rPr>
      </w:pPr>
    </w:p>
    <w:p w14:paraId="279CDD63" w14:textId="77777777" w:rsidR="003F5741" w:rsidRDefault="003F5741" w:rsidP="006C42EA">
      <w:pPr>
        <w:pStyle w:val="ListParagraph"/>
        <w:rPr>
          <w:rFonts w:ascii="Times New Roman" w:hAnsi="Times New Roman" w:cs="Times New Roman"/>
          <w:sz w:val="24"/>
          <w:szCs w:val="24"/>
        </w:rPr>
      </w:pPr>
      <w:r>
        <w:rPr>
          <w:rFonts w:ascii="Times New Roman" w:hAnsi="Times New Roman" w:cs="Times New Roman"/>
          <w:sz w:val="24"/>
          <w:szCs w:val="24"/>
        </w:rPr>
        <w:t xml:space="preserve">In addition, the report employs essential capital budgeting methodologies---Payback Period (PBP), Accounting Rate of Return (ARR), Net Present Value (NPV), Profitability Index (IRR)--to analyze three investments projects within the context of capital limitations. The aim is to propose the most financially sound and strategically coherent investment choice. </w:t>
      </w:r>
    </w:p>
    <w:p w14:paraId="57A740A2" w14:textId="77777777" w:rsidR="003F5741" w:rsidRDefault="003F5741" w:rsidP="006C42EA">
      <w:pPr>
        <w:pStyle w:val="ListParagraph"/>
        <w:rPr>
          <w:rFonts w:ascii="Times New Roman" w:hAnsi="Times New Roman" w:cs="Times New Roman"/>
          <w:sz w:val="24"/>
          <w:szCs w:val="24"/>
        </w:rPr>
      </w:pPr>
    </w:p>
    <w:p w14:paraId="1A2B0293" w14:textId="462DF535" w:rsidR="0020356A" w:rsidRPr="006C42EA" w:rsidRDefault="003F5741" w:rsidP="006C42EA">
      <w:pPr>
        <w:pStyle w:val="ListParagraph"/>
        <w:rPr>
          <w:rFonts w:ascii="Times New Roman" w:eastAsia="Times New Roman" w:hAnsi="Times New Roman" w:cs="Times New Roman"/>
          <w:b/>
          <w:bCs/>
          <w:kern w:val="36"/>
          <w:sz w:val="32"/>
          <w:szCs w:val="32"/>
        </w:rPr>
      </w:pPr>
      <w:r>
        <w:rPr>
          <w:rFonts w:ascii="Times New Roman" w:hAnsi="Times New Roman" w:cs="Times New Roman"/>
          <w:sz w:val="24"/>
          <w:szCs w:val="24"/>
        </w:rPr>
        <w:t xml:space="preserve">In summary, this report utilizes critical, evidence—driven </w:t>
      </w:r>
      <w:r w:rsidR="0049210C">
        <w:rPr>
          <w:rFonts w:ascii="Times New Roman" w:hAnsi="Times New Roman" w:cs="Times New Roman"/>
          <w:sz w:val="24"/>
          <w:szCs w:val="24"/>
        </w:rPr>
        <w:t xml:space="preserve">methodology, merging financial theory with empirical data to facilitate strategic decision—making at the executive level.  </w:t>
      </w:r>
      <w:r w:rsidR="0020356A" w:rsidRPr="006C42EA">
        <w:rPr>
          <w:sz w:val="32"/>
          <w:szCs w:val="32"/>
        </w:rPr>
        <w:br w:type="page"/>
      </w:r>
    </w:p>
    <w:p w14:paraId="51746B3A" w14:textId="0E1C0EB8" w:rsidR="00C51941" w:rsidRDefault="008F4248" w:rsidP="001E3D4C">
      <w:pPr>
        <w:pStyle w:val="Heading1"/>
        <w:numPr>
          <w:ilvl w:val="0"/>
          <w:numId w:val="63"/>
        </w:numPr>
        <w:rPr>
          <w:sz w:val="32"/>
          <w:szCs w:val="32"/>
        </w:rPr>
      </w:pPr>
      <w:bookmarkStart w:id="0" w:name="_Toc228106290"/>
      <w:r w:rsidRPr="008F4248">
        <w:rPr>
          <w:sz w:val="32"/>
          <w:szCs w:val="32"/>
        </w:rPr>
        <w:lastRenderedPageBreak/>
        <w:t>Financial Health Check</w:t>
      </w:r>
      <w:bookmarkEnd w:id="0"/>
    </w:p>
    <w:p w14:paraId="3247F8AF" w14:textId="5B45E6BE" w:rsidR="001E3D4C" w:rsidRPr="000425E4" w:rsidRDefault="001E3D4C" w:rsidP="000425E4">
      <w:pPr>
        <w:pStyle w:val="Heading1"/>
        <w:spacing w:line="360" w:lineRule="auto"/>
        <w:ind w:left="360"/>
        <w:rPr>
          <w:b w:val="0"/>
          <w:bCs w:val="0"/>
          <w:sz w:val="24"/>
          <w:szCs w:val="24"/>
        </w:rPr>
      </w:pPr>
      <w:r w:rsidRPr="000425E4">
        <w:rPr>
          <w:b w:val="0"/>
          <w:bCs w:val="0"/>
          <w:sz w:val="24"/>
          <w:szCs w:val="24"/>
        </w:rPr>
        <w:t xml:space="preserve">The financial performance of Tesla during the five-year span from 2020 to 2024 illustrates a notable evolution </w:t>
      </w:r>
      <w:r w:rsidR="000425E4" w:rsidRPr="000425E4">
        <w:rPr>
          <w:b w:val="0"/>
          <w:bCs w:val="0"/>
          <w:sz w:val="24"/>
          <w:szCs w:val="24"/>
        </w:rPr>
        <w:t>from a rapidly growing, efficiency—oriented company to a more established entity encountering heightened competitive and financial challenges. This section provides critical assessment of Tesla’s financial standing through the application of ratio analysis, bolstered by trends extracted from its financial statements.</w:t>
      </w:r>
    </w:p>
    <w:p w14:paraId="7A42621D" w14:textId="008A2C7E" w:rsidR="00C51941" w:rsidRPr="008F4248" w:rsidRDefault="008F4248" w:rsidP="008F4248">
      <w:pPr>
        <w:pStyle w:val="Heading2"/>
        <w:rPr>
          <w:sz w:val="28"/>
          <w:szCs w:val="28"/>
        </w:rPr>
      </w:pPr>
      <w:bookmarkStart w:id="1" w:name="_Toc228106291"/>
      <w:r w:rsidRPr="008F4248">
        <w:rPr>
          <w:sz w:val="28"/>
          <w:szCs w:val="28"/>
        </w:rPr>
        <w:t>1</w:t>
      </w:r>
      <w:r w:rsidR="00C51941" w:rsidRPr="008F4248">
        <w:rPr>
          <w:sz w:val="28"/>
          <w:szCs w:val="28"/>
        </w:rPr>
        <w:t>.1 Overview of Financial Performance</w:t>
      </w:r>
      <w:bookmarkEnd w:id="1"/>
    </w:p>
    <w:p w14:paraId="798E19BC" w14:textId="77777777" w:rsidR="00A57CD4" w:rsidRDefault="00A57CD4"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Tesla witnessed significant revenue growth from 2020 to 2023, propelled by a surge in global demand for electric vehicles, entry into international markets, and enhancements in production efficiency. Revenue increased markedly, bolstered by economies of scale and a robust brand presence. </w:t>
      </w:r>
    </w:p>
    <w:p w14:paraId="0B74A92A" w14:textId="50A9173F" w:rsidR="00B50F72" w:rsidRDefault="00A57CD4"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Nevertheless, by 2024, the pace of revenue growth decelerated notably, suggesting a transition towards market saturation and intensified competition. Concurrently, net income experienced a sharp decline, indicative of rising operating expenses and pricing pressures. </w:t>
      </w:r>
    </w:p>
    <w:p w14:paraId="2F0712B6" w14:textId="77777777" w:rsidR="00A57CD4" w:rsidRDefault="00A57CD4"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This development underscores a pivotal transition period in Tesla’s lifecycle, wherein maintain growth is becoming increasingly difficult, and profitability faces mounting challenges.</w:t>
      </w:r>
    </w:p>
    <w:p w14:paraId="4C72C78E" w14:textId="259C471C" w:rsidR="00A57CD4" w:rsidRDefault="003B048F" w:rsidP="008F4248">
      <w:pPr>
        <w:spacing w:line="360" w:lineRule="auto"/>
        <w:jc w:val="both"/>
        <w:rPr>
          <w:rFonts w:ascii="Times New Roman" w:hAnsi="Times New Roman" w:cs="Times New Roman"/>
          <w:b/>
          <w:bCs/>
          <w:sz w:val="28"/>
          <w:szCs w:val="28"/>
        </w:rPr>
      </w:pPr>
      <w:r w:rsidRPr="003B048F">
        <w:rPr>
          <w:rFonts w:ascii="Times New Roman" w:hAnsi="Times New Roman" w:cs="Times New Roman"/>
          <w:b/>
          <w:bCs/>
          <w:sz w:val="28"/>
          <w:szCs w:val="28"/>
        </w:rPr>
        <w:t>Table: Key Financial Ratios (2020-2024)</w:t>
      </w:r>
      <w:r w:rsidR="00A57CD4" w:rsidRPr="003B048F">
        <w:rPr>
          <w:rFonts w:ascii="Times New Roman" w:hAnsi="Times New Roman" w:cs="Times New Roman"/>
          <w:b/>
          <w:bCs/>
          <w:sz w:val="28"/>
          <w:szCs w:val="28"/>
        </w:rPr>
        <w:t xml:space="preserve"> </w:t>
      </w:r>
    </w:p>
    <w:tbl>
      <w:tblPr>
        <w:tblStyle w:val="TableGrid"/>
        <w:tblW w:w="0" w:type="auto"/>
        <w:tblLook w:val="04A0" w:firstRow="1" w:lastRow="0" w:firstColumn="1" w:lastColumn="0" w:noHBand="0" w:noVBand="1"/>
      </w:tblPr>
      <w:tblGrid>
        <w:gridCol w:w="2405"/>
        <w:gridCol w:w="1418"/>
        <w:gridCol w:w="1275"/>
        <w:gridCol w:w="1418"/>
        <w:gridCol w:w="1559"/>
        <w:gridCol w:w="1152"/>
      </w:tblGrid>
      <w:tr w:rsidR="003B048F" w14:paraId="1EA1ACC1" w14:textId="77777777" w:rsidTr="00BC37F1">
        <w:trPr>
          <w:trHeight w:val="208"/>
        </w:trPr>
        <w:tc>
          <w:tcPr>
            <w:tcW w:w="2405" w:type="dxa"/>
          </w:tcPr>
          <w:p w14:paraId="28B1A4C5" w14:textId="6D376D88" w:rsidR="003B048F" w:rsidRPr="003B048F" w:rsidRDefault="003B048F" w:rsidP="008F424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Ratios</w:t>
            </w:r>
          </w:p>
        </w:tc>
        <w:tc>
          <w:tcPr>
            <w:tcW w:w="1418" w:type="dxa"/>
          </w:tcPr>
          <w:p w14:paraId="420AE638" w14:textId="5734AAB6" w:rsidR="003B048F" w:rsidRDefault="003B048F" w:rsidP="008F4248">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2020</w:t>
            </w:r>
          </w:p>
        </w:tc>
        <w:tc>
          <w:tcPr>
            <w:tcW w:w="1275" w:type="dxa"/>
          </w:tcPr>
          <w:p w14:paraId="372EC537" w14:textId="58618FD6" w:rsidR="003B048F" w:rsidRDefault="003B048F" w:rsidP="008F4248">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2021</w:t>
            </w:r>
          </w:p>
        </w:tc>
        <w:tc>
          <w:tcPr>
            <w:tcW w:w="1418" w:type="dxa"/>
          </w:tcPr>
          <w:p w14:paraId="1850A4C7" w14:textId="3DB8C982" w:rsidR="003B048F" w:rsidRDefault="003B048F" w:rsidP="008F4248">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2022</w:t>
            </w:r>
          </w:p>
        </w:tc>
        <w:tc>
          <w:tcPr>
            <w:tcW w:w="1559" w:type="dxa"/>
          </w:tcPr>
          <w:p w14:paraId="68CE18F1" w14:textId="26E91294" w:rsidR="003B048F" w:rsidRDefault="003B048F" w:rsidP="008F4248">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2023</w:t>
            </w:r>
          </w:p>
        </w:tc>
        <w:tc>
          <w:tcPr>
            <w:tcW w:w="1152" w:type="dxa"/>
          </w:tcPr>
          <w:p w14:paraId="459FCDA9" w14:textId="1F1CBD66" w:rsidR="003B048F" w:rsidRDefault="003B048F" w:rsidP="008F4248">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2024</w:t>
            </w:r>
          </w:p>
        </w:tc>
      </w:tr>
      <w:tr w:rsidR="003B048F" w14:paraId="7BD5F881" w14:textId="77777777" w:rsidTr="00BC37F1">
        <w:trPr>
          <w:trHeight w:val="360"/>
        </w:trPr>
        <w:tc>
          <w:tcPr>
            <w:tcW w:w="2405" w:type="dxa"/>
          </w:tcPr>
          <w:p w14:paraId="3B6D3238" w14:textId="5A0ECED4" w:rsidR="003B048F" w:rsidRPr="003B048F" w:rsidRDefault="003B048F"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Net Profit Margin (%)</w:t>
            </w:r>
          </w:p>
        </w:tc>
        <w:tc>
          <w:tcPr>
            <w:tcW w:w="1418" w:type="dxa"/>
          </w:tcPr>
          <w:p w14:paraId="672C5A78" w14:textId="14B84BA5" w:rsidR="00BC37F1"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2.3</w:t>
            </w:r>
          </w:p>
        </w:tc>
        <w:tc>
          <w:tcPr>
            <w:tcW w:w="1275" w:type="dxa"/>
          </w:tcPr>
          <w:p w14:paraId="2B979C6A" w14:textId="2759A703"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10.3</w:t>
            </w:r>
          </w:p>
        </w:tc>
        <w:tc>
          <w:tcPr>
            <w:tcW w:w="1418" w:type="dxa"/>
          </w:tcPr>
          <w:p w14:paraId="72585AC8" w14:textId="64995A7D"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15.4</w:t>
            </w:r>
          </w:p>
        </w:tc>
        <w:tc>
          <w:tcPr>
            <w:tcW w:w="1559" w:type="dxa"/>
          </w:tcPr>
          <w:p w14:paraId="429FA769" w14:textId="5BB42A73"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15.5</w:t>
            </w:r>
          </w:p>
        </w:tc>
        <w:tc>
          <w:tcPr>
            <w:tcW w:w="1152" w:type="dxa"/>
          </w:tcPr>
          <w:p w14:paraId="01E6519F" w14:textId="4505BD27"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7.3</w:t>
            </w:r>
          </w:p>
        </w:tc>
      </w:tr>
      <w:tr w:rsidR="003B048F" w14:paraId="757BC64D" w14:textId="77777777" w:rsidTr="00BC37F1">
        <w:trPr>
          <w:trHeight w:val="208"/>
        </w:trPr>
        <w:tc>
          <w:tcPr>
            <w:tcW w:w="2405" w:type="dxa"/>
          </w:tcPr>
          <w:p w14:paraId="5AAB7276" w14:textId="73B39D0A" w:rsidR="003B048F" w:rsidRPr="003B048F" w:rsidRDefault="003B048F"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ROCE (%)</w:t>
            </w:r>
          </w:p>
        </w:tc>
        <w:tc>
          <w:tcPr>
            <w:tcW w:w="1418" w:type="dxa"/>
          </w:tcPr>
          <w:p w14:paraId="7E530489" w14:textId="01A0F0AB"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4.4</w:t>
            </w:r>
          </w:p>
        </w:tc>
        <w:tc>
          <w:tcPr>
            <w:tcW w:w="1275" w:type="dxa"/>
          </w:tcPr>
          <w:p w14:paraId="51E1FCA5" w14:textId="00754E7F"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8.3</w:t>
            </w:r>
          </w:p>
        </w:tc>
        <w:tc>
          <w:tcPr>
            <w:tcW w:w="1418" w:type="dxa"/>
          </w:tcPr>
          <w:p w14:paraId="65A62FF7" w14:textId="3D403DD4"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13.3</w:t>
            </w:r>
          </w:p>
        </w:tc>
        <w:tc>
          <w:tcPr>
            <w:tcW w:w="1559" w:type="dxa"/>
          </w:tcPr>
          <w:p w14:paraId="338AF165" w14:textId="562E2AAE"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27.9</w:t>
            </w:r>
          </w:p>
        </w:tc>
        <w:tc>
          <w:tcPr>
            <w:tcW w:w="1152" w:type="dxa"/>
          </w:tcPr>
          <w:p w14:paraId="745B8149" w14:textId="2ED69D21"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16.2</w:t>
            </w:r>
          </w:p>
        </w:tc>
      </w:tr>
      <w:tr w:rsidR="003B048F" w14:paraId="77032881" w14:textId="77777777" w:rsidTr="00BC37F1">
        <w:trPr>
          <w:trHeight w:val="208"/>
        </w:trPr>
        <w:tc>
          <w:tcPr>
            <w:tcW w:w="2405" w:type="dxa"/>
          </w:tcPr>
          <w:p w14:paraId="287370AF" w14:textId="7FF1924C" w:rsidR="003B048F" w:rsidRPr="003B048F" w:rsidRDefault="003B048F"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Current Ratio</w:t>
            </w:r>
          </w:p>
        </w:tc>
        <w:tc>
          <w:tcPr>
            <w:tcW w:w="1418" w:type="dxa"/>
          </w:tcPr>
          <w:p w14:paraId="6FB6B506" w14:textId="79A4C99B"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1.88</w:t>
            </w:r>
          </w:p>
        </w:tc>
        <w:tc>
          <w:tcPr>
            <w:tcW w:w="1275" w:type="dxa"/>
          </w:tcPr>
          <w:p w14:paraId="4F4BA402" w14:textId="174E0699"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2.02</w:t>
            </w:r>
          </w:p>
        </w:tc>
        <w:tc>
          <w:tcPr>
            <w:tcW w:w="1418" w:type="dxa"/>
          </w:tcPr>
          <w:p w14:paraId="23DFD23F" w14:textId="29B9E8DD"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2.16</w:t>
            </w:r>
          </w:p>
        </w:tc>
        <w:tc>
          <w:tcPr>
            <w:tcW w:w="1559" w:type="dxa"/>
          </w:tcPr>
          <w:p w14:paraId="5C91757B" w14:textId="50DD4BAF"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1.73</w:t>
            </w:r>
          </w:p>
        </w:tc>
        <w:tc>
          <w:tcPr>
            <w:tcW w:w="1152" w:type="dxa"/>
          </w:tcPr>
          <w:p w14:paraId="5354CB2C" w14:textId="612A2BBD"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1.53</w:t>
            </w:r>
          </w:p>
        </w:tc>
      </w:tr>
      <w:tr w:rsidR="003B048F" w14:paraId="0A5E9429" w14:textId="77777777" w:rsidTr="00BC37F1">
        <w:trPr>
          <w:trHeight w:val="208"/>
        </w:trPr>
        <w:tc>
          <w:tcPr>
            <w:tcW w:w="2405" w:type="dxa"/>
          </w:tcPr>
          <w:p w14:paraId="4F35CEAE" w14:textId="6FFCFEC0" w:rsidR="003B048F" w:rsidRPr="003B048F" w:rsidRDefault="003B048F"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Quick Ratio</w:t>
            </w:r>
          </w:p>
        </w:tc>
        <w:tc>
          <w:tcPr>
            <w:tcW w:w="1418" w:type="dxa"/>
          </w:tcPr>
          <w:p w14:paraId="5E46BFC0" w14:textId="39C2A44E"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1.49</w:t>
            </w:r>
          </w:p>
        </w:tc>
        <w:tc>
          <w:tcPr>
            <w:tcW w:w="1275" w:type="dxa"/>
          </w:tcPr>
          <w:p w14:paraId="5B372115" w14:textId="2753915D"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1.42</w:t>
            </w:r>
          </w:p>
        </w:tc>
        <w:tc>
          <w:tcPr>
            <w:tcW w:w="1418" w:type="dxa"/>
          </w:tcPr>
          <w:p w14:paraId="6CFD17E4" w14:textId="3E03683B"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1.53</w:t>
            </w:r>
          </w:p>
        </w:tc>
        <w:tc>
          <w:tcPr>
            <w:tcW w:w="1559" w:type="dxa"/>
          </w:tcPr>
          <w:p w14:paraId="448A69EF" w14:textId="0B8FA4A6"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1.13</w:t>
            </w:r>
          </w:p>
        </w:tc>
        <w:tc>
          <w:tcPr>
            <w:tcW w:w="1152" w:type="dxa"/>
          </w:tcPr>
          <w:p w14:paraId="0D0EC314" w14:textId="18B41739"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0.94</w:t>
            </w:r>
          </w:p>
        </w:tc>
      </w:tr>
      <w:tr w:rsidR="003B048F" w14:paraId="6DAAA4D5" w14:textId="77777777" w:rsidTr="00BC37F1">
        <w:trPr>
          <w:trHeight w:val="360"/>
        </w:trPr>
        <w:tc>
          <w:tcPr>
            <w:tcW w:w="2405" w:type="dxa"/>
          </w:tcPr>
          <w:p w14:paraId="586FDB76" w14:textId="117C34D3" w:rsidR="003B048F" w:rsidRPr="003B048F" w:rsidRDefault="003B048F"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Inventory Turnover</w:t>
            </w:r>
          </w:p>
        </w:tc>
        <w:tc>
          <w:tcPr>
            <w:tcW w:w="1418" w:type="dxa"/>
          </w:tcPr>
          <w:p w14:paraId="56431D1A" w14:textId="59054551"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6.3</w:t>
            </w:r>
          </w:p>
        </w:tc>
        <w:tc>
          <w:tcPr>
            <w:tcW w:w="1275" w:type="dxa"/>
          </w:tcPr>
          <w:p w14:paraId="67C0431D" w14:textId="21C05087"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6.5</w:t>
            </w:r>
          </w:p>
        </w:tc>
        <w:tc>
          <w:tcPr>
            <w:tcW w:w="1418" w:type="dxa"/>
          </w:tcPr>
          <w:p w14:paraId="55DB931D" w14:textId="26F70C83"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6.0</w:t>
            </w:r>
          </w:p>
        </w:tc>
        <w:tc>
          <w:tcPr>
            <w:tcW w:w="1559" w:type="dxa"/>
          </w:tcPr>
          <w:p w14:paraId="63A7A8BC" w14:textId="1CF2D941"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5.98</w:t>
            </w:r>
          </w:p>
        </w:tc>
        <w:tc>
          <w:tcPr>
            <w:tcW w:w="1152" w:type="dxa"/>
          </w:tcPr>
          <w:p w14:paraId="32010F09" w14:textId="04E47945"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6.52</w:t>
            </w:r>
          </w:p>
        </w:tc>
      </w:tr>
      <w:tr w:rsidR="003B048F" w14:paraId="6EB6004D" w14:textId="77777777" w:rsidTr="00BC37F1">
        <w:trPr>
          <w:trHeight w:val="360"/>
        </w:trPr>
        <w:tc>
          <w:tcPr>
            <w:tcW w:w="2405" w:type="dxa"/>
          </w:tcPr>
          <w:p w14:paraId="69669DB7" w14:textId="6DD588A0" w:rsidR="003B048F" w:rsidRPr="003B048F" w:rsidRDefault="003B048F"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Receivables Turnover</w:t>
            </w:r>
          </w:p>
        </w:tc>
        <w:tc>
          <w:tcPr>
            <w:tcW w:w="1418" w:type="dxa"/>
          </w:tcPr>
          <w:p w14:paraId="20BD77DC" w14:textId="5F9EC507"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19.5</w:t>
            </w:r>
          </w:p>
        </w:tc>
        <w:tc>
          <w:tcPr>
            <w:tcW w:w="1275" w:type="dxa"/>
          </w:tcPr>
          <w:p w14:paraId="1FABE87F" w14:textId="76120CE1"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20.7</w:t>
            </w:r>
          </w:p>
        </w:tc>
        <w:tc>
          <w:tcPr>
            <w:tcW w:w="1418" w:type="dxa"/>
          </w:tcPr>
          <w:p w14:paraId="2103251C" w14:textId="7BCC89CA"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21.0</w:t>
            </w:r>
          </w:p>
        </w:tc>
        <w:tc>
          <w:tcPr>
            <w:tcW w:w="1559" w:type="dxa"/>
          </w:tcPr>
          <w:p w14:paraId="10B355E7" w14:textId="45772A75"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20.5</w:t>
            </w:r>
          </w:p>
        </w:tc>
        <w:tc>
          <w:tcPr>
            <w:tcW w:w="1152" w:type="dxa"/>
          </w:tcPr>
          <w:p w14:paraId="4AF33145" w14:textId="0F3220B1"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20.7</w:t>
            </w:r>
          </w:p>
        </w:tc>
      </w:tr>
      <w:tr w:rsidR="003B048F" w14:paraId="79FBAA84" w14:textId="77777777" w:rsidTr="00BC37F1">
        <w:trPr>
          <w:trHeight w:val="360"/>
        </w:trPr>
        <w:tc>
          <w:tcPr>
            <w:tcW w:w="2405" w:type="dxa"/>
          </w:tcPr>
          <w:p w14:paraId="588E38FD" w14:textId="2978263B" w:rsidR="003B048F" w:rsidRPr="003B048F" w:rsidRDefault="003B048F" w:rsidP="008F4248">
            <w:pPr>
              <w:spacing w:line="360" w:lineRule="auto"/>
              <w:jc w:val="both"/>
              <w:rPr>
                <w:rFonts w:ascii="Times New Roman" w:hAnsi="Times New Roman" w:cs="Times New Roman"/>
                <w:sz w:val="24"/>
                <w:szCs w:val="24"/>
              </w:rPr>
            </w:pPr>
            <w:r w:rsidRPr="003B048F">
              <w:rPr>
                <w:rFonts w:ascii="Times New Roman" w:hAnsi="Times New Roman" w:cs="Times New Roman"/>
                <w:sz w:val="24"/>
                <w:szCs w:val="24"/>
              </w:rPr>
              <w:t>Debt-to-Equity</w:t>
            </w:r>
          </w:p>
        </w:tc>
        <w:tc>
          <w:tcPr>
            <w:tcW w:w="1418" w:type="dxa"/>
          </w:tcPr>
          <w:p w14:paraId="632D3992" w14:textId="2FEAED96"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1.63</w:t>
            </w:r>
          </w:p>
        </w:tc>
        <w:tc>
          <w:tcPr>
            <w:tcW w:w="1275" w:type="dxa"/>
          </w:tcPr>
          <w:p w14:paraId="590672F3" w14:textId="7F466790"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0.68</w:t>
            </w:r>
          </w:p>
        </w:tc>
        <w:tc>
          <w:tcPr>
            <w:tcW w:w="1418" w:type="dxa"/>
          </w:tcPr>
          <w:p w14:paraId="6774B71B" w14:textId="1048DD11"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0.39</w:t>
            </w:r>
          </w:p>
        </w:tc>
        <w:tc>
          <w:tcPr>
            <w:tcW w:w="1559" w:type="dxa"/>
          </w:tcPr>
          <w:p w14:paraId="03A1770E" w14:textId="5564752F"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0.18</w:t>
            </w:r>
          </w:p>
        </w:tc>
        <w:tc>
          <w:tcPr>
            <w:tcW w:w="1152" w:type="dxa"/>
          </w:tcPr>
          <w:p w14:paraId="64610B4E" w14:textId="1757A51E"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0.72</w:t>
            </w:r>
          </w:p>
        </w:tc>
      </w:tr>
      <w:tr w:rsidR="003B048F" w14:paraId="53EC0D4B" w14:textId="77777777" w:rsidTr="00BC37F1">
        <w:trPr>
          <w:trHeight w:val="208"/>
        </w:trPr>
        <w:tc>
          <w:tcPr>
            <w:tcW w:w="2405" w:type="dxa"/>
          </w:tcPr>
          <w:p w14:paraId="090D2ACA" w14:textId="7C4B175B" w:rsidR="003B048F" w:rsidRPr="003B048F" w:rsidRDefault="003B048F" w:rsidP="008F4248">
            <w:pPr>
              <w:spacing w:line="360" w:lineRule="auto"/>
              <w:jc w:val="both"/>
              <w:rPr>
                <w:rFonts w:ascii="Times New Roman" w:hAnsi="Times New Roman" w:cs="Times New Roman"/>
                <w:sz w:val="24"/>
                <w:szCs w:val="24"/>
              </w:rPr>
            </w:pPr>
            <w:r w:rsidRPr="003B048F">
              <w:rPr>
                <w:rFonts w:ascii="Times New Roman" w:hAnsi="Times New Roman" w:cs="Times New Roman"/>
                <w:sz w:val="24"/>
                <w:szCs w:val="24"/>
              </w:rPr>
              <w:t>EPS ($)</w:t>
            </w:r>
          </w:p>
        </w:tc>
        <w:tc>
          <w:tcPr>
            <w:tcW w:w="1418" w:type="dxa"/>
          </w:tcPr>
          <w:p w14:paraId="592F35E9" w14:textId="6A594226"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0.64</w:t>
            </w:r>
          </w:p>
        </w:tc>
        <w:tc>
          <w:tcPr>
            <w:tcW w:w="1275" w:type="dxa"/>
          </w:tcPr>
          <w:p w14:paraId="03342422" w14:textId="7CDA7A2E"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2.26</w:t>
            </w:r>
          </w:p>
        </w:tc>
        <w:tc>
          <w:tcPr>
            <w:tcW w:w="1418" w:type="dxa"/>
          </w:tcPr>
          <w:p w14:paraId="025AE2D4" w14:textId="2B667468"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3.62</w:t>
            </w:r>
          </w:p>
        </w:tc>
        <w:tc>
          <w:tcPr>
            <w:tcW w:w="1559" w:type="dxa"/>
          </w:tcPr>
          <w:p w14:paraId="73BC9484" w14:textId="11271491"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4.30</w:t>
            </w:r>
          </w:p>
        </w:tc>
        <w:tc>
          <w:tcPr>
            <w:tcW w:w="1152" w:type="dxa"/>
          </w:tcPr>
          <w:p w14:paraId="249A70F4" w14:textId="7607D76C" w:rsidR="003B048F" w:rsidRPr="00BC37F1" w:rsidRDefault="00BC37F1"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2.40</w:t>
            </w:r>
          </w:p>
        </w:tc>
      </w:tr>
    </w:tbl>
    <w:p w14:paraId="5839AA5E" w14:textId="47021B68" w:rsidR="003B048F" w:rsidRPr="00BC37F1" w:rsidRDefault="00BC37F1" w:rsidP="008F4248">
      <w:pPr>
        <w:spacing w:line="360" w:lineRule="auto"/>
        <w:jc w:val="both"/>
        <w:rPr>
          <w:rFonts w:ascii="Times New Roman" w:hAnsi="Times New Roman" w:cs="Times New Roman"/>
          <w:i/>
          <w:iCs/>
          <w:sz w:val="24"/>
          <w:szCs w:val="24"/>
        </w:rPr>
      </w:pPr>
      <w:r w:rsidRPr="00BC37F1">
        <w:rPr>
          <w:rFonts w:ascii="Times New Roman" w:hAnsi="Times New Roman" w:cs="Times New Roman"/>
          <w:i/>
          <w:iCs/>
          <w:sz w:val="24"/>
          <w:szCs w:val="24"/>
        </w:rPr>
        <w:t>Source: Tesla Annual Reports (2020-2024)</w:t>
      </w:r>
    </w:p>
    <w:p w14:paraId="4EDB5D10" w14:textId="089BC776" w:rsidR="00953E49" w:rsidRDefault="00953E49" w:rsidP="00953E49">
      <w:pPr>
        <w:spacing w:line="360" w:lineRule="auto"/>
        <w:jc w:val="center"/>
        <w:rPr>
          <w:rFonts w:ascii="Times New Roman" w:hAnsi="Times New Roman" w:cs="Times New Roman"/>
          <w:sz w:val="24"/>
          <w:szCs w:val="24"/>
        </w:rPr>
      </w:pPr>
      <w:r>
        <w:rPr>
          <w:noProof/>
        </w:rPr>
        <w:lastRenderedPageBreak/>
        <w:drawing>
          <wp:inline distT="0" distB="0" distL="0" distR="0" wp14:anchorId="74DD559A" wp14:editId="6A29F7EB">
            <wp:extent cx="5241851" cy="3125972"/>
            <wp:effectExtent l="0" t="0" r="16510" b="17780"/>
            <wp:docPr id="3" name="Chart 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F72944D" w14:textId="77777777" w:rsidR="007B5C01" w:rsidRDefault="00953E49" w:rsidP="007B5C01">
      <w:pPr>
        <w:spacing w:line="360" w:lineRule="auto"/>
        <w:jc w:val="center"/>
        <w:rPr>
          <w:rFonts w:ascii="Times New Roman" w:hAnsi="Times New Roman" w:cs="Times New Roman"/>
          <w:b/>
          <w:bCs/>
          <w:sz w:val="24"/>
          <w:szCs w:val="24"/>
        </w:rPr>
      </w:pPr>
      <w:r w:rsidRPr="00953E49">
        <w:rPr>
          <w:rFonts w:ascii="Times New Roman" w:hAnsi="Times New Roman" w:cs="Times New Roman"/>
          <w:b/>
          <w:bCs/>
          <w:sz w:val="24"/>
          <w:szCs w:val="24"/>
        </w:rPr>
        <w:t>Figure 1. Revenue Trend (2020–2024)</w:t>
      </w:r>
    </w:p>
    <w:p w14:paraId="134E60E9" w14:textId="5AACBA43" w:rsidR="007B5C01" w:rsidRPr="007B5C01" w:rsidRDefault="007B5C01" w:rsidP="007B5C01">
      <w:pPr>
        <w:spacing w:line="360" w:lineRule="auto"/>
        <w:rPr>
          <w:rFonts w:ascii="Times New Roman" w:hAnsi="Times New Roman" w:cs="Times New Roman"/>
          <w:b/>
          <w:bCs/>
          <w:sz w:val="24"/>
          <w:szCs w:val="24"/>
        </w:rPr>
      </w:pPr>
      <w:r w:rsidRPr="007B5C01">
        <w:rPr>
          <w:rFonts w:ascii="Times New Roman" w:hAnsi="Times New Roman" w:cs="Times New Roman"/>
          <w:b/>
          <w:bCs/>
          <w:i/>
          <w:iCs/>
          <w:sz w:val="24"/>
          <w:szCs w:val="24"/>
        </w:rPr>
        <w:t>Source: Author (based on Tesla Annual Reports)</w:t>
      </w:r>
    </w:p>
    <w:p w14:paraId="158A792A" w14:textId="771FA25C" w:rsidR="00B50F72" w:rsidRDefault="00B50F7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The profitability picture is more erratic. Tesla's net income grew substantially compared to previous years, peaking at around $14.99 billion in 2023, driven by enhanced efficiency and economies of scale (Tesla Inc., 2025). But it has since seen a dramatic drop in profitability, with net income of $7.09 billion in 2024 and $3.79 billion in 2025 (Tesla Inc., 2025). This can be attributed to the company's price cuts, increased operating expenses and growing competition in the EV sector.</w:t>
      </w:r>
    </w:p>
    <w:p w14:paraId="13A4A5E0" w14:textId="738C1195" w:rsidR="00953E49" w:rsidRDefault="00953E49" w:rsidP="00953E49">
      <w:pPr>
        <w:spacing w:line="360" w:lineRule="auto"/>
        <w:jc w:val="center"/>
        <w:rPr>
          <w:rFonts w:ascii="Times New Roman" w:hAnsi="Times New Roman" w:cs="Times New Roman"/>
          <w:sz w:val="24"/>
          <w:szCs w:val="24"/>
        </w:rPr>
      </w:pPr>
      <w:r>
        <w:rPr>
          <w:noProof/>
        </w:rPr>
        <w:lastRenderedPageBreak/>
        <w:drawing>
          <wp:inline distT="0" distB="0" distL="0" distR="0" wp14:anchorId="373CD588" wp14:editId="74D03B9E">
            <wp:extent cx="6081395" cy="4678326"/>
            <wp:effectExtent l="0" t="0" r="14605" b="8255"/>
            <wp:docPr id="2" name="Chart 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8B84A0" w14:textId="75D4E55B" w:rsidR="00953E49" w:rsidRPr="00953E49" w:rsidRDefault="00953E49" w:rsidP="00953E49">
      <w:pPr>
        <w:spacing w:line="360" w:lineRule="auto"/>
        <w:jc w:val="center"/>
        <w:rPr>
          <w:rFonts w:ascii="Times New Roman" w:hAnsi="Times New Roman" w:cs="Times New Roman"/>
          <w:b/>
          <w:bCs/>
          <w:sz w:val="24"/>
          <w:szCs w:val="24"/>
        </w:rPr>
      </w:pPr>
      <w:r w:rsidRPr="00953E49">
        <w:rPr>
          <w:rFonts w:ascii="Times New Roman" w:hAnsi="Times New Roman" w:cs="Times New Roman"/>
          <w:b/>
          <w:bCs/>
          <w:sz w:val="24"/>
          <w:szCs w:val="24"/>
        </w:rPr>
        <w:t>Figure 2. Net Profit Trend (2020–2024)</w:t>
      </w:r>
    </w:p>
    <w:p w14:paraId="63BC4C72" w14:textId="77777777" w:rsidR="007B5C01" w:rsidRPr="007B5C01" w:rsidRDefault="007B5C01" w:rsidP="007B5C01">
      <w:pPr>
        <w:spacing w:line="360" w:lineRule="auto"/>
        <w:rPr>
          <w:rFonts w:ascii="Times New Roman" w:hAnsi="Times New Roman" w:cs="Times New Roman"/>
          <w:b/>
          <w:bCs/>
          <w:sz w:val="24"/>
          <w:szCs w:val="24"/>
        </w:rPr>
      </w:pPr>
      <w:r w:rsidRPr="007B5C01">
        <w:rPr>
          <w:rFonts w:ascii="Times New Roman" w:hAnsi="Times New Roman" w:cs="Times New Roman"/>
          <w:b/>
          <w:bCs/>
          <w:i/>
          <w:iCs/>
          <w:sz w:val="24"/>
          <w:szCs w:val="24"/>
        </w:rPr>
        <w:t>Source: Author (based on Tesla Annual Reports)</w:t>
      </w:r>
    </w:p>
    <w:p w14:paraId="4073F5B0" w14:textId="0FD8AA4A" w:rsidR="0032243F" w:rsidRDefault="00B50F72" w:rsidP="00953E49">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 summary, Tesla enjoyed high growth from 2020 to 2023, driven by the increasing demand for EVs and international expansion. Yet, since 2023, the company is in a phase of transition with a decelerating revenue growth and a drop in profitability. This indicates a maturing market and heightened competition impacting the company's profitability.</w:t>
      </w:r>
    </w:p>
    <w:p w14:paraId="4ADB9CBF" w14:textId="77777777" w:rsidR="00080D10" w:rsidRDefault="00080D10" w:rsidP="00953E49">
      <w:pPr>
        <w:spacing w:line="360" w:lineRule="auto"/>
        <w:jc w:val="both"/>
        <w:rPr>
          <w:rFonts w:ascii="Times New Roman" w:hAnsi="Times New Roman" w:cs="Times New Roman"/>
          <w:sz w:val="24"/>
          <w:szCs w:val="24"/>
        </w:rPr>
      </w:pPr>
    </w:p>
    <w:p w14:paraId="6BDBA914" w14:textId="77777777" w:rsidR="00080D10" w:rsidRDefault="00080D10" w:rsidP="00953E49">
      <w:pPr>
        <w:spacing w:line="360" w:lineRule="auto"/>
        <w:jc w:val="both"/>
        <w:rPr>
          <w:rFonts w:ascii="Times New Roman" w:hAnsi="Times New Roman" w:cs="Times New Roman"/>
          <w:sz w:val="24"/>
          <w:szCs w:val="24"/>
        </w:rPr>
      </w:pPr>
    </w:p>
    <w:p w14:paraId="48D3278E" w14:textId="77777777" w:rsidR="00080D10" w:rsidRDefault="00080D10" w:rsidP="00953E49">
      <w:pPr>
        <w:spacing w:line="360" w:lineRule="auto"/>
        <w:jc w:val="both"/>
        <w:rPr>
          <w:rFonts w:ascii="Times New Roman" w:hAnsi="Times New Roman" w:cs="Times New Roman"/>
          <w:sz w:val="24"/>
          <w:szCs w:val="24"/>
        </w:rPr>
      </w:pPr>
    </w:p>
    <w:p w14:paraId="2C94F2E4" w14:textId="77777777" w:rsidR="00080D10" w:rsidRDefault="00080D10" w:rsidP="00953E49">
      <w:pPr>
        <w:spacing w:line="360" w:lineRule="auto"/>
        <w:jc w:val="both"/>
        <w:rPr>
          <w:rFonts w:ascii="Times New Roman" w:hAnsi="Times New Roman" w:cs="Times New Roman"/>
          <w:sz w:val="24"/>
          <w:szCs w:val="24"/>
        </w:rPr>
      </w:pPr>
    </w:p>
    <w:p w14:paraId="51402E8B" w14:textId="1945089E" w:rsidR="00C51941" w:rsidRPr="008F4248" w:rsidRDefault="008F4248" w:rsidP="008F4248">
      <w:pPr>
        <w:pStyle w:val="Heading2"/>
        <w:rPr>
          <w:sz w:val="28"/>
          <w:szCs w:val="28"/>
        </w:rPr>
      </w:pPr>
      <w:bookmarkStart w:id="2" w:name="_Toc228106292"/>
      <w:r w:rsidRPr="008F4248">
        <w:rPr>
          <w:sz w:val="28"/>
          <w:szCs w:val="28"/>
        </w:rPr>
        <w:lastRenderedPageBreak/>
        <w:t>1</w:t>
      </w:r>
      <w:r w:rsidR="00C51941" w:rsidRPr="008F4248">
        <w:rPr>
          <w:sz w:val="28"/>
          <w:szCs w:val="28"/>
        </w:rPr>
        <w:t>.2 Ratio Analysis</w:t>
      </w:r>
      <w:bookmarkEnd w:id="2"/>
    </w:p>
    <w:p w14:paraId="26467439" w14:textId="22318A93" w:rsidR="00C51941" w:rsidRPr="008F4248" w:rsidRDefault="008F4248" w:rsidP="008F4248">
      <w:pPr>
        <w:pStyle w:val="Heading3"/>
        <w:rPr>
          <w:sz w:val="24"/>
          <w:szCs w:val="24"/>
        </w:rPr>
      </w:pPr>
      <w:bookmarkStart w:id="3" w:name="_Toc228106293"/>
      <w:r>
        <w:rPr>
          <w:sz w:val="24"/>
          <w:szCs w:val="24"/>
        </w:rPr>
        <w:t>1</w:t>
      </w:r>
      <w:r w:rsidR="00C51941" w:rsidRPr="008F4248">
        <w:rPr>
          <w:sz w:val="24"/>
          <w:szCs w:val="24"/>
        </w:rPr>
        <w:t>.</w:t>
      </w:r>
      <w:r>
        <w:rPr>
          <w:sz w:val="24"/>
          <w:szCs w:val="24"/>
        </w:rPr>
        <w:t>2</w:t>
      </w:r>
      <w:r w:rsidR="00C51941" w:rsidRPr="008F4248">
        <w:rPr>
          <w:sz w:val="24"/>
          <w:szCs w:val="24"/>
        </w:rPr>
        <w:t>.1 Profitability Ratios</w:t>
      </w:r>
      <w:bookmarkEnd w:id="3"/>
    </w:p>
    <w:p w14:paraId="5057256F" w14:textId="62B3E806" w:rsidR="0032050B" w:rsidRDefault="00080D10"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Profitability ratios indicate a notable transformation in Tesla’s financial performance. The net profit margin surged from 2.3% in 2020 to 15.5% in 2023, showcasing robust operational efficiency and adept cost management. This timeframe illustrates Tesla’s capacity to leverage high demand while upholding cost discipline (Brealey et al., 2020). </w:t>
      </w:r>
    </w:p>
    <w:p w14:paraId="631E1919" w14:textId="5F5BEB6B" w:rsidR="00080D10" w:rsidRDefault="00080D10"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Nevertheless, the subsequent drop to 7.3% in 2024 signifies a considerable decline in profitability. This downturn can be linked to several critical factors: </w:t>
      </w:r>
    </w:p>
    <w:p w14:paraId="5185F623" w14:textId="68BE9B77" w:rsidR="00080D10" w:rsidRDefault="00080D10"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aggressive price cuts aimed at preserving market share </w:t>
      </w:r>
    </w:p>
    <w:p w14:paraId="23EE8908" w14:textId="2F7277BE" w:rsidR="00080D10" w:rsidRDefault="00080D10"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escalating raw materials and production expenses </w:t>
      </w:r>
    </w:p>
    <w:p w14:paraId="24B5C460" w14:textId="0FBE0597" w:rsidR="00080D10" w:rsidRDefault="00080D10"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-heightened competition from international EV manufacturers. </w:t>
      </w:r>
    </w:p>
    <w:p w14:paraId="188605D1" w14:textId="21655A40" w:rsidR="00080D10" w:rsidRDefault="00080D10"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a strategic viewpoint, Tesla’s pricing approach signifies a conscious choice to emphasize volume over profits margins. Although this strategy may support revenue growth in the short run, it raises apprehension about long-term profitability and value generation. </w:t>
      </w:r>
    </w:p>
    <w:p w14:paraId="47A41127" w14:textId="77777777" w:rsidR="0049742A" w:rsidRDefault="00080D10"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Return on Capital</w:t>
      </w:r>
      <w:r w:rsidR="0049742A">
        <w:rPr>
          <w:rFonts w:ascii="Times New Roman" w:hAnsi="Times New Roman" w:cs="Times New Roman"/>
          <w:sz w:val="24"/>
          <w:szCs w:val="24"/>
        </w:rPr>
        <w:t xml:space="preserve"> Employed (ROCE) further substantiates this pattern. The rise to 27.9% in 2023 reflects highly effective capital utilization during the growth phase. However, the drop to 16.2% in 2024 indicates diminishing returns on new investments. </w:t>
      </w:r>
    </w:p>
    <w:p w14:paraId="7390D9BF" w14:textId="1E3FFC42" w:rsidR="00080D10" w:rsidRPr="008F4248" w:rsidRDefault="00E14E8A"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-&gt; </w:t>
      </w:r>
      <w:r w:rsidR="0049742A">
        <w:rPr>
          <w:rFonts w:ascii="Times New Roman" w:hAnsi="Times New Roman" w:cs="Times New Roman"/>
          <w:sz w:val="24"/>
          <w:szCs w:val="24"/>
        </w:rPr>
        <w:t xml:space="preserve">From a CFO’s perspective, this suggests that Tesla’s recent investments are not yielding proportional returns, underscoring the necessity for more discerning and strategic capital allocation. </w:t>
      </w:r>
      <w:r w:rsidR="00080D10">
        <w:rPr>
          <w:rFonts w:ascii="Times New Roman" w:hAnsi="Times New Roman" w:cs="Times New Roman"/>
          <w:sz w:val="24"/>
          <w:szCs w:val="24"/>
        </w:rPr>
        <w:t xml:space="preserve"> </w:t>
      </w:r>
    </w:p>
    <w:p w14:paraId="3A43FCC0" w14:textId="05ED371E" w:rsidR="0032050B" w:rsidRPr="0032243F" w:rsidRDefault="008F4248" w:rsidP="0032243F">
      <w:pPr>
        <w:pStyle w:val="Heading3"/>
        <w:rPr>
          <w:sz w:val="24"/>
          <w:szCs w:val="24"/>
        </w:rPr>
      </w:pPr>
      <w:bookmarkStart w:id="4" w:name="_Toc228106294"/>
      <w:r w:rsidRPr="0032243F">
        <w:rPr>
          <w:sz w:val="24"/>
          <w:szCs w:val="24"/>
        </w:rPr>
        <w:t>1</w:t>
      </w:r>
      <w:r w:rsidR="0032050B" w:rsidRPr="0032243F">
        <w:rPr>
          <w:sz w:val="24"/>
          <w:szCs w:val="24"/>
        </w:rPr>
        <w:t>.2.2 Liquidity Ratios</w:t>
      </w:r>
      <w:bookmarkEnd w:id="4"/>
    </w:p>
    <w:p w14:paraId="3CD5717A" w14:textId="261B0696" w:rsidR="0032050B" w:rsidRDefault="00E14E8A"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Liquidity ratios offer valuable insights into Tesla’s capacity to fulfill its short-term financial obligations. The current ratio experienced a decrease from 2.16 in 2022 to 1.53 in 2024, while the quick ratio dropped below 1. </w:t>
      </w:r>
    </w:p>
    <w:p w14:paraId="0B358946" w14:textId="56DCDC55" w:rsidR="00E14E8A" w:rsidRDefault="00E14E8A"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This trend suggests that Tesla’s liquidity position is deteriorating, largely as a result of heightened capital expenditures and investments in future technologies, including AI and autonomous driving systems.</w:t>
      </w:r>
    </w:p>
    <w:p w14:paraId="5277AC1E" w14:textId="2842EF8A" w:rsidR="00E14E8A" w:rsidRDefault="00E14E8A"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Tesla’s ability to generate robust operating cash flows, these are increasingly counterbalanced by substantial reinvestment levels. As noted by Ross et al. (2022), it is essential to maintain sufficient liquidity for financial stability, especially in industries that require significant capital investment. </w:t>
      </w:r>
    </w:p>
    <w:p w14:paraId="47B2DC68" w14:textId="583DF7AD" w:rsidR="00E14E8A" w:rsidRPr="00E14E8A" w:rsidRDefault="00E14E8A" w:rsidP="00E14E8A">
      <w:pPr>
        <w:pStyle w:val="ListParagraph"/>
        <w:numPr>
          <w:ilvl w:val="0"/>
          <w:numId w:val="64"/>
        </w:numPr>
        <w:spacing w:line="360" w:lineRule="auto"/>
        <w:jc w:val="both"/>
        <w:rPr>
          <w:rFonts w:ascii="Times New Roman" w:hAnsi="Times New Roman" w:cs="Times New Roman"/>
          <w:sz w:val="24"/>
          <w:szCs w:val="24"/>
        </w:rPr>
      </w:pPr>
      <w:r w:rsidRPr="00E14E8A">
        <w:rPr>
          <w:rFonts w:ascii="Times New Roman" w:hAnsi="Times New Roman" w:cs="Times New Roman"/>
          <w:sz w:val="24"/>
          <w:szCs w:val="24"/>
        </w:rPr>
        <w:t xml:space="preserve">Tesla’s current approach </w:t>
      </w:r>
      <w:r>
        <w:rPr>
          <w:rFonts w:ascii="Times New Roman" w:hAnsi="Times New Roman" w:cs="Times New Roman"/>
          <w:sz w:val="24"/>
          <w:szCs w:val="24"/>
        </w:rPr>
        <w:t xml:space="preserve">emphasizes </w:t>
      </w:r>
      <w:r w:rsidR="003568D2">
        <w:rPr>
          <w:rFonts w:ascii="Times New Roman" w:hAnsi="Times New Roman" w:cs="Times New Roman"/>
          <w:sz w:val="24"/>
          <w:szCs w:val="24"/>
        </w:rPr>
        <w:t>long-term</w:t>
      </w:r>
      <w:r>
        <w:rPr>
          <w:rFonts w:ascii="Times New Roman" w:hAnsi="Times New Roman" w:cs="Times New Roman"/>
          <w:sz w:val="24"/>
          <w:szCs w:val="24"/>
        </w:rPr>
        <w:t xml:space="preserve"> growth at the expense of short-term liquidity, thereby elevating financial risk. </w:t>
      </w:r>
    </w:p>
    <w:p w14:paraId="69E327C2" w14:textId="77777777" w:rsidR="00E14E8A" w:rsidRDefault="00E14E8A" w:rsidP="008F4248">
      <w:pPr>
        <w:spacing w:line="360" w:lineRule="auto"/>
        <w:jc w:val="both"/>
        <w:rPr>
          <w:rFonts w:ascii="Times New Roman" w:hAnsi="Times New Roman" w:cs="Times New Roman"/>
          <w:sz w:val="24"/>
          <w:szCs w:val="24"/>
        </w:rPr>
      </w:pPr>
    </w:p>
    <w:p w14:paraId="35EB3BA3" w14:textId="3A67D943" w:rsidR="00953E49" w:rsidRDefault="00953E49" w:rsidP="00953E49">
      <w:pPr>
        <w:spacing w:line="360" w:lineRule="auto"/>
        <w:jc w:val="center"/>
        <w:rPr>
          <w:rFonts w:ascii="Times New Roman" w:hAnsi="Times New Roman" w:cs="Times New Roman"/>
          <w:sz w:val="24"/>
          <w:szCs w:val="24"/>
        </w:rPr>
      </w:pPr>
      <w:r>
        <w:rPr>
          <w:noProof/>
        </w:rPr>
        <w:drawing>
          <wp:inline distT="0" distB="0" distL="0" distR="0" wp14:anchorId="1F0BC22F" wp14:editId="40CAAD51">
            <wp:extent cx="6113145" cy="3976577"/>
            <wp:effectExtent l="0" t="0" r="1905" b="5080"/>
            <wp:docPr id="1"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D06BB34" w14:textId="32D130F5" w:rsidR="00953E49" w:rsidRPr="00953E49" w:rsidRDefault="00953E49" w:rsidP="00953E49">
      <w:pPr>
        <w:spacing w:line="360" w:lineRule="auto"/>
        <w:jc w:val="center"/>
        <w:rPr>
          <w:rFonts w:ascii="Times New Roman" w:hAnsi="Times New Roman" w:cs="Times New Roman"/>
          <w:b/>
          <w:bCs/>
          <w:sz w:val="24"/>
          <w:szCs w:val="24"/>
        </w:rPr>
      </w:pPr>
      <w:r w:rsidRPr="00953E49">
        <w:rPr>
          <w:rFonts w:ascii="Times New Roman" w:hAnsi="Times New Roman" w:cs="Times New Roman"/>
          <w:b/>
          <w:bCs/>
          <w:sz w:val="24"/>
          <w:szCs w:val="24"/>
        </w:rPr>
        <w:t>Figure 3. Profitability and Liquidity Ratios</w:t>
      </w:r>
    </w:p>
    <w:p w14:paraId="4DCD9DCF" w14:textId="77777777" w:rsidR="007B5C01" w:rsidRPr="007B5C01" w:rsidRDefault="007B5C01" w:rsidP="007B5C01">
      <w:pPr>
        <w:spacing w:line="360" w:lineRule="auto"/>
        <w:rPr>
          <w:rFonts w:ascii="Times New Roman" w:hAnsi="Times New Roman" w:cs="Times New Roman"/>
          <w:b/>
          <w:bCs/>
          <w:sz w:val="24"/>
          <w:szCs w:val="24"/>
        </w:rPr>
      </w:pPr>
      <w:r w:rsidRPr="007B5C01">
        <w:rPr>
          <w:rFonts w:ascii="Times New Roman" w:hAnsi="Times New Roman" w:cs="Times New Roman"/>
          <w:b/>
          <w:bCs/>
          <w:i/>
          <w:iCs/>
          <w:sz w:val="24"/>
          <w:szCs w:val="24"/>
        </w:rPr>
        <w:t>Source: Author (based on Tesla Annual Reports)</w:t>
      </w:r>
    </w:p>
    <w:p w14:paraId="7A37E73E" w14:textId="77777777" w:rsidR="00E14E8A" w:rsidRPr="00953E49" w:rsidRDefault="00E14E8A" w:rsidP="00953E49">
      <w:pPr>
        <w:spacing w:line="360" w:lineRule="auto"/>
        <w:jc w:val="center"/>
        <w:rPr>
          <w:rFonts w:ascii="Times New Roman" w:hAnsi="Times New Roman" w:cs="Times New Roman"/>
          <w:b/>
          <w:bCs/>
          <w:sz w:val="24"/>
          <w:szCs w:val="24"/>
        </w:rPr>
      </w:pPr>
    </w:p>
    <w:p w14:paraId="636F17DB" w14:textId="0279DB08" w:rsidR="0032050B" w:rsidRPr="008F4248" w:rsidRDefault="008F4248" w:rsidP="008F4248">
      <w:pPr>
        <w:pStyle w:val="Heading3"/>
        <w:rPr>
          <w:sz w:val="24"/>
          <w:szCs w:val="24"/>
        </w:rPr>
      </w:pPr>
      <w:bookmarkStart w:id="5" w:name="_Toc228106295"/>
      <w:r w:rsidRPr="008F4248">
        <w:rPr>
          <w:sz w:val="24"/>
          <w:szCs w:val="24"/>
        </w:rPr>
        <w:lastRenderedPageBreak/>
        <w:t>1</w:t>
      </w:r>
      <w:r w:rsidR="0032050B" w:rsidRPr="008F4248">
        <w:rPr>
          <w:sz w:val="24"/>
          <w:szCs w:val="24"/>
        </w:rPr>
        <w:t>.2.3 Efficiency Ratios</w:t>
      </w:r>
      <w:bookmarkEnd w:id="5"/>
    </w:p>
    <w:p w14:paraId="4E4DAA6A" w14:textId="2376E2EC" w:rsidR="0032050B" w:rsidRDefault="003568D2"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Efficiency ratios evaluate the effectiveness with which Tesla employs its assets. The inventory turnover has remained stable, suggesting a consistent approach to inventory management. Nonetheless, minor fluctuations indicate potential inefficiencies stemming from demand variability and disruptions within the supply chain. </w:t>
      </w:r>
    </w:p>
    <w:p w14:paraId="5EBD492D" w14:textId="74E11285" w:rsidR="003568D2" w:rsidRDefault="003568D2"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receivables turnover continues to be robust, showcasing Tesla’s direct-to-consumer sales strategy. This model facilitates quicker cash collections in comparison to conventional automative companies, thereby offering a competitive edge. </w:t>
      </w:r>
    </w:p>
    <w:p w14:paraId="3680773C" w14:textId="7D36A541" w:rsidR="003568D2" w:rsidRDefault="003568D2"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Nevertheless, the recent rise in receivable days points to a slight decline in collection efficiency, which could adversely affect cash flow moving forward. </w:t>
      </w:r>
    </w:p>
    <w:p w14:paraId="16FE6530" w14:textId="7C40D839" w:rsidR="003568D2" w:rsidRPr="003568D2" w:rsidRDefault="003568D2" w:rsidP="003568D2">
      <w:pPr>
        <w:pStyle w:val="ListParagraph"/>
        <w:numPr>
          <w:ilvl w:val="0"/>
          <w:numId w:val="6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Tesla’s efficiency remains strong, yet it exhibits early indications </w:t>
      </w:r>
      <w:r w:rsidR="00993E60">
        <w:rPr>
          <w:rFonts w:ascii="Times New Roman" w:hAnsi="Times New Roman" w:cs="Times New Roman"/>
          <w:sz w:val="24"/>
          <w:szCs w:val="24"/>
        </w:rPr>
        <w:t xml:space="preserve">of operational strain. </w:t>
      </w:r>
    </w:p>
    <w:p w14:paraId="419E64FC" w14:textId="77777777" w:rsidR="00BC37F1" w:rsidRPr="008F4248" w:rsidRDefault="00BC37F1" w:rsidP="008F4248">
      <w:pPr>
        <w:spacing w:line="360" w:lineRule="auto"/>
        <w:jc w:val="both"/>
        <w:rPr>
          <w:rFonts w:ascii="Times New Roman" w:hAnsi="Times New Roman" w:cs="Times New Roman"/>
          <w:sz w:val="24"/>
          <w:szCs w:val="24"/>
        </w:rPr>
      </w:pPr>
    </w:p>
    <w:p w14:paraId="618CDB61" w14:textId="21947685" w:rsidR="0032050B" w:rsidRPr="008F4248" w:rsidRDefault="008F4248" w:rsidP="008F4248">
      <w:pPr>
        <w:pStyle w:val="Heading3"/>
        <w:rPr>
          <w:sz w:val="24"/>
          <w:szCs w:val="24"/>
        </w:rPr>
      </w:pPr>
      <w:bookmarkStart w:id="6" w:name="_Toc228106296"/>
      <w:r w:rsidRPr="008F4248">
        <w:rPr>
          <w:sz w:val="24"/>
          <w:szCs w:val="24"/>
        </w:rPr>
        <w:t>1</w:t>
      </w:r>
      <w:r w:rsidR="0032050B" w:rsidRPr="008F4248">
        <w:rPr>
          <w:sz w:val="24"/>
          <w:szCs w:val="24"/>
        </w:rPr>
        <w:t>.2.4 Gearing Ratios</w:t>
      </w:r>
      <w:bookmarkEnd w:id="6"/>
    </w:p>
    <w:p w14:paraId="1067DC2F" w14:textId="336F0180" w:rsidR="0032050B" w:rsidRDefault="00993E60"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Tesla’s gearing ratio indicates a transformation in its financial strategy. The organization has notably decreased its debt levels from 2020 to 2023, which has led to enhanced financial stability and a reduction in risk.</w:t>
      </w:r>
    </w:p>
    <w:p w14:paraId="4B47927C" w14:textId="7FB4AA03" w:rsidR="00993E60" w:rsidRDefault="00993E60"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Nevertheless, the rise in the debt-to-equity ratio in 2024 implies a renewed dependence on debt financing. This trend may be influenced by the necessity to finance substantial investments in technology and infrastructure. </w:t>
      </w:r>
    </w:p>
    <w:p w14:paraId="674C13E4" w14:textId="2332D442" w:rsidR="00993E60" w:rsidRDefault="00993E60"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noted by Arnold (2022), while moderate leverage can improve returns, an overabundance of debt heightens financial risk, especially during times of declining profitability. </w:t>
      </w:r>
    </w:p>
    <w:p w14:paraId="18625A03" w14:textId="02EB2006" w:rsidR="00993E60" w:rsidRDefault="00993E60" w:rsidP="00993E60">
      <w:pPr>
        <w:spacing w:line="360" w:lineRule="auto"/>
        <w:jc w:val="both"/>
        <w:rPr>
          <w:rFonts w:ascii="Times New Roman" w:hAnsi="Times New Roman" w:cs="Times New Roman"/>
          <w:sz w:val="24"/>
          <w:szCs w:val="24"/>
        </w:rPr>
      </w:pPr>
      <w:r>
        <w:rPr>
          <w:rFonts w:ascii="Times New Roman" w:hAnsi="Times New Roman" w:cs="Times New Roman"/>
          <w:sz w:val="24"/>
          <w:szCs w:val="24"/>
        </w:rPr>
        <w:t>-&gt; Tesla needs to sustain a well-balanced</w:t>
      </w:r>
      <w:bookmarkStart w:id="7" w:name="_Toc228106297"/>
      <w:r>
        <w:rPr>
          <w:rFonts w:ascii="Times New Roman" w:hAnsi="Times New Roman" w:cs="Times New Roman"/>
          <w:sz w:val="24"/>
          <w:szCs w:val="24"/>
        </w:rPr>
        <w:t xml:space="preserve"> capital structure to mitigate excessive financial risk. </w:t>
      </w:r>
    </w:p>
    <w:p w14:paraId="7B76BEED" w14:textId="5BB3B638" w:rsidR="0032050B" w:rsidRPr="00993E60" w:rsidRDefault="008F4248" w:rsidP="00993E60">
      <w:pPr>
        <w:spacing w:line="360" w:lineRule="auto"/>
        <w:jc w:val="both"/>
        <w:rPr>
          <w:rFonts w:ascii="Times New Roman" w:hAnsi="Times New Roman" w:cs="Times New Roman"/>
          <w:b/>
          <w:bCs/>
          <w:sz w:val="24"/>
          <w:szCs w:val="24"/>
        </w:rPr>
      </w:pPr>
      <w:r w:rsidRPr="00993E60">
        <w:rPr>
          <w:rFonts w:ascii="Times New Roman" w:hAnsi="Times New Roman" w:cs="Times New Roman"/>
          <w:b/>
          <w:bCs/>
          <w:sz w:val="24"/>
          <w:szCs w:val="24"/>
        </w:rPr>
        <w:t>1</w:t>
      </w:r>
      <w:r w:rsidR="0032050B" w:rsidRPr="00993E60">
        <w:rPr>
          <w:rFonts w:ascii="Times New Roman" w:hAnsi="Times New Roman" w:cs="Times New Roman"/>
          <w:b/>
          <w:bCs/>
          <w:sz w:val="24"/>
          <w:szCs w:val="24"/>
        </w:rPr>
        <w:t>.2.5 Investment Ratios</w:t>
      </w:r>
      <w:bookmarkEnd w:id="7"/>
    </w:p>
    <w:p w14:paraId="60DC78B6" w14:textId="7656E3E1" w:rsidR="00C51941" w:rsidRDefault="00944AB0"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Investment ratios underscores the effect of diminishing profitability on returns for shareholders. Earnings per share (EPS) saw a substantial rise during the growth phase, yet experienced a decline in 2024. </w:t>
      </w:r>
    </w:p>
    <w:p w14:paraId="53AA6D55" w14:textId="1DAFBF83" w:rsidR="00944AB0" w:rsidRDefault="00944AB0"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This suggests a decrease in returns for investors, which could adversely influence market confidence. Considering Tesla’s elevated valuation, it is essential to uphold robust earnings growth to preserve investor confidence. </w:t>
      </w:r>
    </w:p>
    <w:p w14:paraId="526877E0" w14:textId="77777777" w:rsidR="00E14E8A" w:rsidRPr="008F4248" w:rsidRDefault="00E14E8A" w:rsidP="008F4248">
      <w:pPr>
        <w:spacing w:line="360" w:lineRule="auto"/>
        <w:jc w:val="both"/>
        <w:rPr>
          <w:rFonts w:ascii="Times New Roman" w:hAnsi="Times New Roman" w:cs="Times New Roman"/>
          <w:sz w:val="24"/>
          <w:szCs w:val="24"/>
        </w:rPr>
      </w:pPr>
    </w:p>
    <w:p w14:paraId="050FCC0A" w14:textId="77777777" w:rsidR="00C51941" w:rsidRPr="009A5F55" w:rsidRDefault="00C51941" w:rsidP="009A5F55">
      <w:pPr>
        <w:pStyle w:val="Heading2"/>
        <w:rPr>
          <w:sz w:val="28"/>
          <w:szCs w:val="28"/>
        </w:rPr>
      </w:pPr>
      <w:bookmarkStart w:id="8" w:name="_Toc228106298"/>
      <w:r w:rsidRPr="009A5F55">
        <w:rPr>
          <w:sz w:val="28"/>
          <w:szCs w:val="28"/>
        </w:rPr>
        <w:t>2.3 Overall Evaluation</w:t>
      </w:r>
      <w:bookmarkEnd w:id="8"/>
    </w:p>
    <w:p w14:paraId="4A136104" w14:textId="77777777" w:rsidR="00C51941" w:rsidRPr="009A5F55" w:rsidRDefault="00C51941" w:rsidP="008F4248">
      <w:pPr>
        <w:spacing w:line="360" w:lineRule="auto"/>
        <w:jc w:val="both"/>
        <w:rPr>
          <w:rFonts w:ascii="Times New Roman" w:hAnsi="Times New Roman" w:cs="Times New Roman"/>
          <w:b/>
          <w:bCs/>
          <w:sz w:val="24"/>
          <w:szCs w:val="24"/>
        </w:rPr>
      </w:pPr>
      <w:r w:rsidRPr="009A5F55">
        <w:rPr>
          <w:rFonts w:ascii="Times New Roman" w:hAnsi="Times New Roman" w:cs="Times New Roman"/>
          <w:b/>
          <w:bCs/>
          <w:sz w:val="24"/>
          <w:szCs w:val="24"/>
        </w:rPr>
        <w:t>Strengths</w:t>
      </w:r>
    </w:p>
    <w:p w14:paraId="647DB7EF" w14:textId="4C424ADC"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Strong revenue growth between 2020–2023 </w:t>
      </w:r>
    </w:p>
    <w:p w14:paraId="460631BA" w14:textId="15E34FB8"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High profitability during expansion phase </w:t>
      </w:r>
    </w:p>
    <w:p w14:paraId="76AE879B" w14:textId="3B511D7B"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Strong brand and global market position </w:t>
      </w:r>
    </w:p>
    <w:p w14:paraId="209539C0" w14:textId="50467B8D"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Efficient direct sales model improving cash flow </w:t>
      </w:r>
    </w:p>
    <w:p w14:paraId="69EDA6A2" w14:textId="272D2F3C"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Continued investment in innovation and future technologies </w:t>
      </w:r>
    </w:p>
    <w:p w14:paraId="5D1E931B" w14:textId="77777777" w:rsidR="00C51941" w:rsidRPr="009A5F55" w:rsidRDefault="00C51941" w:rsidP="008F4248">
      <w:pPr>
        <w:spacing w:line="360" w:lineRule="auto"/>
        <w:jc w:val="both"/>
        <w:rPr>
          <w:rFonts w:ascii="Times New Roman" w:hAnsi="Times New Roman" w:cs="Times New Roman"/>
          <w:b/>
          <w:bCs/>
          <w:sz w:val="24"/>
          <w:szCs w:val="24"/>
        </w:rPr>
      </w:pPr>
      <w:r w:rsidRPr="009A5F55">
        <w:rPr>
          <w:rFonts w:ascii="Times New Roman" w:hAnsi="Times New Roman" w:cs="Times New Roman"/>
          <w:b/>
          <w:bCs/>
          <w:sz w:val="24"/>
          <w:szCs w:val="24"/>
        </w:rPr>
        <w:t>Weaknesses</w:t>
      </w:r>
    </w:p>
    <w:p w14:paraId="78FE4F1E" w14:textId="47851C89"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Declining profitability since 2023 </w:t>
      </w:r>
    </w:p>
    <w:p w14:paraId="4F2E29B5" w14:textId="3BBE78B4"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Margin pressure due to price reductions </w:t>
      </w:r>
    </w:p>
    <w:p w14:paraId="3902EFAD" w14:textId="5FC5ED97"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Increasing operating costs </w:t>
      </w:r>
    </w:p>
    <w:p w14:paraId="40B1A168" w14:textId="7C27C8A5"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Slowing revenue growth </w:t>
      </w:r>
    </w:p>
    <w:p w14:paraId="3861C2CD" w14:textId="6EEF679D"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Rising capital expenditure impacting financial flexibility </w:t>
      </w:r>
    </w:p>
    <w:p w14:paraId="197B00ED" w14:textId="77777777" w:rsidR="00C51941" w:rsidRPr="009A5F55" w:rsidRDefault="00C51941" w:rsidP="008F4248">
      <w:pPr>
        <w:spacing w:line="360" w:lineRule="auto"/>
        <w:jc w:val="both"/>
        <w:rPr>
          <w:rFonts w:ascii="Times New Roman" w:hAnsi="Times New Roman" w:cs="Times New Roman"/>
          <w:b/>
          <w:bCs/>
          <w:sz w:val="24"/>
          <w:szCs w:val="24"/>
        </w:rPr>
      </w:pPr>
      <w:r w:rsidRPr="009A5F55">
        <w:rPr>
          <w:rFonts w:ascii="Times New Roman" w:hAnsi="Times New Roman" w:cs="Times New Roman"/>
          <w:b/>
          <w:bCs/>
          <w:sz w:val="24"/>
          <w:szCs w:val="24"/>
        </w:rPr>
        <w:t>Risks</w:t>
      </w:r>
    </w:p>
    <w:p w14:paraId="1EDF3E65" w14:textId="652BFEEA"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Increasing competition from global EV manufacturers </w:t>
      </w:r>
    </w:p>
    <w:p w14:paraId="7569684D" w14:textId="4E1BA9B2"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Declining demand in key markets </w:t>
      </w:r>
    </w:p>
    <w:p w14:paraId="67D35A57" w14:textId="67D62324"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Technological uncertainty in AI and autonomous vehicles </w:t>
      </w:r>
    </w:p>
    <w:p w14:paraId="323DABED" w14:textId="3684E9CC" w:rsidR="00C51941" w:rsidRPr="008F4248"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Rising financial risk due to increased debt </w:t>
      </w:r>
    </w:p>
    <w:p w14:paraId="2A503E0B" w14:textId="77777777" w:rsidR="00112920" w:rsidRDefault="00C51941" w:rsidP="004F35F2">
      <w:pPr>
        <w:pStyle w:val="ListParagraph"/>
        <w:numPr>
          <w:ilvl w:val="0"/>
          <w:numId w:val="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Economic factors such as inflation and interest rates </w:t>
      </w:r>
    </w:p>
    <w:p w14:paraId="51EDBB8A" w14:textId="115A3B19" w:rsidR="00944AB0" w:rsidRDefault="00944AB0" w:rsidP="00944A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-&gt; From Strategic standpoint, Tesla is not facing financial difficulties; rather, it is experiencing a significant transition. The organization needs to move from a phase of rapid expansion to one focused on sustainable profitability and financial discipline. </w:t>
      </w:r>
    </w:p>
    <w:p w14:paraId="3F03E0D4" w14:textId="77777777" w:rsidR="00944AB0" w:rsidRDefault="00944AB0" w:rsidP="00944AB0">
      <w:pPr>
        <w:spacing w:line="360" w:lineRule="auto"/>
        <w:jc w:val="both"/>
        <w:rPr>
          <w:rFonts w:ascii="Times New Roman" w:hAnsi="Times New Roman" w:cs="Times New Roman"/>
          <w:sz w:val="24"/>
          <w:szCs w:val="24"/>
        </w:rPr>
      </w:pPr>
    </w:p>
    <w:p w14:paraId="4E07645F" w14:textId="5FF116C8" w:rsidR="00944AB0" w:rsidRDefault="00944AB0" w:rsidP="00944AB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Key priorities encompass:</w:t>
      </w:r>
    </w:p>
    <w:p w14:paraId="47C0C325" w14:textId="647B99A9" w:rsidR="007B5C01" w:rsidRDefault="00944AB0" w:rsidP="00944AB0">
      <w:pPr>
        <w:spacing w:line="360" w:lineRule="auto"/>
        <w:jc w:val="both"/>
        <w:rPr>
          <w:rFonts w:ascii="Times New Roman" w:hAnsi="Times New Roman" w:cs="Times New Roman"/>
          <w:sz w:val="24"/>
          <w:szCs w:val="24"/>
        </w:rPr>
      </w:pPr>
      <w:r>
        <w:rPr>
          <w:rFonts w:ascii="Times New Roman" w:hAnsi="Times New Roman" w:cs="Times New Roman"/>
          <w:sz w:val="24"/>
          <w:szCs w:val="24"/>
        </w:rPr>
        <w:t>Enha</w:t>
      </w:r>
      <w:r w:rsidR="007B5C01">
        <w:rPr>
          <w:rFonts w:ascii="Times New Roman" w:hAnsi="Times New Roman" w:cs="Times New Roman"/>
          <w:sz w:val="24"/>
          <w:szCs w:val="24"/>
        </w:rPr>
        <w:t>ncing cost efficiency optimizing capital allocation fortifying liquidity management.</w:t>
      </w:r>
    </w:p>
    <w:p w14:paraId="6F3AA29D" w14:textId="73F4BE31" w:rsidR="007B5C01" w:rsidRPr="00944AB0" w:rsidRDefault="007B5C01" w:rsidP="00944A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Neglecting to tackle these concerns could result in additional margin erosion and heightened financial risk. </w:t>
      </w:r>
    </w:p>
    <w:p w14:paraId="5314A530" w14:textId="18869B7E" w:rsidR="007154EA" w:rsidRPr="001E1BC0" w:rsidRDefault="001E1BC0" w:rsidP="001E1BC0">
      <w:pPr>
        <w:pStyle w:val="Heading1"/>
        <w:rPr>
          <w:sz w:val="32"/>
          <w:szCs w:val="32"/>
        </w:rPr>
      </w:pPr>
      <w:bookmarkStart w:id="9" w:name="_Toc228106299"/>
      <w:r>
        <w:rPr>
          <w:sz w:val="32"/>
          <w:szCs w:val="32"/>
        </w:rPr>
        <w:t xml:space="preserve">2. </w:t>
      </w:r>
      <w:r w:rsidR="009A5F55" w:rsidRPr="001E1BC0">
        <w:rPr>
          <w:sz w:val="32"/>
          <w:szCs w:val="32"/>
        </w:rPr>
        <w:t>Working Capital Management Analysis</w:t>
      </w:r>
      <w:bookmarkEnd w:id="9"/>
    </w:p>
    <w:p w14:paraId="7DB7B098" w14:textId="6C987F3F" w:rsidR="007154EA" w:rsidRPr="001E1BC0" w:rsidRDefault="001E1BC0" w:rsidP="001E1BC0">
      <w:pPr>
        <w:pStyle w:val="Heading2"/>
        <w:rPr>
          <w:sz w:val="28"/>
          <w:szCs w:val="28"/>
        </w:rPr>
      </w:pPr>
      <w:bookmarkStart w:id="10" w:name="_Toc228106300"/>
      <w:r w:rsidRPr="001E1BC0">
        <w:rPr>
          <w:sz w:val="28"/>
          <w:szCs w:val="28"/>
        </w:rPr>
        <w:t>2</w:t>
      </w:r>
      <w:r w:rsidR="007154EA" w:rsidRPr="001E1BC0">
        <w:rPr>
          <w:sz w:val="28"/>
          <w:szCs w:val="28"/>
        </w:rPr>
        <w:t>.1 Cash Operating Cycle</w:t>
      </w:r>
      <w:bookmarkEnd w:id="10"/>
    </w:p>
    <w:p w14:paraId="6642F943" w14:textId="1F73C04D"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The cash operating cycle (also known as the cash conversion cycle, CCC) measures how efficiently a company converts its investments in inventory and receivables into cash</w:t>
      </w:r>
      <w:r w:rsidR="00FC6F7F">
        <w:rPr>
          <w:rFonts w:ascii="Times New Roman" w:hAnsi="Times New Roman" w:cs="Times New Roman"/>
          <w:sz w:val="24"/>
          <w:szCs w:val="24"/>
        </w:rPr>
        <w:t xml:space="preserve"> (Ross et al., 2022)</w:t>
      </w:r>
      <w:r w:rsidRPr="008F4248">
        <w:rPr>
          <w:rFonts w:ascii="Times New Roman" w:hAnsi="Times New Roman" w:cs="Times New Roman"/>
          <w:sz w:val="24"/>
          <w:szCs w:val="24"/>
        </w:rPr>
        <w:t>. It is calculated as:</w:t>
      </w:r>
    </w:p>
    <w:p w14:paraId="5DCC12AE" w14:textId="09A4E0A8"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b/>
          <w:bCs/>
          <w:sz w:val="24"/>
          <w:szCs w:val="24"/>
        </w:rPr>
        <w:t>CCC = Inventory Days + Receivable Days – Payable Days</w:t>
      </w:r>
      <w:r w:rsidR="007F251B" w:rsidRPr="008F4248">
        <w:rPr>
          <w:rFonts w:ascii="Times New Roman" w:hAnsi="Times New Roman" w:cs="Times New Roman"/>
          <w:b/>
          <w:bCs/>
          <w:sz w:val="24"/>
          <w:szCs w:val="24"/>
        </w:rPr>
        <w:t xml:space="preserve"> </w:t>
      </w:r>
      <w:r w:rsidR="007F251B" w:rsidRPr="008F4248">
        <w:rPr>
          <w:rFonts w:ascii="Times New Roman" w:hAnsi="Times New Roman" w:cs="Times New Roman"/>
          <w:sz w:val="24"/>
          <w:szCs w:val="24"/>
        </w:rPr>
        <w:t>(</w:t>
      </w:r>
      <w:r w:rsidR="00FC6F7F">
        <w:rPr>
          <w:rFonts w:ascii="Times New Roman" w:hAnsi="Times New Roman" w:cs="Times New Roman"/>
          <w:sz w:val="24"/>
          <w:szCs w:val="24"/>
        </w:rPr>
        <w:t>Arnold</w:t>
      </w:r>
      <w:r w:rsidR="007F251B" w:rsidRPr="008F4248">
        <w:rPr>
          <w:rFonts w:ascii="Times New Roman" w:hAnsi="Times New Roman" w:cs="Times New Roman"/>
          <w:sz w:val="24"/>
          <w:szCs w:val="24"/>
        </w:rPr>
        <w:t>, 202</w:t>
      </w:r>
      <w:r w:rsidR="00FC6F7F">
        <w:rPr>
          <w:rFonts w:ascii="Times New Roman" w:hAnsi="Times New Roman" w:cs="Times New Roman"/>
          <w:sz w:val="24"/>
          <w:szCs w:val="24"/>
        </w:rPr>
        <w:t>2</w:t>
      </w:r>
      <w:r w:rsidR="007F251B" w:rsidRPr="008F4248">
        <w:rPr>
          <w:rFonts w:ascii="Times New Roman" w:hAnsi="Times New Roman" w:cs="Times New Roman"/>
          <w:sz w:val="24"/>
          <w:szCs w:val="24"/>
        </w:rPr>
        <w:t>)</w:t>
      </w:r>
    </w:p>
    <w:p w14:paraId="7E99C039" w14:textId="1C14ACB3"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Tesla has maintained a relatively short and efficient cash conversion cycle compared to industry standards. As of 2025, Tesla’s CCC is approximately 13–15 days, significantly lower than the average for large corporations, which typically exceeds 30–60 days </w:t>
      </w:r>
      <w:r w:rsidR="00A26688" w:rsidRPr="008F4248">
        <w:rPr>
          <w:rFonts w:ascii="Times New Roman" w:hAnsi="Times New Roman" w:cs="Times New Roman"/>
          <w:sz w:val="24"/>
          <w:szCs w:val="24"/>
        </w:rPr>
        <w:t>(GuruFocus, 2024</w:t>
      </w:r>
      <w:r w:rsidR="00E350E3" w:rsidRPr="008F4248">
        <w:rPr>
          <w:rFonts w:ascii="Times New Roman" w:hAnsi="Times New Roman" w:cs="Times New Roman"/>
          <w:sz w:val="24"/>
          <w:szCs w:val="24"/>
        </w:rPr>
        <w:t>; 4C Associates, 2024</w:t>
      </w:r>
      <w:r w:rsidR="00A26688" w:rsidRPr="008F4248">
        <w:rPr>
          <w:rFonts w:ascii="Times New Roman" w:hAnsi="Times New Roman" w:cs="Times New Roman"/>
          <w:sz w:val="24"/>
          <w:szCs w:val="24"/>
        </w:rPr>
        <w:t>)</w:t>
      </w:r>
      <w:r w:rsidRPr="008F4248">
        <w:rPr>
          <w:rFonts w:ascii="Times New Roman" w:hAnsi="Times New Roman" w:cs="Times New Roman"/>
          <w:sz w:val="24"/>
          <w:szCs w:val="24"/>
        </w:rPr>
        <w:t>. This indicates strong working capital efficiency</w:t>
      </w:r>
      <w:r w:rsidR="00FC6F7F">
        <w:rPr>
          <w:rFonts w:ascii="Times New Roman" w:hAnsi="Times New Roman" w:cs="Times New Roman"/>
          <w:sz w:val="24"/>
          <w:szCs w:val="24"/>
        </w:rPr>
        <w:t xml:space="preserve"> (Ross et al.,)</w:t>
      </w:r>
      <w:r w:rsidRPr="008F4248">
        <w:rPr>
          <w:rFonts w:ascii="Times New Roman" w:hAnsi="Times New Roman" w:cs="Times New Roman"/>
          <w:sz w:val="24"/>
          <w:szCs w:val="24"/>
        </w:rPr>
        <w:t>.</w:t>
      </w:r>
    </w:p>
    <w:p w14:paraId="4E8C17AA" w14:textId="5AC3D38D" w:rsidR="007154EA" w:rsidRPr="00416357" w:rsidRDefault="007154EA" w:rsidP="008F4248">
      <w:pPr>
        <w:spacing w:line="360" w:lineRule="auto"/>
        <w:jc w:val="both"/>
        <w:rPr>
          <w:rFonts w:ascii="Times New Roman" w:hAnsi="Times New Roman" w:cs="Times New Roman"/>
          <w:b/>
          <w:bCs/>
          <w:sz w:val="24"/>
          <w:szCs w:val="24"/>
        </w:rPr>
      </w:pPr>
      <w:r w:rsidRPr="00416357">
        <w:rPr>
          <w:rFonts w:ascii="Times New Roman" w:hAnsi="Times New Roman" w:cs="Times New Roman"/>
          <w:b/>
          <w:bCs/>
          <w:sz w:val="24"/>
          <w:szCs w:val="24"/>
        </w:rPr>
        <w:t>Inventory Days</w:t>
      </w:r>
    </w:p>
    <w:p w14:paraId="7951E3A3" w14:textId="77777777" w:rsidR="00FC6F7F"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Tesla’s inventory holding period is approximately 56–57 days in 2025 </w:t>
      </w:r>
      <w:r w:rsidR="00D53B62" w:rsidRPr="008F4248">
        <w:rPr>
          <w:rFonts w:ascii="Times New Roman" w:hAnsi="Times New Roman" w:cs="Times New Roman"/>
          <w:sz w:val="24"/>
          <w:szCs w:val="24"/>
        </w:rPr>
        <w:t>(GuruFocus, 2026)</w:t>
      </w:r>
      <w:r w:rsidRPr="008F4248">
        <w:rPr>
          <w:rFonts w:ascii="Times New Roman" w:hAnsi="Times New Roman" w:cs="Times New Roman"/>
          <w:sz w:val="24"/>
          <w:szCs w:val="24"/>
        </w:rPr>
        <w:t>. This reflects the time taken to convert raw materials and finished goods into sales.</w:t>
      </w:r>
      <w:r w:rsidR="00D53B62" w:rsidRPr="008F4248">
        <w:rPr>
          <w:rFonts w:ascii="Times New Roman" w:hAnsi="Times New Roman" w:cs="Times New Roman"/>
          <w:sz w:val="24"/>
          <w:szCs w:val="24"/>
        </w:rPr>
        <w:t xml:space="preserve"> </w:t>
      </w:r>
      <w:r w:rsidRPr="008F4248">
        <w:rPr>
          <w:rFonts w:ascii="Times New Roman" w:hAnsi="Times New Roman" w:cs="Times New Roman"/>
          <w:sz w:val="24"/>
          <w:szCs w:val="24"/>
        </w:rPr>
        <w:t xml:space="preserve">Compared to the automotive industry median of around 78 days, Tesla’s inventory days are significantly lower, indicating efficient inventory management and strong demand for its vehicles </w:t>
      </w:r>
      <w:r w:rsidR="00D53B62" w:rsidRPr="008F4248">
        <w:rPr>
          <w:rFonts w:ascii="Times New Roman" w:hAnsi="Times New Roman" w:cs="Times New Roman"/>
          <w:sz w:val="24"/>
          <w:szCs w:val="24"/>
        </w:rPr>
        <w:t>(GuruFocus, 2026)</w:t>
      </w:r>
      <w:r w:rsidRPr="008F4248">
        <w:rPr>
          <w:rFonts w:ascii="Times New Roman" w:hAnsi="Times New Roman" w:cs="Times New Roman"/>
          <w:sz w:val="24"/>
          <w:szCs w:val="24"/>
        </w:rPr>
        <w:t xml:space="preserve">. </w:t>
      </w:r>
    </w:p>
    <w:p w14:paraId="1D6AE93D" w14:textId="305A734F"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However, inventory levels have </w:t>
      </w:r>
      <w:r w:rsidR="00FC6F7F">
        <w:rPr>
          <w:rFonts w:ascii="Times New Roman" w:hAnsi="Times New Roman" w:cs="Times New Roman"/>
          <w:sz w:val="24"/>
          <w:szCs w:val="24"/>
        </w:rPr>
        <w:t xml:space="preserve">stayed comparatively stable instead of decreasing, implying minimal enhancement in operational efficiency. This could point to fundamental inefficiencies like demand variations or production discrepancies, which may immobilize working capital and diminish liquidity (Ross et al., 2022). </w:t>
      </w:r>
    </w:p>
    <w:p w14:paraId="0E5046C0" w14:textId="45C03F7C" w:rsidR="007154EA" w:rsidRPr="00416357" w:rsidRDefault="007154EA" w:rsidP="008F4248">
      <w:pPr>
        <w:spacing w:line="360" w:lineRule="auto"/>
        <w:jc w:val="both"/>
        <w:rPr>
          <w:rFonts w:ascii="Times New Roman" w:hAnsi="Times New Roman" w:cs="Times New Roman"/>
          <w:b/>
          <w:bCs/>
          <w:sz w:val="24"/>
          <w:szCs w:val="24"/>
        </w:rPr>
      </w:pPr>
      <w:r w:rsidRPr="00416357">
        <w:rPr>
          <w:rFonts w:ascii="Times New Roman" w:hAnsi="Times New Roman" w:cs="Times New Roman"/>
          <w:b/>
          <w:bCs/>
          <w:sz w:val="24"/>
          <w:szCs w:val="24"/>
        </w:rPr>
        <w:t>Receivable Days</w:t>
      </w:r>
    </w:p>
    <w:p w14:paraId="287DD6CC" w14:textId="77777777" w:rsidR="00FC6F7F"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Tesla’s receivables collection period has increased from approximately 13 days (2021–2023) to 17–18 days (2024–2025) </w:t>
      </w:r>
      <w:r w:rsidR="00CD138A" w:rsidRPr="008F4248">
        <w:rPr>
          <w:rFonts w:ascii="Times New Roman" w:hAnsi="Times New Roman" w:cs="Times New Roman"/>
          <w:sz w:val="24"/>
          <w:szCs w:val="24"/>
        </w:rPr>
        <w:t>(Stock Analysis, 2024)</w:t>
      </w:r>
      <w:r w:rsidRPr="008F4248">
        <w:rPr>
          <w:rFonts w:ascii="Times New Roman" w:hAnsi="Times New Roman" w:cs="Times New Roman"/>
          <w:sz w:val="24"/>
          <w:szCs w:val="24"/>
        </w:rPr>
        <w:t>.</w:t>
      </w:r>
      <w:r w:rsidR="00CD138A" w:rsidRPr="008F4248">
        <w:rPr>
          <w:rFonts w:ascii="Times New Roman" w:hAnsi="Times New Roman" w:cs="Times New Roman"/>
          <w:sz w:val="24"/>
          <w:szCs w:val="24"/>
        </w:rPr>
        <w:t xml:space="preserve"> </w:t>
      </w:r>
      <w:r w:rsidRPr="008F4248">
        <w:rPr>
          <w:rFonts w:ascii="Times New Roman" w:hAnsi="Times New Roman" w:cs="Times New Roman"/>
          <w:sz w:val="24"/>
          <w:szCs w:val="24"/>
        </w:rPr>
        <w:t xml:space="preserve">Despite this increase, Tesla still performs </w:t>
      </w:r>
      <w:r w:rsidRPr="008F4248">
        <w:rPr>
          <w:rFonts w:ascii="Times New Roman" w:hAnsi="Times New Roman" w:cs="Times New Roman"/>
          <w:sz w:val="24"/>
          <w:szCs w:val="24"/>
        </w:rPr>
        <w:lastRenderedPageBreak/>
        <w:t xml:space="preserve">significantly better than the industry average (around 60 days), due to its direct-to-consumer sales model, which enables faster cash collection </w:t>
      </w:r>
      <w:r w:rsidR="00AB2622" w:rsidRPr="008F4248">
        <w:rPr>
          <w:rFonts w:ascii="Times New Roman" w:hAnsi="Times New Roman" w:cs="Times New Roman"/>
          <w:sz w:val="24"/>
          <w:szCs w:val="24"/>
        </w:rPr>
        <w:t>(GuruFocus, 2026)</w:t>
      </w:r>
      <w:r w:rsidRPr="008F4248">
        <w:rPr>
          <w:rFonts w:ascii="Times New Roman" w:hAnsi="Times New Roman" w:cs="Times New Roman"/>
          <w:sz w:val="24"/>
          <w:szCs w:val="24"/>
        </w:rPr>
        <w:t>.</w:t>
      </w:r>
      <w:r w:rsidR="00AB2622" w:rsidRPr="008F4248">
        <w:rPr>
          <w:rFonts w:ascii="Times New Roman" w:hAnsi="Times New Roman" w:cs="Times New Roman"/>
          <w:sz w:val="24"/>
          <w:szCs w:val="24"/>
        </w:rPr>
        <w:t xml:space="preserve"> </w:t>
      </w:r>
    </w:p>
    <w:p w14:paraId="461CA91B" w14:textId="6CE28004"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However, the upward trend indicates slightly weakening collection efficiency, possibly due to financing arrangements and global market conditions.</w:t>
      </w:r>
      <w:r w:rsidR="00FC6F7F">
        <w:rPr>
          <w:rFonts w:ascii="Times New Roman" w:hAnsi="Times New Roman" w:cs="Times New Roman"/>
          <w:sz w:val="24"/>
          <w:szCs w:val="24"/>
        </w:rPr>
        <w:t xml:space="preserve"> This could lead to a decrease in cash inflows and exert pressure on short-term liquidity if not managed effectively (Arnold, 2022).  </w:t>
      </w:r>
    </w:p>
    <w:p w14:paraId="0890877C" w14:textId="644B0571" w:rsidR="007154EA" w:rsidRPr="00416357" w:rsidRDefault="007154EA" w:rsidP="008F4248">
      <w:pPr>
        <w:spacing w:line="360" w:lineRule="auto"/>
        <w:jc w:val="both"/>
        <w:rPr>
          <w:rFonts w:ascii="Times New Roman" w:hAnsi="Times New Roman" w:cs="Times New Roman"/>
          <w:b/>
          <w:bCs/>
          <w:sz w:val="24"/>
          <w:szCs w:val="24"/>
        </w:rPr>
      </w:pPr>
      <w:r w:rsidRPr="00416357">
        <w:rPr>
          <w:rFonts w:ascii="Times New Roman" w:hAnsi="Times New Roman" w:cs="Times New Roman"/>
          <w:b/>
          <w:bCs/>
          <w:sz w:val="24"/>
          <w:szCs w:val="24"/>
        </w:rPr>
        <w:t>Payable Days</w:t>
      </w:r>
    </w:p>
    <w:p w14:paraId="3A444F2E" w14:textId="7D258A0A" w:rsidR="000F58A4"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Tesla’s payable period increased to approximately 60 days in 2025, up from around 57 days in 2024 </w:t>
      </w:r>
      <w:r w:rsidR="003E1CCE" w:rsidRPr="008F4248">
        <w:rPr>
          <w:rFonts w:ascii="Times New Roman" w:hAnsi="Times New Roman" w:cs="Times New Roman"/>
          <w:sz w:val="24"/>
          <w:szCs w:val="24"/>
        </w:rPr>
        <w:t>(GuruFocus, 2026)</w:t>
      </w:r>
      <w:r w:rsidRPr="008F4248">
        <w:rPr>
          <w:rFonts w:ascii="Times New Roman" w:hAnsi="Times New Roman" w:cs="Times New Roman"/>
          <w:sz w:val="24"/>
          <w:szCs w:val="24"/>
        </w:rPr>
        <w:t>.</w:t>
      </w:r>
      <w:r w:rsidR="003E1CCE" w:rsidRPr="008F4248">
        <w:rPr>
          <w:rFonts w:ascii="Times New Roman" w:hAnsi="Times New Roman" w:cs="Times New Roman"/>
          <w:sz w:val="24"/>
          <w:szCs w:val="24"/>
        </w:rPr>
        <w:t xml:space="preserve"> </w:t>
      </w:r>
      <w:r w:rsidRPr="008F4248">
        <w:rPr>
          <w:rFonts w:ascii="Times New Roman" w:hAnsi="Times New Roman" w:cs="Times New Roman"/>
          <w:sz w:val="24"/>
          <w:szCs w:val="24"/>
        </w:rPr>
        <w:t xml:space="preserve">This suggests that Tesla is taking longer to pay suppliers, effectively using supplier credit as a </w:t>
      </w:r>
      <w:r w:rsidR="000F58A4">
        <w:rPr>
          <w:rFonts w:ascii="Times New Roman" w:hAnsi="Times New Roman" w:cs="Times New Roman"/>
          <w:sz w:val="24"/>
          <w:szCs w:val="24"/>
        </w:rPr>
        <w:t xml:space="preserve">source of short-term </w:t>
      </w:r>
      <w:r w:rsidRPr="008F4248">
        <w:rPr>
          <w:rFonts w:ascii="Times New Roman" w:hAnsi="Times New Roman" w:cs="Times New Roman"/>
          <w:sz w:val="24"/>
          <w:szCs w:val="24"/>
        </w:rPr>
        <w:t xml:space="preserve">financing </w:t>
      </w:r>
      <w:r w:rsidR="000F58A4">
        <w:rPr>
          <w:rFonts w:ascii="Times New Roman" w:hAnsi="Times New Roman" w:cs="Times New Roman"/>
          <w:sz w:val="24"/>
          <w:szCs w:val="24"/>
        </w:rPr>
        <w:t>(Ross et al., 2022)</w:t>
      </w:r>
      <w:r w:rsidRPr="008F4248">
        <w:rPr>
          <w:rFonts w:ascii="Times New Roman" w:hAnsi="Times New Roman" w:cs="Times New Roman"/>
          <w:sz w:val="24"/>
          <w:szCs w:val="24"/>
        </w:rPr>
        <w:t xml:space="preserve">. </w:t>
      </w:r>
    </w:p>
    <w:p w14:paraId="2C243B5C" w14:textId="1DECCFB6" w:rsidR="007154EA" w:rsidRPr="008F4248" w:rsidRDefault="000F58A4"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this enhances immediate liquidity and aids in managing cash flow, </w:t>
      </w:r>
      <w:r w:rsidR="00017A12">
        <w:rPr>
          <w:rFonts w:ascii="Times New Roman" w:hAnsi="Times New Roman" w:cs="Times New Roman"/>
          <w:sz w:val="24"/>
          <w:szCs w:val="24"/>
        </w:rPr>
        <w:t>overdependence</w:t>
      </w:r>
      <w:r>
        <w:rPr>
          <w:rFonts w:ascii="Times New Roman" w:hAnsi="Times New Roman" w:cs="Times New Roman"/>
          <w:sz w:val="24"/>
          <w:szCs w:val="24"/>
        </w:rPr>
        <w:t xml:space="preserve"> on postponed payments could adversely affect supplier relations and operational stability (Arnold, 2022). </w:t>
      </w:r>
    </w:p>
    <w:p w14:paraId="5242A52E" w14:textId="4AE01F0C" w:rsidR="007154EA" w:rsidRPr="00416357" w:rsidRDefault="007154EA" w:rsidP="008F4248">
      <w:pPr>
        <w:spacing w:line="360" w:lineRule="auto"/>
        <w:jc w:val="both"/>
        <w:rPr>
          <w:rFonts w:ascii="Times New Roman" w:hAnsi="Times New Roman" w:cs="Times New Roman"/>
          <w:b/>
          <w:bCs/>
          <w:sz w:val="24"/>
          <w:szCs w:val="24"/>
        </w:rPr>
      </w:pPr>
      <w:r w:rsidRPr="00416357">
        <w:rPr>
          <w:rFonts w:ascii="Times New Roman" w:hAnsi="Times New Roman" w:cs="Times New Roman"/>
          <w:b/>
          <w:bCs/>
          <w:sz w:val="24"/>
          <w:szCs w:val="24"/>
        </w:rPr>
        <w:t>Overall Cash Cycle Interpretation</w:t>
      </w:r>
    </w:p>
    <w:p w14:paraId="1A875B91" w14:textId="50D04F34"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Combining these elements, Tesla’s CCC remains very low (~13–15 days), indicating efficient working capital management </w:t>
      </w:r>
      <w:r w:rsidR="003E1CCE" w:rsidRPr="008F4248">
        <w:rPr>
          <w:rFonts w:ascii="Times New Roman" w:hAnsi="Times New Roman" w:cs="Times New Roman"/>
          <w:sz w:val="24"/>
          <w:szCs w:val="24"/>
        </w:rPr>
        <w:t>(GuruFocus, 2026)</w:t>
      </w:r>
      <w:r w:rsidRPr="008F4248">
        <w:rPr>
          <w:rFonts w:ascii="Times New Roman" w:hAnsi="Times New Roman" w:cs="Times New Roman"/>
          <w:sz w:val="24"/>
          <w:szCs w:val="24"/>
        </w:rPr>
        <w:t>.</w:t>
      </w:r>
      <w:r w:rsidR="003E1CCE" w:rsidRPr="008F4248">
        <w:rPr>
          <w:rFonts w:ascii="Times New Roman" w:hAnsi="Times New Roman" w:cs="Times New Roman"/>
          <w:sz w:val="24"/>
          <w:szCs w:val="24"/>
        </w:rPr>
        <w:t xml:space="preserve"> </w:t>
      </w:r>
      <w:r w:rsidRPr="008F4248">
        <w:rPr>
          <w:rFonts w:ascii="Times New Roman" w:hAnsi="Times New Roman" w:cs="Times New Roman"/>
          <w:sz w:val="24"/>
          <w:szCs w:val="24"/>
        </w:rPr>
        <w:t>However, recent trends show:</w:t>
      </w:r>
    </w:p>
    <w:p w14:paraId="55D08F6F" w14:textId="77777777" w:rsidR="007154EA" w:rsidRPr="008F4248" w:rsidRDefault="007154EA" w:rsidP="004F35F2">
      <w:pPr>
        <w:pStyle w:val="ListParagraph"/>
        <w:numPr>
          <w:ilvl w:val="0"/>
          <w:numId w:val="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Increasing receivable days</w:t>
      </w:r>
    </w:p>
    <w:p w14:paraId="3D1B7349" w14:textId="77777777" w:rsidR="007154EA" w:rsidRPr="008F4248" w:rsidRDefault="007154EA" w:rsidP="004F35F2">
      <w:pPr>
        <w:pStyle w:val="ListParagraph"/>
        <w:numPr>
          <w:ilvl w:val="0"/>
          <w:numId w:val="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Stable inventory days</w:t>
      </w:r>
    </w:p>
    <w:p w14:paraId="612288D1" w14:textId="77777777" w:rsidR="007154EA" w:rsidRPr="008F4248" w:rsidRDefault="007154EA" w:rsidP="004F35F2">
      <w:pPr>
        <w:pStyle w:val="ListParagraph"/>
        <w:numPr>
          <w:ilvl w:val="0"/>
          <w:numId w:val="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Increasing payable days</w:t>
      </w:r>
    </w:p>
    <w:p w14:paraId="43927293" w14:textId="48ADA416" w:rsidR="007154EA" w:rsidRDefault="000F58A4"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indicates that Tesla is progressively depending on supplier financing instead of enhancing operational efficiency. From the viewpoint of a CFO, </w:t>
      </w:r>
      <w:r w:rsidR="00017A12">
        <w:rPr>
          <w:rFonts w:ascii="Times New Roman" w:hAnsi="Times New Roman" w:cs="Times New Roman"/>
          <w:sz w:val="24"/>
          <w:szCs w:val="24"/>
        </w:rPr>
        <w:t xml:space="preserve">this signifies a transition from operational robustness to financial reliance, which could elevate risk in the long run (Ross et al., 2022). </w:t>
      </w:r>
    </w:p>
    <w:p w14:paraId="2D050B9C" w14:textId="4A12A036" w:rsidR="00592403" w:rsidRDefault="00592403" w:rsidP="00592403">
      <w:pPr>
        <w:spacing w:line="360" w:lineRule="auto"/>
        <w:jc w:val="center"/>
        <w:rPr>
          <w:rFonts w:ascii="Times New Roman" w:hAnsi="Times New Roman" w:cs="Times New Roman"/>
          <w:sz w:val="24"/>
          <w:szCs w:val="24"/>
        </w:rPr>
      </w:pPr>
      <w:r>
        <w:rPr>
          <w:noProof/>
        </w:rPr>
        <w:lastRenderedPageBreak/>
        <w:drawing>
          <wp:inline distT="0" distB="0" distL="0" distR="0" wp14:anchorId="6B1B37AB" wp14:editId="55877EA7">
            <wp:extent cx="5539563" cy="3487479"/>
            <wp:effectExtent l="0" t="0" r="4445" b="17780"/>
            <wp:docPr id="4" name="Chart 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79925C3" w14:textId="2AFCD56E" w:rsidR="00592403" w:rsidRPr="00592403" w:rsidRDefault="00592403" w:rsidP="00592403">
      <w:pPr>
        <w:spacing w:line="360" w:lineRule="auto"/>
        <w:jc w:val="center"/>
        <w:rPr>
          <w:rFonts w:ascii="Times New Roman" w:hAnsi="Times New Roman" w:cs="Times New Roman"/>
          <w:b/>
          <w:bCs/>
          <w:sz w:val="24"/>
          <w:szCs w:val="24"/>
        </w:rPr>
      </w:pPr>
      <w:r w:rsidRPr="00592403">
        <w:rPr>
          <w:rFonts w:ascii="Times New Roman" w:hAnsi="Times New Roman" w:cs="Times New Roman"/>
          <w:b/>
          <w:bCs/>
          <w:sz w:val="24"/>
          <w:szCs w:val="24"/>
        </w:rPr>
        <w:t>Figure 4. Cash Conversion Cycle</w:t>
      </w:r>
    </w:p>
    <w:p w14:paraId="5F85A142" w14:textId="77777777" w:rsidR="007B5C01" w:rsidRPr="007B5C01" w:rsidRDefault="007B5C01" w:rsidP="007B5C01">
      <w:pPr>
        <w:spacing w:line="360" w:lineRule="auto"/>
        <w:rPr>
          <w:rFonts w:ascii="Times New Roman" w:hAnsi="Times New Roman" w:cs="Times New Roman"/>
          <w:b/>
          <w:bCs/>
          <w:sz w:val="24"/>
          <w:szCs w:val="24"/>
        </w:rPr>
      </w:pPr>
      <w:bookmarkStart w:id="11" w:name="_Toc228106301"/>
      <w:r w:rsidRPr="007B5C01">
        <w:rPr>
          <w:rFonts w:ascii="Times New Roman" w:hAnsi="Times New Roman" w:cs="Times New Roman"/>
          <w:b/>
          <w:bCs/>
          <w:i/>
          <w:iCs/>
          <w:sz w:val="24"/>
          <w:szCs w:val="24"/>
        </w:rPr>
        <w:t>Source: Author (based on Tesla Annual Reports)</w:t>
      </w:r>
    </w:p>
    <w:p w14:paraId="5BE916BE" w14:textId="336EDE1E" w:rsidR="007154EA" w:rsidRPr="00416357" w:rsidRDefault="00416357" w:rsidP="00416357">
      <w:pPr>
        <w:pStyle w:val="Heading2"/>
        <w:rPr>
          <w:sz w:val="28"/>
          <w:szCs w:val="28"/>
        </w:rPr>
      </w:pPr>
      <w:r>
        <w:rPr>
          <w:sz w:val="28"/>
          <w:szCs w:val="28"/>
        </w:rPr>
        <w:t>2</w:t>
      </w:r>
      <w:r w:rsidR="007154EA" w:rsidRPr="00416357">
        <w:rPr>
          <w:sz w:val="28"/>
          <w:szCs w:val="28"/>
        </w:rPr>
        <w:t>.2 Analysis of Working Capital Issues</w:t>
      </w:r>
      <w:bookmarkEnd w:id="11"/>
    </w:p>
    <w:p w14:paraId="43DC689F" w14:textId="1CFE573F" w:rsidR="007154EA" w:rsidRPr="00416357" w:rsidRDefault="007154EA" w:rsidP="008F4248">
      <w:pPr>
        <w:spacing w:line="360" w:lineRule="auto"/>
        <w:jc w:val="both"/>
        <w:rPr>
          <w:rFonts w:ascii="Times New Roman" w:hAnsi="Times New Roman" w:cs="Times New Roman"/>
          <w:b/>
          <w:bCs/>
          <w:sz w:val="24"/>
          <w:szCs w:val="24"/>
        </w:rPr>
      </w:pPr>
      <w:r w:rsidRPr="00416357">
        <w:rPr>
          <w:rFonts w:ascii="Times New Roman" w:hAnsi="Times New Roman" w:cs="Times New Roman"/>
          <w:b/>
          <w:bCs/>
          <w:sz w:val="24"/>
          <w:szCs w:val="24"/>
        </w:rPr>
        <w:t>Liquidity Pressures</w:t>
      </w:r>
    </w:p>
    <w:p w14:paraId="2BE21A95" w14:textId="77777777" w:rsidR="00017A12"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Despite maintaining a short cash cycle, Tesla faces emerging liquidity pressures. The company continues to invest heavily in expansion, artificial intelligence, and new technologies, which increases cash outflows.</w:t>
      </w:r>
      <w:r w:rsidR="00715910" w:rsidRPr="008F4248">
        <w:rPr>
          <w:rFonts w:ascii="Times New Roman" w:hAnsi="Times New Roman" w:cs="Times New Roman"/>
          <w:sz w:val="24"/>
          <w:szCs w:val="24"/>
        </w:rPr>
        <w:t xml:space="preserve"> </w:t>
      </w:r>
    </w:p>
    <w:p w14:paraId="6A60E079" w14:textId="1E475DED"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Although Tesla generates strong operating cash flow, its increasing capital expenditure and declining profitability (as discussed earlier) reduce available liquidity. This creates a situation where working capital must be carefully managed to avoid financial strain</w:t>
      </w:r>
      <w:r w:rsidR="00017A12">
        <w:rPr>
          <w:rFonts w:ascii="Times New Roman" w:hAnsi="Times New Roman" w:cs="Times New Roman"/>
          <w:sz w:val="24"/>
          <w:szCs w:val="24"/>
        </w:rPr>
        <w:t xml:space="preserve"> (Arnold, 2022)</w:t>
      </w:r>
      <w:r w:rsidRPr="008F4248">
        <w:rPr>
          <w:rFonts w:ascii="Times New Roman" w:hAnsi="Times New Roman" w:cs="Times New Roman"/>
          <w:sz w:val="24"/>
          <w:szCs w:val="24"/>
        </w:rPr>
        <w:t>.</w:t>
      </w:r>
    </w:p>
    <w:p w14:paraId="28318930" w14:textId="3F7D12EA" w:rsidR="007154EA" w:rsidRPr="00416357" w:rsidRDefault="007154EA" w:rsidP="008F4248">
      <w:pPr>
        <w:spacing w:line="360" w:lineRule="auto"/>
        <w:jc w:val="both"/>
        <w:rPr>
          <w:rFonts w:ascii="Times New Roman" w:hAnsi="Times New Roman" w:cs="Times New Roman"/>
          <w:b/>
          <w:bCs/>
          <w:sz w:val="24"/>
          <w:szCs w:val="24"/>
        </w:rPr>
      </w:pPr>
      <w:r w:rsidRPr="00416357">
        <w:rPr>
          <w:rFonts w:ascii="Times New Roman" w:hAnsi="Times New Roman" w:cs="Times New Roman"/>
          <w:b/>
          <w:bCs/>
          <w:sz w:val="24"/>
          <w:szCs w:val="24"/>
        </w:rPr>
        <w:t>Rising Receivables</w:t>
      </w:r>
    </w:p>
    <w:p w14:paraId="419DF5E4" w14:textId="0C7CB291"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The increase in receivable days from approximately 13 to 18 days indicates:</w:t>
      </w:r>
    </w:p>
    <w:p w14:paraId="63EEF781" w14:textId="77777777" w:rsidR="007154EA" w:rsidRPr="008F4248" w:rsidRDefault="007154EA" w:rsidP="004F35F2">
      <w:pPr>
        <w:pStyle w:val="ListParagraph"/>
        <w:numPr>
          <w:ilvl w:val="0"/>
          <w:numId w:val="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Slower customer payments</w:t>
      </w:r>
    </w:p>
    <w:p w14:paraId="6199FB3C" w14:textId="77777777" w:rsidR="007154EA" w:rsidRPr="008F4248" w:rsidRDefault="007154EA" w:rsidP="004F35F2">
      <w:pPr>
        <w:pStyle w:val="ListParagraph"/>
        <w:numPr>
          <w:ilvl w:val="0"/>
          <w:numId w:val="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Increased reliance on financing options</w:t>
      </w:r>
    </w:p>
    <w:p w14:paraId="46DFB99E" w14:textId="2D949029" w:rsidR="007154EA" w:rsidRPr="008F4248" w:rsidRDefault="007154EA" w:rsidP="004F35F2">
      <w:pPr>
        <w:pStyle w:val="ListParagraph"/>
        <w:numPr>
          <w:ilvl w:val="0"/>
          <w:numId w:val="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Potential weakening demand in certain markets</w:t>
      </w:r>
    </w:p>
    <w:p w14:paraId="0FE0BBA4" w14:textId="4E523C88"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This trend reduces cash inflows and may negatively impact short-term liquidity if it continues.</w:t>
      </w:r>
      <w:r w:rsidR="00017A12">
        <w:rPr>
          <w:rFonts w:ascii="Times New Roman" w:hAnsi="Times New Roman" w:cs="Times New Roman"/>
          <w:sz w:val="24"/>
          <w:szCs w:val="24"/>
        </w:rPr>
        <w:t xml:space="preserve"> Effective management of receivables is crucial for ensuring the stability of cash flow (Ross et al., 2022). </w:t>
      </w:r>
    </w:p>
    <w:p w14:paraId="20850F2C" w14:textId="6E01FEDF" w:rsidR="007154EA" w:rsidRPr="00416357" w:rsidRDefault="007154EA" w:rsidP="008F4248">
      <w:pPr>
        <w:spacing w:line="360" w:lineRule="auto"/>
        <w:jc w:val="both"/>
        <w:rPr>
          <w:rFonts w:ascii="Times New Roman" w:hAnsi="Times New Roman" w:cs="Times New Roman"/>
          <w:b/>
          <w:bCs/>
          <w:sz w:val="24"/>
          <w:szCs w:val="24"/>
        </w:rPr>
      </w:pPr>
      <w:r w:rsidRPr="00416357">
        <w:rPr>
          <w:rFonts w:ascii="Times New Roman" w:hAnsi="Times New Roman" w:cs="Times New Roman"/>
          <w:b/>
          <w:bCs/>
          <w:sz w:val="24"/>
          <w:szCs w:val="24"/>
        </w:rPr>
        <w:t>Inventory Inefficiencies</w:t>
      </w:r>
    </w:p>
    <w:p w14:paraId="45EAEE3A" w14:textId="2BD1D4BE"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While Tesla’s inventory days remain below industry average, the lack of improvement suggests inefficiencies:</w:t>
      </w:r>
    </w:p>
    <w:p w14:paraId="60C1F8F7" w14:textId="77777777" w:rsidR="007154EA" w:rsidRPr="008F4248" w:rsidRDefault="007154EA" w:rsidP="004F35F2">
      <w:pPr>
        <w:pStyle w:val="ListParagraph"/>
        <w:numPr>
          <w:ilvl w:val="0"/>
          <w:numId w:val="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Demand fluctuations</w:t>
      </w:r>
    </w:p>
    <w:p w14:paraId="0C790A07" w14:textId="77777777" w:rsidR="007154EA" w:rsidRPr="008F4248" w:rsidRDefault="007154EA" w:rsidP="004F35F2">
      <w:pPr>
        <w:pStyle w:val="ListParagraph"/>
        <w:numPr>
          <w:ilvl w:val="0"/>
          <w:numId w:val="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Overproduction in some markets</w:t>
      </w:r>
    </w:p>
    <w:p w14:paraId="191F12A9" w14:textId="5465BED5" w:rsidR="007154EA" w:rsidRPr="008F4248" w:rsidRDefault="007154EA" w:rsidP="004F35F2">
      <w:pPr>
        <w:pStyle w:val="ListParagraph"/>
        <w:numPr>
          <w:ilvl w:val="0"/>
          <w:numId w:val="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Supply chain disruptions</w:t>
      </w:r>
    </w:p>
    <w:p w14:paraId="36A834A1" w14:textId="33FAACAA" w:rsidR="007154EA" w:rsidRPr="008F4248" w:rsidRDefault="00017A12" w:rsidP="008F4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elements immobilize capital within inventory, thereby diminishing cash liquidity and constraining financial flexibility (Arnold, 2022). </w:t>
      </w:r>
    </w:p>
    <w:p w14:paraId="59248DAB" w14:textId="51D9CCB0" w:rsidR="007154EA" w:rsidRPr="00416357" w:rsidRDefault="007154EA" w:rsidP="008F4248">
      <w:pPr>
        <w:spacing w:line="360" w:lineRule="auto"/>
        <w:jc w:val="both"/>
        <w:rPr>
          <w:rFonts w:ascii="Times New Roman" w:hAnsi="Times New Roman" w:cs="Times New Roman"/>
          <w:b/>
          <w:bCs/>
          <w:sz w:val="24"/>
          <w:szCs w:val="24"/>
        </w:rPr>
      </w:pPr>
      <w:r w:rsidRPr="00416357">
        <w:rPr>
          <w:rFonts w:ascii="Times New Roman" w:hAnsi="Times New Roman" w:cs="Times New Roman"/>
          <w:b/>
          <w:bCs/>
          <w:sz w:val="24"/>
          <w:szCs w:val="24"/>
        </w:rPr>
        <w:t>Supplier Dependency</w:t>
      </w:r>
    </w:p>
    <w:p w14:paraId="5E2933CB" w14:textId="07E7DF9A"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The increase in payable days indicates that Tesla is delaying payments to suppliers, effectively using them as a source of short-term financing</w:t>
      </w:r>
      <w:r w:rsidR="00017A12">
        <w:rPr>
          <w:rFonts w:ascii="Times New Roman" w:hAnsi="Times New Roman" w:cs="Times New Roman"/>
          <w:sz w:val="24"/>
          <w:szCs w:val="24"/>
        </w:rPr>
        <w:t xml:space="preserve"> (Ross et al., 2022)</w:t>
      </w:r>
      <w:r w:rsidRPr="008F4248">
        <w:rPr>
          <w:rFonts w:ascii="Times New Roman" w:hAnsi="Times New Roman" w:cs="Times New Roman"/>
          <w:sz w:val="24"/>
          <w:szCs w:val="24"/>
        </w:rPr>
        <w:t>.</w:t>
      </w:r>
    </w:p>
    <w:p w14:paraId="4C6424CD" w14:textId="23688B0C"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While this improves liquidity, it introduces risks:</w:t>
      </w:r>
    </w:p>
    <w:p w14:paraId="38E4ADCE" w14:textId="77777777" w:rsidR="007154EA" w:rsidRPr="008F4248" w:rsidRDefault="007154EA" w:rsidP="004F35F2">
      <w:pPr>
        <w:pStyle w:val="ListParagraph"/>
        <w:numPr>
          <w:ilvl w:val="0"/>
          <w:numId w:val="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Supplier relationship strain</w:t>
      </w:r>
    </w:p>
    <w:p w14:paraId="37EC8FCD" w14:textId="77777777" w:rsidR="007154EA" w:rsidRPr="008F4248" w:rsidRDefault="007154EA" w:rsidP="004F35F2">
      <w:pPr>
        <w:pStyle w:val="ListParagraph"/>
        <w:numPr>
          <w:ilvl w:val="0"/>
          <w:numId w:val="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Reduced bargaining power</w:t>
      </w:r>
    </w:p>
    <w:p w14:paraId="09558EC2" w14:textId="77777777" w:rsidR="007154EA" w:rsidRPr="008F4248" w:rsidRDefault="007154EA" w:rsidP="004F35F2">
      <w:pPr>
        <w:pStyle w:val="ListParagraph"/>
        <w:numPr>
          <w:ilvl w:val="0"/>
          <w:numId w:val="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Potential supply chain disruptions</w:t>
      </w:r>
    </w:p>
    <w:p w14:paraId="32524F71" w14:textId="5D175CC5" w:rsidR="007154EA" w:rsidRPr="00416357" w:rsidRDefault="00416357" w:rsidP="00416357">
      <w:pPr>
        <w:pStyle w:val="Heading2"/>
        <w:rPr>
          <w:sz w:val="28"/>
          <w:szCs w:val="28"/>
        </w:rPr>
      </w:pPr>
      <w:bookmarkStart w:id="12" w:name="_Toc228106302"/>
      <w:r>
        <w:rPr>
          <w:sz w:val="28"/>
          <w:szCs w:val="28"/>
        </w:rPr>
        <w:t>2</w:t>
      </w:r>
      <w:r w:rsidR="007154EA" w:rsidRPr="00416357">
        <w:rPr>
          <w:sz w:val="28"/>
          <w:szCs w:val="28"/>
        </w:rPr>
        <w:t>.3 Recommendations</w:t>
      </w:r>
      <w:bookmarkEnd w:id="12"/>
    </w:p>
    <w:p w14:paraId="157ECFB7" w14:textId="4DE630BF" w:rsidR="007154EA" w:rsidRPr="00231FCD" w:rsidRDefault="007154EA" w:rsidP="008F4248">
      <w:pPr>
        <w:spacing w:line="360" w:lineRule="auto"/>
        <w:jc w:val="both"/>
        <w:rPr>
          <w:rFonts w:ascii="Times New Roman" w:hAnsi="Times New Roman" w:cs="Times New Roman"/>
          <w:b/>
          <w:bCs/>
          <w:sz w:val="24"/>
          <w:szCs w:val="24"/>
        </w:rPr>
      </w:pPr>
      <w:r w:rsidRPr="00231FCD">
        <w:rPr>
          <w:rFonts w:ascii="Times New Roman" w:hAnsi="Times New Roman" w:cs="Times New Roman"/>
          <w:b/>
          <w:bCs/>
          <w:sz w:val="24"/>
          <w:szCs w:val="24"/>
        </w:rPr>
        <w:t>Improve Receivables Management</w:t>
      </w:r>
    </w:p>
    <w:p w14:paraId="5E240E47" w14:textId="2B13A73D"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should:</w:t>
      </w:r>
    </w:p>
    <w:p w14:paraId="2844A085" w14:textId="77777777" w:rsidR="007154EA" w:rsidRPr="008F4248" w:rsidRDefault="007154EA" w:rsidP="004F35F2">
      <w:pPr>
        <w:pStyle w:val="ListParagraph"/>
        <w:numPr>
          <w:ilvl w:val="0"/>
          <w:numId w:val="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Reduce credit exposure</w:t>
      </w:r>
    </w:p>
    <w:p w14:paraId="6BCEE947" w14:textId="77777777" w:rsidR="007154EA" w:rsidRPr="008F4248" w:rsidRDefault="007154EA" w:rsidP="004F35F2">
      <w:pPr>
        <w:pStyle w:val="ListParagraph"/>
        <w:numPr>
          <w:ilvl w:val="0"/>
          <w:numId w:val="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Strengthen payment terms</w:t>
      </w:r>
    </w:p>
    <w:p w14:paraId="30A690B7" w14:textId="4CBD16CC" w:rsidR="007154EA" w:rsidRPr="008F4248" w:rsidRDefault="007154EA" w:rsidP="004F35F2">
      <w:pPr>
        <w:pStyle w:val="ListParagraph"/>
        <w:numPr>
          <w:ilvl w:val="0"/>
          <w:numId w:val="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Encourage faster payments through digital systems</w:t>
      </w:r>
    </w:p>
    <w:p w14:paraId="010A975F" w14:textId="50D8FD38"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Its direct sales model already provides an advantage, but further optimisation is needed to reverse the rising receivable trend.</w:t>
      </w:r>
      <w:r w:rsidR="00017A12">
        <w:rPr>
          <w:rFonts w:ascii="Times New Roman" w:hAnsi="Times New Roman" w:cs="Times New Roman"/>
          <w:sz w:val="24"/>
          <w:szCs w:val="24"/>
        </w:rPr>
        <w:t xml:space="preserve"> Efficient management of receivables enhances liquidity and mitigates financial risk (Arnold, 2022). </w:t>
      </w:r>
    </w:p>
    <w:p w14:paraId="0C94A98C" w14:textId="1BF797EE" w:rsidR="007154EA" w:rsidRPr="00231FCD" w:rsidRDefault="007154EA" w:rsidP="008F4248">
      <w:pPr>
        <w:spacing w:line="360" w:lineRule="auto"/>
        <w:jc w:val="both"/>
        <w:rPr>
          <w:rFonts w:ascii="Times New Roman" w:hAnsi="Times New Roman" w:cs="Times New Roman"/>
          <w:b/>
          <w:bCs/>
          <w:sz w:val="24"/>
          <w:szCs w:val="24"/>
        </w:rPr>
      </w:pPr>
      <w:r w:rsidRPr="00231FCD">
        <w:rPr>
          <w:rFonts w:ascii="Times New Roman" w:hAnsi="Times New Roman" w:cs="Times New Roman"/>
          <w:b/>
          <w:bCs/>
          <w:sz w:val="24"/>
          <w:szCs w:val="24"/>
        </w:rPr>
        <w:t>Enhance Inventory Control</w:t>
      </w:r>
    </w:p>
    <w:p w14:paraId="2D180DE4" w14:textId="422E49B9"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should:</w:t>
      </w:r>
    </w:p>
    <w:p w14:paraId="0ED9BA99" w14:textId="77777777" w:rsidR="007154EA" w:rsidRPr="008F4248" w:rsidRDefault="007154EA" w:rsidP="004F35F2">
      <w:pPr>
        <w:pStyle w:val="ListParagraph"/>
        <w:numPr>
          <w:ilvl w:val="0"/>
          <w:numId w:val="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Improve demand forecasting using AI</w:t>
      </w:r>
    </w:p>
    <w:p w14:paraId="51D84018" w14:textId="77777777" w:rsidR="007154EA" w:rsidRPr="008F4248" w:rsidRDefault="007154EA" w:rsidP="004F35F2">
      <w:pPr>
        <w:pStyle w:val="ListParagraph"/>
        <w:numPr>
          <w:ilvl w:val="0"/>
          <w:numId w:val="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Align production more closely with demand</w:t>
      </w:r>
    </w:p>
    <w:p w14:paraId="0D53AFA1" w14:textId="421390AA" w:rsidR="007154EA" w:rsidRPr="008F4248" w:rsidRDefault="007154EA" w:rsidP="004F35F2">
      <w:pPr>
        <w:pStyle w:val="ListParagraph"/>
        <w:numPr>
          <w:ilvl w:val="0"/>
          <w:numId w:val="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Reduce excess inventory</w:t>
      </w:r>
    </w:p>
    <w:p w14:paraId="41164905" w14:textId="38EDE95A"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Better inventory management will:</w:t>
      </w:r>
    </w:p>
    <w:p w14:paraId="0EFC2182" w14:textId="77777777" w:rsidR="007154EA" w:rsidRPr="008F4248" w:rsidRDefault="007154EA" w:rsidP="004F35F2">
      <w:pPr>
        <w:pStyle w:val="ListParagraph"/>
        <w:numPr>
          <w:ilvl w:val="0"/>
          <w:numId w:val="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Free up working capital</w:t>
      </w:r>
    </w:p>
    <w:p w14:paraId="799E1FC9" w14:textId="77777777" w:rsidR="007154EA" w:rsidRPr="008F4248" w:rsidRDefault="007154EA" w:rsidP="004F35F2">
      <w:pPr>
        <w:pStyle w:val="ListParagraph"/>
        <w:numPr>
          <w:ilvl w:val="0"/>
          <w:numId w:val="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Improve cash flow</w:t>
      </w:r>
    </w:p>
    <w:p w14:paraId="42365EA0" w14:textId="77777777" w:rsidR="007154EA" w:rsidRDefault="007154EA" w:rsidP="004F35F2">
      <w:pPr>
        <w:pStyle w:val="ListParagraph"/>
        <w:numPr>
          <w:ilvl w:val="0"/>
          <w:numId w:val="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Reduce storage and operational costs</w:t>
      </w:r>
    </w:p>
    <w:p w14:paraId="36F527F8" w14:textId="58DFD3D6" w:rsidR="00076D1A" w:rsidRPr="00076D1A" w:rsidRDefault="00076D1A" w:rsidP="00076D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Effective management of inventory is crucial for sustaining both operational and financial performance (Ross et al., 2022). </w:t>
      </w:r>
    </w:p>
    <w:p w14:paraId="3161C5BF" w14:textId="716F3E8A" w:rsidR="007154EA" w:rsidRPr="00231FCD" w:rsidRDefault="007154EA" w:rsidP="008F4248">
      <w:pPr>
        <w:spacing w:line="360" w:lineRule="auto"/>
        <w:jc w:val="both"/>
        <w:rPr>
          <w:rFonts w:ascii="Times New Roman" w:hAnsi="Times New Roman" w:cs="Times New Roman"/>
          <w:b/>
          <w:bCs/>
          <w:sz w:val="24"/>
          <w:szCs w:val="24"/>
        </w:rPr>
      </w:pPr>
      <w:r w:rsidRPr="00231FCD">
        <w:rPr>
          <w:rFonts w:ascii="Times New Roman" w:hAnsi="Times New Roman" w:cs="Times New Roman"/>
          <w:b/>
          <w:bCs/>
          <w:sz w:val="24"/>
          <w:szCs w:val="24"/>
        </w:rPr>
        <w:t>Optimise Payables Strategy</w:t>
      </w:r>
    </w:p>
    <w:p w14:paraId="11035CBA" w14:textId="61128495"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should balance its payable strategy by:</w:t>
      </w:r>
    </w:p>
    <w:p w14:paraId="49090BA2" w14:textId="77777777" w:rsidR="007154EA" w:rsidRPr="008F4248" w:rsidRDefault="007154EA" w:rsidP="004F35F2">
      <w:pPr>
        <w:pStyle w:val="ListParagraph"/>
        <w:numPr>
          <w:ilvl w:val="0"/>
          <w:numId w:val="1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Maintaining strong supplier relationships</w:t>
      </w:r>
    </w:p>
    <w:p w14:paraId="365A26EE" w14:textId="2B84C5B2" w:rsidR="007154EA" w:rsidRPr="008F4248" w:rsidRDefault="007154EA" w:rsidP="004F35F2">
      <w:pPr>
        <w:pStyle w:val="ListParagraph"/>
        <w:numPr>
          <w:ilvl w:val="0"/>
          <w:numId w:val="1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Negotiating favourable but sustainable credit terms</w:t>
      </w:r>
    </w:p>
    <w:p w14:paraId="3B9438FA" w14:textId="08026884"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Over-reliance on delayed payments should be avoided, as it increases operational risk</w:t>
      </w:r>
      <w:r w:rsidR="00076D1A">
        <w:rPr>
          <w:rFonts w:ascii="Times New Roman" w:hAnsi="Times New Roman" w:cs="Times New Roman"/>
          <w:sz w:val="24"/>
          <w:szCs w:val="24"/>
        </w:rPr>
        <w:t xml:space="preserve"> and disrupt supply chains (Arnold, 2022)</w:t>
      </w:r>
      <w:r w:rsidRPr="008F4248">
        <w:rPr>
          <w:rFonts w:ascii="Times New Roman" w:hAnsi="Times New Roman" w:cs="Times New Roman"/>
          <w:sz w:val="24"/>
          <w:szCs w:val="24"/>
        </w:rPr>
        <w:t>.</w:t>
      </w:r>
    </w:p>
    <w:p w14:paraId="77141A91" w14:textId="2CD6DC20" w:rsidR="007154EA" w:rsidRPr="00231FCD" w:rsidRDefault="007154EA" w:rsidP="008F4248">
      <w:pPr>
        <w:spacing w:line="360" w:lineRule="auto"/>
        <w:jc w:val="both"/>
        <w:rPr>
          <w:rFonts w:ascii="Times New Roman" w:hAnsi="Times New Roman" w:cs="Times New Roman"/>
          <w:b/>
          <w:bCs/>
          <w:sz w:val="24"/>
          <w:szCs w:val="24"/>
        </w:rPr>
      </w:pPr>
      <w:r w:rsidRPr="00231FCD">
        <w:rPr>
          <w:rFonts w:ascii="Times New Roman" w:hAnsi="Times New Roman" w:cs="Times New Roman"/>
          <w:b/>
          <w:bCs/>
          <w:sz w:val="24"/>
          <w:szCs w:val="24"/>
        </w:rPr>
        <w:t>Strengthen Cash Flow Management</w:t>
      </w:r>
    </w:p>
    <w:p w14:paraId="58741BBA" w14:textId="2A6846F9"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should:</w:t>
      </w:r>
    </w:p>
    <w:p w14:paraId="7958A135" w14:textId="77777777" w:rsidR="007154EA" w:rsidRPr="008F4248" w:rsidRDefault="007154EA" w:rsidP="004F35F2">
      <w:pPr>
        <w:pStyle w:val="ListParagraph"/>
        <w:numPr>
          <w:ilvl w:val="0"/>
          <w:numId w:val="1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Prioritise operational efficiency over aggressive expansion</w:t>
      </w:r>
    </w:p>
    <w:p w14:paraId="582D6B02" w14:textId="77777777" w:rsidR="007154EA" w:rsidRPr="008F4248" w:rsidRDefault="007154EA" w:rsidP="004F35F2">
      <w:pPr>
        <w:pStyle w:val="ListParagraph"/>
        <w:numPr>
          <w:ilvl w:val="0"/>
          <w:numId w:val="1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Improve cost control</w:t>
      </w:r>
    </w:p>
    <w:p w14:paraId="7DB380A2" w14:textId="2D8526AB" w:rsidR="007154EA" w:rsidRPr="008F4248" w:rsidRDefault="007154EA" w:rsidP="004F35F2">
      <w:pPr>
        <w:pStyle w:val="ListParagraph"/>
        <w:numPr>
          <w:ilvl w:val="0"/>
          <w:numId w:val="1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Maintain sufficient liquidity buffers</w:t>
      </w:r>
    </w:p>
    <w:p w14:paraId="38622C86" w14:textId="6955C1F8"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This will help ensure long-term financial stability</w:t>
      </w:r>
      <w:r w:rsidR="00076D1A">
        <w:rPr>
          <w:rFonts w:ascii="Times New Roman" w:hAnsi="Times New Roman" w:cs="Times New Roman"/>
          <w:sz w:val="24"/>
          <w:szCs w:val="24"/>
        </w:rPr>
        <w:t xml:space="preserve"> and reduce exposure to financial risk (Ross et al., 2022)</w:t>
      </w:r>
      <w:r w:rsidRPr="008F4248">
        <w:rPr>
          <w:rFonts w:ascii="Times New Roman" w:hAnsi="Times New Roman" w:cs="Times New Roman"/>
          <w:sz w:val="24"/>
          <w:szCs w:val="24"/>
        </w:rPr>
        <w:t>.</w:t>
      </w:r>
    </w:p>
    <w:p w14:paraId="2952D4DE" w14:textId="298D0E66" w:rsidR="007154EA" w:rsidRPr="00231FCD" w:rsidRDefault="00231FCD" w:rsidP="00231FCD">
      <w:pPr>
        <w:pStyle w:val="Heading2"/>
        <w:rPr>
          <w:sz w:val="28"/>
          <w:szCs w:val="28"/>
        </w:rPr>
      </w:pPr>
      <w:bookmarkStart w:id="13" w:name="_Toc228106303"/>
      <w:r>
        <w:rPr>
          <w:sz w:val="28"/>
          <w:szCs w:val="28"/>
        </w:rPr>
        <w:t>2</w:t>
      </w:r>
      <w:r w:rsidR="007154EA" w:rsidRPr="00231FCD">
        <w:rPr>
          <w:sz w:val="28"/>
          <w:szCs w:val="28"/>
        </w:rPr>
        <w:t>.4 Financing Options</w:t>
      </w:r>
      <w:bookmarkEnd w:id="13"/>
    </w:p>
    <w:p w14:paraId="13D055E7" w14:textId="1DD60E68" w:rsidR="007154EA" w:rsidRPr="00231FCD" w:rsidRDefault="007154EA" w:rsidP="008F4248">
      <w:pPr>
        <w:spacing w:line="360" w:lineRule="auto"/>
        <w:jc w:val="both"/>
        <w:rPr>
          <w:rFonts w:ascii="Times New Roman" w:hAnsi="Times New Roman" w:cs="Times New Roman"/>
          <w:b/>
          <w:bCs/>
          <w:sz w:val="24"/>
          <w:szCs w:val="24"/>
        </w:rPr>
      </w:pPr>
      <w:r w:rsidRPr="00231FCD">
        <w:rPr>
          <w:rFonts w:ascii="Times New Roman" w:hAnsi="Times New Roman" w:cs="Times New Roman"/>
          <w:b/>
          <w:bCs/>
          <w:sz w:val="24"/>
          <w:szCs w:val="24"/>
        </w:rPr>
        <w:t>Short-Term Financing</w:t>
      </w:r>
    </w:p>
    <w:p w14:paraId="48EE26A4" w14:textId="784C93F4"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Short-term financing options include:</w:t>
      </w:r>
    </w:p>
    <w:p w14:paraId="734D362B" w14:textId="77777777" w:rsidR="007154EA" w:rsidRPr="008F4248" w:rsidRDefault="007154EA" w:rsidP="004F35F2">
      <w:pPr>
        <w:pStyle w:val="ListParagraph"/>
        <w:numPr>
          <w:ilvl w:val="0"/>
          <w:numId w:val="1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Trade credit</w:t>
      </w:r>
    </w:p>
    <w:p w14:paraId="74241298" w14:textId="77777777" w:rsidR="007154EA" w:rsidRPr="008F4248" w:rsidRDefault="007154EA" w:rsidP="004F35F2">
      <w:pPr>
        <w:pStyle w:val="ListParagraph"/>
        <w:numPr>
          <w:ilvl w:val="0"/>
          <w:numId w:val="1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Bank overdrafts</w:t>
      </w:r>
    </w:p>
    <w:p w14:paraId="036E0E93" w14:textId="28BC90F3" w:rsidR="007154EA" w:rsidRPr="008F4248" w:rsidRDefault="007154EA" w:rsidP="004F35F2">
      <w:pPr>
        <w:pStyle w:val="ListParagraph"/>
        <w:numPr>
          <w:ilvl w:val="0"/>
          <w:numId w:val="1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Short-term loans</w:t>
      </w:r>
    </w:p>
    <w:p w14:paraId="0388A982" w14:textId="1723B8CC" w:rsidR="007154EA" w:rsidRPr="00231FCD" w:rsidRDefault="007154EA" w:rsidP="008F4248">
      <w:pPr>
        <w:spacing w:line="360" w:lineRule="auto"/>
        <w:jc w:val="both"/>
        <w:rPr>
          <w:rFonts w:ascii="Times New Roman" w:hAnsi="Times New Roman" w:cs="Times New Roman"/>
          <w:b/>
          <w:bCs/>
          <w:sz w:val="24"/>
          <w:szCs w:val="24"/>
        </w:rPr>
      </w:pPr>
      <w:r w:rsidRPr="00231FCD">
        <w:rPr>
          <w:rFonts w:ascii="Times New Roman" w:hAnsi="Times New Roman" w:cs="Times New Roman"/>
          <w:b/>
          <w:bCs/>
          <w:sz w:val="24"/>
          <w:szCs w:val="24"/>
        </w:rPr>
        <w:t>Advantages:</w:t>
      </w:r>
    </w:p>
    <w:p w14:paraId="2CDB8B16" w14:textId="77777777" w:rsidR="007154EA" w:rsidRPr="008F4248" w:rsidRDefault="007154EA" w:rsidP="004F35F2">
      <w:pPr>
        <w:pStyle w:val="ListParagraph"/>
        <w:numPr>
          <w:ilvl w:val="0"/>
          <w:numId w:val="1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Quick access to funds</w:t>
      </w:r>
    </w:p>
    <w:p w14:paraId="7D73A0EE" w14:textId="77777777" w:rsidR="007154EA" w:rsidRPr="008F4248" w:rsidRDefault="007154EA" w:rsidP="004F35F2">
      <w:pPr>
        <w:pStyle w:val="ListParagraph"/>
        <w:numPr>
          <w:ilvl w:val="0"/>
          <w:numId w:val="1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Lower initial cost</w:t>
      </w:r>
    </w:p>
    <w:p w14:paraId="73EFB6F2" w14:textId="1E4F3C1A" w:rsidR="007154EA" w:rsidRPr="008F4248" w:rsidRDefault="007154EA" w:rsidP="004F35F2">
      <w:pPr>
        <w:pStyle w:val="ListParagraph"/>
        <w:numPr>
          <w:ilvl w:val="0"/>
          <w:numId w:val="1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Flexible</w:t>
      </w:r>
    </w:p>
    <w:p w14:paraId="1410A857" w14:textId="477AB24F" w:rsidR="007154EA" w:rsidRPr="00231FCD" w:rsidRDefault="007154EA" w:rsidP="008F4248">
      <w:pPr>
        <w:spacing w:line="360" w:lineRule="auto"/>
        <w:jc w:val="both"/>
        <w:rPr>
          <w:rFonts w:ascii="Times New Roman" w:hAnsi="Times New Roman" w:cs="Times New Roman"/>
          <w:b/>
          <w:bCs/>
          <w:sz w:val="24"/>
          <w:szCs w:val="24"/>
        </w:rPr>
      </w:pPr>
      <w:r w:rsidRPr="00231FCD">
        <w:rPr>
          <w:rFonts w:ascii="Times New Roman" w:hAnsi="Times New Roman" w:cs="Times New Roman"/>
          <w:b/>
          <w:bCs/>
          <w:sz w:val="24"/>
          <w:szCs w:val="24"/>
        </w:rPr>
        <w:t>Disadvantages:</w:t>
      </w:r>
    </w:p>
    <w:p w14:paraId="5E16C335" w14:textId="77777777" w:rsidR="007154EA" w:rsidRPr="008F4248" w:rsidRDefault="007154EA" w:rsidP="004F35F2">
      <w:pPr>
        <w:pStyle w:val="ListParagraph"/>
        <w:numPr>
          <w:ilvl w:val="0"/>
          <w:numId w:val="1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Higher risk</w:t>
      </w:r>
    </w:p>
    <w:p w14:paraId="2A4BAB89" w14:textId="77777777" w:rsidR="007154EA" w:rsidRPr="008F4248" w:rsidRDefault="007154EA" w:rsidP="004F35F2">
      <w:pPr>
        <w:pStyle w:val="ListParagraph"/>
        <w:numPr>
          <w:ilvl w:val="0"/>
          <w:numId w:val="1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Interest rate fluctuations</w:t>
      </w:r>
    </w:p>
    <w:p w14:paraId="1072A7F2" w14:textId="12414C92" w:rsidR="007154EA" w:rsidRPr="008F4248" w:rsidRDefault="007154EA" w:rsidP="004F35F2">
      <w:pPr>
        <w:pStyle w:val="ListParagraph"/>
        <w:numPr>
          <w:ilvl w:val="0"/>
          <w:numId w:val="1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Reliance on continuous refinancing</w:t>
      </w:r>
    </w:p>
    <w:p w14:paraId="19A19F9F" w14:textId="77777777"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currently uses trade credit (increased payable days), which supports liquidity but increases dependency on suppliers.</w:t>
      </w:r>
    </w:p>
    <w:p w14:paraId="2B97F00D" w14:textId="323F1AA7" w:rsidR="007154EA" w:rsidRPr="00231FCD" w:rsidRDefault="007154EA" w:rsidP="008F4248">
      <w:pPr>
        <w:spacing w:line="360" w:lineRule="auto"/>
        <w:jc w:val="both"/>
        <w:rPr>
          <w:rFonts w:ascii="Times New Roman" w:hAnsi="Times New Roman" w:cs="Times New Roman"/>
          <w:b/>
          <w:bCs/>
          <w:sz w:val="24"/>
          <w:szCs w:val="24"/>
        </w:rPr>
      </w:pPr>
      <w:r w:rsidRPr="00231FCD">
        <w:rPr>
          <w:rFonts w:ascii="Times New Roman" w:hAnsi="Times New Roman" w:cs="Times New Roman"/>
          <w:b/>
          <w:bCs/>
          <w:sz w:val="24"/>
          <w:szCs w:val="24"/>
        </w:rPr>
        <w:t>Long-Term Financing</w:t>
      </w:r>
    </w:p>
    <w:p w14:paraId="1873EFEB" w14:textId="235737BF"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Long-term financing includes:</w:t>
      </w:r>
    </w:p>
    <w:p w14:paraId="32C7C857" w14:textId="77777777" w:rsidR="007154EA" w:rsidRPr="008F4248" w:rsidRDefault="007154EA" w:rsidP="004F35F2">
      <w:pPr>
        <w:pStyle w:val="ListParagraph"/>
        <w:numPr>
          <w:ilvl w:val="0"/>
          <w:numId w:val="1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Equity financing</w:t>
      </w:r>
    </w:p>
    <w:p w14:paraId="5C3AB9F2" w14:textId="66A7C97B" w:rsidR="007154EA" w:rsidRPr="008F4248" w:rsidRDefault="007154EA" w:rsidP="004F35F2">
      <w:pPr>
        <w:pStyle w:val="ListParagraph"/>
        <w:numPr>
          <w:ilvl w:val="0"/>
          <w:numId w:val="1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Long-term debt</w:t>
      </w:r>
    </w:p>
    <w:p w14:paraId="125E6385" w14:textId="4E4F453C" w:rsidR="007154EA" w:rsidRPr="00231FCD" w:rsidRDefault="007154EA" w:rsidP="008F4248">
      <w:pPr>
        <w:spacing w:line="360" w:lineRule="auto"/>
        <w:jc w:val="both"/>
        <w:rPr>
          <w:rFonts w:ascii="Times New Roman" w:hAnsi="Times New Roman" w:cs="Times New Roman"/>
          <w:b/>
          <w:bCs/>
          <w:sz w:val="24"/>
          <w:szCs w:val="24"/>
        </w:rPr>
      </w:pPr>
      <w:r w:rsidRPr="00231FCD">
        <w:rPr>
          <w:rFonts w:ascii="Times New Roman" w:hAnsi="Times New Roman" w:cs="Times New Roman"/>
          <w:b/>
          <w:bCs/>
          <w:sz w:val="24"/>
          <w:szCs w:val="24"/>
        </w:rPr>
        <w:t>Advantages:</w:t>
      </w:r>
    </w:p>
    <w:p w14:paraId="4A1CA9CD" w14:textId="77777777" w:rsidR="007154EA" w:rsidRPr="008F4248" w:rsidRDefault="007154EA" w:rsidP="004F35F2">
      <w:pPr>
        <w:pStyle w:val="ListParagraph"/>
        <w:numPr>
          <w:ilvl w:val="0"/>
          <w:numId w:val="1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Financial stability</w:t>
      </w:r>
    </w:p>
    <w:p w14:paraId="48AAF810" w14:textId="77777777" w:rsidR="007154EA" w:rsidRPr="008F4248" w:rsidRDefault="007154EA" w:rsidP="004F35F2">
      <w:pPr>
        <w:pStyle w:val="ListParagraph"/>
        <w:numPr>
          <w:ilvl w:val="0"/>
          <w:numId w:val="1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Lower refinancing risk</w:t>
      </w:r>
    </w:p>
    <w:p w14:paraId="0016ED99" w14:textId="2081C69A" w:rsidR="007154EA" w:rsidRPr="008F4248" w:rsidRDefault="007154EA" w:rsidP="004F35F2">
      <w:pPr>
        <w:pStyle w:val="ListParagraph"/>
        <w:numPr>
          <w:ilvl w:val="0"/>
          <w:numId w:val="1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Supports long-term investments</w:t>
      </w:r>
    </w:p>
    <w:p w14:paraId="11B1D0B4" w14:textId="6CE72CB3" w:rsidR="007154EA" w:rsidRPr="00231FCD" w:rsidRDefault="007154EA" w:rsidP="008F4248">
      <w:pPr>
        <w:spacing w:line="360" w:lineRule="auto"/>
        <w:jc w:val="both"/>
        <w:rPr>
          <w:rFonts w:ascii="Times New Roman" w:hAnsi="Times New Roman" w:cs="Times New Roman"/>
          <w:b/>
          <w:bCs/>
          <w:sz w:val="24"/>
          <w:szCs w:val="24"/>
        </w:rPr>
      </w:pPr>
      <w:r w:rsidRPr="00231FCD">
        <w:rPr>
          <w:rFonts w:ascii="Times New Roman" w:hAnsi="Times New Roman" w:cs="Times New Roman"/>
          <w:b/>
          <w:bCs/>
          <w:sz w:val="24"/>
          <w:szCs w:val="24"/>
        </w:rPr>
        <w:t>Disadvantages:</w:t>
      </w:r>
    </w:p>
    <w:p w14:paraId="6DA054C9" w14:textId="77777777" w:rsidR="007154EA" w:rsidRPr="008F4248" w:rsidRDefault="007154EA" w:rsidP="004F35F2">
      <w:pPr>
        <w:pStyle w:val="ListParagraph"/>
        <w:numPr>
          <w:ilvl w:val="0"/>
          <w:numId w:val="1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Higher cost of capital (equity dilution)</w:t>
      </w:r>
    </w:p>
    <w:p w14:paraId="7A85CAD3" w14:textId="6C26D6FC" w:rsidR="007154EA" w:rsidRPr="008F4248" w:rsidRDefault="007154EA" w:rsidP="004F35F2">
      <w:pPr>
        <w:pStyle w:val="ListParagraph"/>
        <w:numPr>
          <w:ilvl w:val="0"/>
          <w:numId w:val="1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Long-term obligations</w:t>
      </w:r>
    </w:p>
    <w:p w14:paraId="4A2CB60F" w14:textId="322B2232"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has historically used equity financing to support growth, reducing financial risk compared to debt-heavy firms.</w:t>
      </w:r>
    </w:p>
    <w:p w14:paraId="30514261" w14:textId="102DE567" w:rsidR="007154EA" w:rsidRPr="00231FCD" w:rsidRDefault="007154EA" w:rsidP="008F4248">
      <w:pPr>
        <w:spacing w:line="360" w:lineRule="auto"/>
        <w:jc w:val="both"/>
        <w:rPr>
          <w:rFonts w:ascii="Times New Roman" w:hAnsi="Times New Roman" w:cs="Times New Roman"/>
          <w:b/>
          <w:bCs/>
          <w:sz w:val="24"/>
          <w:szCs w:val="24"/>
        </w:rPr>
      </w:pPr>
      <w:r w:rsidRPr="00231FCD">
        <w:rPr>
          <w:rFonts w:ascii="Times New Roman" w:hAnsi="Times New Roman" w:cs="Times New Roman"/>
          <w:b/>
          <w:bCs/>
          <w:sz w:val="24"/>
          <w:szCs w:val="24"/>
        </w:rPr>
        <w:t>Comparison and Justification</w:t>
      </w:r>
    </w:p>
    <w:tbl>
      <w:tblPr>
        <w:tblStyle w:val="TableGrid"/>
        <w:tblW w:w="0" w:type="auto"/>
        <w:tblLook w:val="04A0" w:firstRow="1" w:lastRow="0" w:firstColumn="1" w:lastColumn="0" w:noHBand="0" w:noVBand="1"/>
      </w:tblPr>
      <w:tblGrid>
        <w:gridCol w:w="3116"/>
        <w:gridCol w:w="3117"/>
        <w:gridCol w:w="3117"/>
      </w:tblGrid>
      <w:tr w:rsidR="00A26688" w:rsidRPr="008F4248" w14:paraId="116100F0" w14:textId="77777777" w:rsidTr="00A26688">
        <w:tc>
          <w:tcPr>
            <w:tcW w:w="3116" w:type="dxa"/>
          </w:tcPr>
          <w:p w14:paraId="4485900B"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Factor</w:t>
            </w:r>
          </w:p>
        </w:tc>
        <w:tc>
          <w:tcPr>
            <w:tcW w:w="3117" w:type="dxa"/>
          </w:tcPr>
          <w:p w14:paraId="52F3BEAD"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Short-Term Financing</w:t>
            </w:r>
          </w:p>
        </w:tc>
        <w:tc>
          <w:tcPr>
            <w:tcW w:w="3117" w:type="dxa"/>
          </w:tcPr>
          <w:p w14:paraId="6BE6D407"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Long-Term Financing</w:t>
            </w:r>
          </w:p>
        </w:tc>
      </w:tr>
      <w:tr w:rsidR="00A26688" w:rsidRPr="008F4248" w14:paraId="471E50D9" w14:textId="77777777" w:rsidTr="00A26688">
        <w:tc>
          <w:tcPr>
            <w:tcW w:w="3116" w:type="dxa"/>
          </w:tcPr>
          <w:p w14:paraId="516DBC58"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Cost</w:t>
            </w:r>
          </w:p>
        </w:tc>
        <w:tc>
          <w:tcPr>
            <w:tcW w:w="3117" w:type="dxa"/>
          </w:tcPr>
          <w:p w14:paraId="79DF6EE8"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Lower initially</w:t>
            </w:r>
          </w:p>
        </w:tc>
        <w:tc>
          <w:tcPr>
            <w:tcW w:w="3117" w:type="dxa"/>
          </w:tcPr>
          <w:p w14:paraId="0BAEAC8D"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Higher overall</w:t>
            </w:r>
          </w:p>
        </w:tc>
      </w:tr>
      <w:tr w:rsidR="00A26688" w:rsidRPr="008F4248" w14:paraId="27B0C472" w14:textId="77777777" w:rsidTr="00A26688">
        <w:tc>
          <w:tcPr>
            <w:tcW w:w="3116" w:type="dxa"/>
          </w:tcPr>
          <w:p w14:paraId="71107470"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Risk</w:t>
            </w:r>
          </w:p>
        </w:tc>
        <w:tc>
          <w:tcPr>
            <w:tcW w:w="3117" w:type="dxa"/>
          </w:tcPr>
          <w:p w14:paraId="1F4FE433"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Higher</w:t>
            </w:r>
          </w:p>
        </w:tc>
        <w:tc>
          <w:tcPr>
            <w:tcW w:w="3117" w:type="dxa"/>
          </w:tcPr>
          <w:p w14:paraId="56F24793"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Lower</w:t>
            </w:r>
          </w:p>
        </w:tc>
      </w:tr>
      <w:tr w:rsidR="00A26688" w:rsidRPr="008F4248" w14:paraId="708D9B7F" w14:textId="77777777" w:rsidTr="00A26688">
        <w:tc>
          <w:tcPr>
            <w:tcW w:w="3116" w:type="dxa"/>
          </w:tcPr>
          <w:p w14:paraId="436D0E6C"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Flexibility</w:t>
            </w:r>
          </w:p>
        </w:tc>
        <w:tc>
          <w:tcPr>
            <w:tcW w:w="3117" w:type="dxa"/>
          </w:tcPr>
          <w:p w14:paraId="49CF2A3D"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High</w:t>
            </w:r>
          </w:p>
        </w:tc>
        <w:tc>
          <w:tcPr>
            <w:tcW w:w="3117" w:type="dxa"/>
          </w:tcPr>
          <w:p w14:paraId="2B943A4E"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Low</w:t>
            </w:r>
          </w:p>
        </w:tc>
      </w:tr>
      <w:tr w:rsidR="00A26688" w:rsidRPr="008F4248" w14:paraId="0485C202" w14:textId="77777777" w:rsidTr="00A26688">
        <w:tc>
          <w:tcPr>
            <w:tcW w:w="3116" w:type="dxa"/>
          </w:tcPr>
          <w:p w14:paraId="03935D30"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Stability</w:t>
            </w:r>
          </w:p>
        </w:tc>
        <w:tc>
          <w:tcPr>
            <w:tcW w:w="3117" w:type="dxa"/>
          </w:tcPr>
          <w:p w14:paraId="476AAC44"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Low</w:t>
            </w:r>
          </w:p>
        </w:tc>
        <w:tc>
          <w:tcPr>
            <w:tcW w:w="3117" w:type="dxa"/>
          </w:tcPr>
          <w:p w14:paraId="625F7E86" w14:textId="77777777" w:rsidR="00A26688" w:rsidRPr="008F4248" w:rsidRDefault="00A26688"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High</w:t>
            </w:r>
          </w:p>
        </w:tc>
      </w:tr>
    </w:tbl>
    <w:p w14:paraId="1C36B3EA" w14:textId="27E21B15"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For Tesla:</w:t>
      </w:r>
    </w:p>
    <w:p w14:paraId="79A0E40F" w14:textId="77777777" w:rsidR="007154EA" w:rsidRPr="008F4248" w:rsidRDefault="007154EA" w:rsidP="004F35F2">
      <w:pPr>
        <w:pStyle w:val="ListParagraph"/>
        <w:numPr>
          <w:ilvl w:val="0"/>
          <w:numId w:val="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Short-term financing (trade credit) is useful for day-to-day operations</w:t>
      </w:r>
    </w:p>
    <w:p w14:paraId="2C59FB4D" w14:textId="77777777" w:rsidR="007154EA" w:rsidRPr="008F4248" w:rsidRDefault="007154EA" w:rsidP="004F35F2">
      <w:pPr>
        <w:pStyle w:val="ListParagraph"/>
        <w:numPr>
          <w:ilvl w:val="0"/>
          <w:numId w:val="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Long-term financing is essential for strategic investments (AI, EV expansion)</w:t>
      </w:r>
    </w:p>
    <w:p w14:paraId="164A9746" w14:textId="128928EC" w:rsidR="007154EA" w:rsidRPr="00231FCD" w:rsidRDefault="007154EA" w:rsidP="008F4248">
      <w:pPr>
        <w:spacing w:line="360" w:lineRule="auto"/>
        <w:jc w:val="both"/>
        <w:rPr>
          <w:rFonts w:ascii="Times New Roman" w:hAnsi="Times New Roman" w:cs="Times New Roman"/>
          <w:b/>
          <w:bCs/>
          <w:sz w:val="24"/>
          <w:szCs w:val="24"/>
        </w:rPr>
      </w:pPr>
      <w:r w:rsidRPr="00231FCD">
        <w:rPr>
          <w:rFonts w:ascii="Times New Roman" w:hAnsi="Times New Roman" w:cs="Times New Roman"/>
          <w:b/>
          <w:bCs/>
          <w:sz w:val="24"/>
          <w:szCs w:val="24"/>
        </w:rPr>
        <w:t>Recommended Approach:</w:t>
      </w:r>
    </w:p>
    <w:p w14:paraId="208DC086" w14:textId="277C867D"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should adopt a balanced financing strategy, combining:</w:t>
      </w:r>
    </w:p>
    <w:p w14:paraId="791F88C0" w14:textId="77777777" w:rsidR="007154EA" w:rsidRPr="008F4248" w:rsidRDefault="007154EA" w:rsidP="004F35F2">
      <w:pPr>
        <w:pStyle w:val="ListParagraph"/>
        <w:numPr>
          <w:ilvl w:val="0"/>
          <w:numId w:val="1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Short-term financing for operational efficiency</w:t>
      </w:r>
    </w:p>
    <w:p w14:paraId="49CE372B" w14:textId="77777777" w:rsidR="007154EA" w:rsidRPr="008F4248" w:rsidRDefault="007154EA" w:rsidP="004F35F2">
      <w:pPr>
        <w:pStyle w:val="ListParagraph"/>
        <w:numPr>
          <w:ilvl w:val="0"/>
          <w:numId w:val="1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Long-term financing for growth and innovation</w:t>
      </w:r>
    </w:p>
    <w:p w14:paraId="098A65C0" w14:textId="2E0C067B" w:rsidR="007154EA" w:rsidRPr="00231FCD" w:rsidRDefault="007154EA" w:rsidP="008F4248">
      <w:pPr>
        <w:spacing w:line="360" w:lineRule="auto"/>
        <w:jc w:val="both"/>
        <w:rPr>
          <w:rFonts w:ascii="Times New Roman" w:hAnsi="Times New Roman" w:cs="Times New Roman"/>
          <w:b/>
          <w:bCs/>
          <w:sz w:val="24"/>
          <w:szCs w:val="24"/>
        </w:rPr>
      </w:pPr>
      <w:r w:rsidRPr="00231FCD">
        <w:rPr>
          <w:rFonts w:ascii="Times New Roman" w:hAnsi="Times New Roman" w:cs="Times New Roman"/>
          <w:b/>
          <w:bCs/>
          <w:sz w:val="24"/>
          <w:szCs w:val="24"/>
        </w:rPr>
        <w:t>Final Insight</w:t>
      </w:r>
    </w:p>
    <w:p w14:paraId="248519B2" w14:textId="7A1F3B03"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Tesla’s working capital management is currently efficient but under pressure. The company maintains a short cash cycle, which is a strong competitive advantage. However, increasing receivables, reliance on supplier financing, and heavy investment spending highlight emerging risks.</w:t>
      </w:r>
    </w:p>
    <w:p w14:paraId="69D49DE2" w14:textId="31FA1BD6" w:rsidR="007154EA" w:rsidRPr="008F4248" w:rsidRDefault="007154EA"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To sustain financial stability, Tesla must:</w:t>
      </w:r>
    </w:p>
    <w:p w14:paraId="1CB9D446" w14:textId="77777777" w:rsidR="007154EA" w:rsidRPr="008F4248" w:rsidRDefault="007154EA" w:rsidP="004F35F2">
      <w:pPr>
        <w:pStyle w:val="ListParagraph"/>
        <w:numPr>
          <w:ilvl w:val="0"/>
          <w:numId w:val="1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Improve operational efficiency</w:t>
      </w:r>
    </w:p>
    <w:p w14:paraId="20114DDC" w14:textId="77777777" w:rsidR="007154EA" w:rsidRPr="008F4248" w:rsidRDefault="007154EA" w:rsidP="004F35F2">
      <w:pPr>
        <w:pStyle w:val="ListParagraph"/>
        <w:numPr>
          <w:ilvl w:val="0"/>
          <w:numId w:val="1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Strengthen liquidity management</w:t>
      </w:r>
    </w:p>
    <w:p w14:paraId="50A9A033" w14:textId="19FF4773" w:rsidR="009913CE" w:rsidRDefault="007154EA" w:rsidP="004F35F2">
      <w:pPr>
        <w:pStyle w:val="ListParagraph"/>
        <w:numPr>
          <w:ilvl w:val="0"/>
          <w:numId w:val="1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Balance financing strategies</w:t>
      </w:r>
      <w:r w:rsidR="00076D1A">
        <w:rPr>
          <w:rFonts w:ascii="Times New Roman" w:hAnsi="Times New Roman" w:cs="Times New Roman"/>
          <w:sz w:val="24"/>
          <w:szCs w:val="24"/>
        </w:rPr>
        <w:t xml:space="preserve"> </w:t>
      </w:r>
    </w:p>
    <w:p w14:paraId="1A2D7AE0" w14:textId="176B032F" w:rsidR="00076D1A" w:rsidRPr="00076D1A" w:rsidRDefault="00076D1A" w:rsidP="00076D1A">
      <w:pPr>
        <w:spacing w:line="360" w:lineRule="auto"/>
        <w:jc w:val="both"/>
        <w:rPr>
          <w:rFonts w:ascii="Times New Roman" w:hAnsi="Times New Roman" w:cs="Times New Roman"/>
          <w:sz w:val="24"/>
          <w:szCs w:val="24"/>
        </w:rPr>
      </w:pPr>
      <w:r>
        <w:rPr>
          <w:rFonts w:ascii="Times New Roman" w:hAnsi="Times New Roman" w:cs="Times New Roman"/>
          <w:sz w:val="24"/>
          <w:szCs w:val="24"/>
        </w:rPr>
        <w:t>From a CFO perspective, maintaining this balance is critical to ensuring sustainable growth and shareholder value creation (Ross et al., 2022).</w:t>
      </w:r>
    </w:p>
    <w:p w14:paraId="6B970531" w14:textId="1220D37C" w:rsidR="00AA3DF7" w:rsidRPr="000E45CB" w:rsidRDefault="000E45CB" w:rsidP="000E45CB">
      <w:pPr>
        <w:pStyle w:val="Heading1"/>
        <w:rPr>
          <w:sz w:val="32"/>
          <w:szCs w:val="32"/>
        </w:rPr>
      </w:pPr>
      <w:bookmarkStart w:id="14" w:name="_Toc228106304"/>
      <w:r w:rsidRPr="000E45CB">
        <w:rPr>
          <w:sz w:val="32"/>
          <w:szCs w:val="32"/>
        </w:rPr>
        <w:t>3. Strategic Financial Restructuring Plan</w:t>
      </w:r>
      <w:bookmarkEnd w:id="14"/>
    </w:p>
    <w:p w14:paraId="28914AE0" w14:textId="51178E6C" w:rsidR="00AA3DF7" w:rsidRPr="000E45CB" w:rsidRDefault="000E45CB" w:rsidP="000E45CB">
      <w:pPr>
        <w:pStyle w:val="Heading2"/>
        <w:rPr>
          <w:sz w:val="28"/>
          <w:szCs w:val="28"/>
        </w:rPr>
      </w:pPr>
      <w:bookmarkStart w:id="15" w:name="_Toc228106305"/>
      <w:r>
        <w:rPr>
          <w:sz w:val="28"/>
          <w:szCs w:val="28"/>
        </w:rPr>
        <w:t>3</w:t>
      </w:r>
      <w:r w:rsidR="00AA3DF7" w:rsidRPr="000E45CB">
        <w:rPr>
          <w:sz w:val="28"/>
          <w:szCs w:val="28"/>
        </w:rPr>
        <w:t>.1 Current Financial Challenges</w:t>
      </w:r>
      <w:bookmarkEnd w:id="15"/>
    </w:p>
    <w:p w14:paraId="2F8F4AED" w14:textId="37104DD8"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Tesla’s financial performance in recent years reflects a transition from high-growth profitability to a more constrained and volatile phase, driven by market saturation, increased competition, and aggressive investment strategies.</w:t>
      </w:r>
    </w:p>
    <w:p w14:paraId="7D91AFF0" w14:textId="16E11029" w:rsidR="00AA3DF7" w:rsidRPr="000E45CB" w:rsidRDefault="00AA3DF7" w:rsidP="008F4248">
      <w:pPr>
        <w:spacing w:line="360" w:lineRule="auto"/>
        <w:jc w:val="both"/>
        <w:rPr>
          <w:rFonts w:ascii="Times New Roman" w:hAnsi="Times New Roman" w:cs="Times New Roman"/>
          <w:b/>
          <w:bCs/>
          <w:sz w:val="24"/>
          <w:szCs w:val="24"/>
        </w:rPr>
      </w:pPr>
      <w:r w:rsidRPr="000E45CB">
        <w:rPr>
          <w:rFonts w:ascii="Times New Roman" w:hAnsi="Times New Roman" w:cs="Times New Roman"/>
          <w:b/>
          <w:bCs/>
          <w:sz w:val="24"/>
          <w:szCs w:val="24"/>
        </w:rPr>
        <w:t>Debt Position</w:t>
      </w:r>
    </w:p>
    <w:p w14:paraId="2F273BBD" w14:textId="7EEB5408"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Tesla maintains a relatively moderate debt level compared to traditional automotive firms, but recent data indicates increasing financial obligations. As of mid-2024, Tesla reported approximately $7.39 billion in total debt, including $2.03 billion in current liabilities </w:t>
      </w:r>
      <w:r w:rsidR="00AD28E3" w:rsidRPr="008F4248">
        <w:rPr>
          <w:rFonts w:ascii="Times New Roman" w:hAnsi="Times New Roman" w:cs="Times New Roman"/>
          <w:sz w:val="24"/>
          <w:szCs w:val="24"/>
        </w:rPr>
        <w:t>(Tesla Inc., 2024)</w:t>
      </w:r>
      <w:r w:rsidRPr="008F4248">
        <w:rPr>
          <w:rFonts w:ascii="Times New Roman" w:hAnsi="Times New Roman" w:cs="Times New Roman"/>
          <w:sz w:val="24"/>
          <w:szCs w:val="24"/>
        </w:rPr>
        <w:t>.</w:t>
      </w:r>
      <w:r w:rsidR="003269C1" w:rsidRPr="008F4248">
        <w:rPr>
          <w:rFonts w:ascii="Times New Roman" w:hAnsi="Times New Roman" w:cs="Times New Roman"/>
          <w:sz w:val="24"/>
          <w:szCs w:val="24"/>
        </w:rPr>
        <w:t xml:space="preserve"> </w:t>
      </w:r>
      <w:r w:rsidRPr="008F4248">
        <w:rPr>
          <w:rFonts w:ascii="Times New Roman" w:hAnsi="Times New Roman" w:cs="Times New Roman"/>
          <w:sz w:val="24"/>
          <w:szCs w:val="24"/>
        </w:rPr>
        <w:t>Although the company has historically reduced reliance on debt, financing activity remains significant. In 2025, debt repayments increased substantially, contributing to a decline in financing cash flow, indicating active debt management but also ongoing financial obligations</w:t>
      </w:r>
      <w:r w:rsidR="003269C1" w:rsidRPr="008F4248">
        <w:rPr>
          <w:rFonts w:ascii="Times New Roman" w:hAnsi="Times New Roman" w:cs="Times New Roman"/>
          <w:sz w:val="24"/>
          <w:szCs w:val="24"/>
        </w:rPr>
        <w:t xml:space="preserve"> (Tesla Inc., 2025)</w:t>
      </w:r>
      <w:r w:rsidRPr="008F4248">
        <w:rPr>
          <w:rFonts w:ascii="Times New Roman" w:hAnsi="Times New Roman" w:cs="Times New Roman"/>
          <w:sz w:val="24"/>
          <w:szCs w:val="24"/>
        </w:rPr>
        <w:t>.</w:t>
      </w:r>
      <w:r w:rsidR="003269C1" w:rsidRPr="008F4248">
        <w:rPr>
          <w:rFonts w:ascii="Times New Roman" w:hAnsi="Times New Roman" w:cs="Times New Roman"/>
          <w:sz w:val="24"/>
          <w:szCs w:val="24"/>
        </w:rPr>
        <w:t xml:space="preserve"> </w:t>
      </w:r>
      <w:r w:rsidRPr="008F4248">
        <w:rPr>
          <w:rFonts w:ascii="Times New Roman" w:hAnsi="Times New Roman" w:cs="Times New Roman"/>
          <w:sz w:val="24"/>
          <w:szCs w:val="24"/>
        </w:rPr>
        <w:t>This suggests Tesla is balancing between reducing debt exposure and funding expansion, but the rising need for capital could increase leverage in the future.</w:t>
      </w:r>
    </w:p>
    <w:p w14:paraId="7DB56344" w14:textId="553A6FA3" w:rsidR="00AA3DF7" w:rsidRPr="000E45CB" w:rsidRDefault="00AA3DF7" w:rsidP="008F4248">
      <w:pPr>
        <w:spacing w:line="360" w:lineRule="auto"/>
        <w:jc w:val="both"/>
        <w:rPr>
          <w:rFonts w:ascii="Times New Roman" w:hAnsi="Times New Roman" w:cs="Times New Roman"/>
          <w:b/>
          <w:bCs/>
          <w:sz w:val="24"/>
          <w:szCs w:val="24"/>
        </w:rPr>
      </w:pPr>
      <w:r w:rsidRPr="000E45CB">
        <w:rPr>
          <w:rFonts w:ascii="Times New Roman" w:hAnsi="Times New Roman" w:cs="Times New Roman"/>
          <w:b/>
          <w:bCs/>
          <w:sz w:val="24"/>
          <w:szCs w:val="24"/>
        </w:rPr>
        <w:t>Profitability Decline</w:t>
      </w:r>
    </w:p>
    <w:p w14:paraId="75896587" w14:textId="6B7F85C0"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Tesla’s profitability has weakened significantly since 2023. Net income fell sharply from approximately $15 billion in 2023 to around $7 billion in 2024, representing a decline of over 50% </w:t>
      </w:r>
      <w:r w:rsidR="00A815AD" w:rsidRPr="008F4248">
        <w:rPr>
          <w:rFonts w:ascii="Times New Roman" w:hAnsi="Times New Roman" w:cs="Times New Roman"/>
          <w:sz w:val="24"/>
          <w:szCs w:val="24"/>
        </w:rPr>
        <w:t>(Medium, 2024)</w:t>
      </w:r>
      <w:r w:rsidRPr="008F4248">
        <w:rPr>
          <w:rFonts w:ascii="Times New Roman" w:hAnsi="Times New Roman" w:cs="Times New Roman"/>
          <w:sz w:val="24"/>
          <w:szCs w:val="24"/>
        </w:rPr>
        <w:t>.</w:t>
      </w:r>
      <w:r w:rsidR="003F1C9D" w:rsidRPr="008F4248">
        <w:rPr>
          <w:rFonts w:ascii="Times New Roman" w:hAnsi="Times New Roman" w:cs="Times New Roman"/>
          <w:sz w:val="24"/>
          <w:szCs w:val="24"/>
        </w:rPr>
        <w:t xml:space="preserve"> </w:t>
      </w:r>
      <w:r w:rsidRPr="008F4248">
        <w:rPr>
          <w:rFonts w:ascii="Times New Roman" w:hAnsi="Times New Roman" w:cs="Times New Roman"/>
          <w:sz w:val="24"/>
          <w:szCs w:val="24"/>
        </w:rPr>
        <w:t xml:space="preserve">By 2025, net income dropped further to $3.79 billion, with a net profit margin of approximately 4%, indicating severe margin compression </w:t>
      </w:r>
      <w:r w:rsidR="00AC0070" w:rsidRPr="008F4248">
        <w:rPr>
          <w:rFonts w:ascii="Times New Roman" w:hAnsi="Times New Roman" w:cs="Times New Roman"/>
          <w:sz w:val="24"/>
          <w:szCs w:val="24"/>
        </w:rPr>
        <w:t>(Bullfincher, 2025)</w:t>
      </w:r>
      <w:r w:rsidRPr="008F4248">
        <w:rPr>
          <w:rFonts w:ascii="Times New Roman" w:hAnsi="Times New Roman" w:cs="Times New Roman"/>
          <w:sz w:val="24"/>
          <w:szCs w:val="24"/>
        </w:rPr>
        <w:t>.</w:t>
      </w:r>
    </w:p>
    <w:p w14:paraId="77286C65" w14:textId="056D59D3"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This decline is largely driven by:</w:t>
      </w:r>
    </w:p>
    <w:p w14:paraId="64D34B09" w14:textId="77777777" w:rsidR="00AA3DF7" w:rsidRPr="008F4248" w:rsidRDefault="00AA3DF7" w:rsidP="004F35F2">
      <w:pPr>
        <w:pStyle w:val="ListParagraph"/>
        <w:numPr>
          <w:ilvl w:val="0"/>
          <w:numId w:val="2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Aggressive price reductions to maintain market share</w:t>
      </w:r>
    </w:p>
    <w:p w14:paraId="18F28B4A" w14:textId="77777777" w:rsidR="00AA3DF7" w:rsidRPr="008F4248" w:rsidRDefault="00AA3DF7" w:rsidP="004F35F2">
      <w:pPr>
        <w:pStyle w:val="ListParagraph"/>
        <w:numPr>
          <w:ilvl w:val="0"/>
          <w:numId w:val="2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Increased competition from global EV manufacturers</w:t>
      </w:r>
    </w:p>
    <w:p w14:paraId="55BDCC1F" w14:textId="4260EF3E" w:rsidR="00AA3DF7" w:rsidRPr="008F4248" w:rsidRDefault="00AA3DF7" w:rsidP="004F35F2">
      <w:pPr>
        <w:pStyle w:val="ListParagraph"/>
        <w:numPr>
          <w:ilvl w:val="0"/>
          <w:numId w:val="2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Rising production and operating costs</w:t>
      </w:r>
    </w:p>
    <w:p w14:paraId="2EC7678B" w14:textId="750E5CE7"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 xml:space="preserve">Additionally, automotive gross margins declined from around 20% to below 17% in 2025, further highlighting profitability pressures </w:t>
      </w:r>
      <w:r w:rsidR="00AC0070" w:rsidRPr="008F4248">
        <w:rPr>
          <w:rFonts w:ascii="Times New Roman" w:hAnsi="Times New Roman" w:cs="Times New Roman"/>
          <w:sz w:val="24"/>
          <w:szCs w:val="24"/>
        </w:rPr>
        <w:t>(Tesla Inc., 2025)</w:t>
      </w:r>
      <w:r w:rsidRPr="008F4248">
        <w:rPr>
          <w:rFonts w:ascii="Times New Roman" w:hAnsi="Times New Roman" w:cs="Times New Roman"/>
          <w:sz w:val="24"/>
          <w:szCs w:val="24"/>
        </w:rPr>
        <w:t>.</w:t>
      </w:r>
    </w:p>
    <w:p w14:paraId="3C0200C0" w14:textId="36EEF268" w:rsidR="00AA3DF7" w:rsidRPr="000E45CB" w:rsidRDefault="00AA3DF7" w:rsidP="008F4248">
      <w:pPr>
        <w:spacing w:line="360" w:lineRule="auto"/>
        <w:jc w:val="both"/>
        <w:rPr>
          <w:rFonts w:ascii="Times New Roman" w:hAnsi="Times New Roman" w:cs="Times New Roman"/>
          <w:b/>
          <w:bCs/>
          <w:sz w:val="24"/>
          <w:szCs w:val="24"/>
        </w:rPr>
      </w:pPr>
      <w:r w:rsidRPr="000E45CB">
        <w:rPr>
          <w:rFonts w:ascii="Times New Roman" w:hAnsi="Times New Roman" w:cs="Times New Roman"/>
          <w:b/>
          <w:bCs/>
          <w:sz w:val="24"/>
          <w:szCs w:val="24"/>
        </w:rPr>
        <w:t>Cash Flow Pressures</w:t>
      </w:r>
    </w:p>
    <w:p w14:paraId="3ACFC14B" w14:textId="2ED57AD4"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Tesla continues to generate strong operating cash flow; for example, $14.7 billion operating cash flow was reported in 2025 </w:t>
      </w:r>
      <w:r w:rsidR="0003390C" w:rsidRPr="008F4248">
        <w:rPr>
          <w:rFonts w:ascii="Times New Roman" w:hAnsi="Times New Roman" w:cs="Times New Roman"/>
          <w:sz w:val="24"/>
          <w:szCs w:val="24"/>
        </w:rPr>
        <w:t>(</w:t>
      </w:r>
      <w:r w:rsidR="008D4EBE" w:rsidRPr="008F4248">
        <w:rPr>
          <w:rFonts w:ascii="Times New Roman" w:hAnsi="Times New Roman" w:cs="Times New Roman"/>
          <w:sz w:val="24"/>
          <w:szCs w:val="24"/>
        </w:rPr>
        <w:t>Tesla Inc., 2025)</w:t>
      </w:r>
      <w:r w:rsidRPr="008F4248">
        <w:rPr>
          <w:rFonts w:ascii="Times New Roman" w:hAnsi="Times New Roman" w:cs="Times New Roman"/>
          <w:sz w:val="24"/>
          <w:szCs w:val="24"/>
        </w:rPr>
        <w:t>. However, this is offset by significant capital expenditure and investment commitments.</w:t>
      </w:r>
      <w:r w:rsidR="008D4EBE" w:rsidRPr="008F4248">
        <w:rPr>
          <w:rFonts w:ascii="Times New Roman" w:hAnsi="Times New Roman" w:cs="Times New Roman"/>
          <w:sz w:val="24"/>
          <w:szCs w:val="24"/>
        </w:rPr>
        <w:t xml:space="preserve"> </w:t>
      </w:r>
      <w:r w:rsidRPr="008F4248">
        <w:rPr>
          <w:rFonts w:ascii="Times New Roman" w:hAnsi="Times New Roman" w:cs="Times New Roman"/>
          <w:sz w:val="24"/>
          <w:szCs w:val="24"/>
        </w:rPr>
        <w:t>Free cash flow has been volatile:</w:t>
      </w:r>
    </w:p>
    <w:p w14:paraId="4F372027" w14:textId="77777777" w:rsidR="00AA3DF7" w:rsidRPr="008F4248" w:rsidRDefault="00AA3DF7" w:rsidP="004F35F2">
      <w:pPr>
        <w:pStyle w:val="ListParagraph"/>
        <w:numPr>
          <w:ilvl w:val="0"/>
          <w:numId w:val="2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$4.36 billion (2023)</w:t>
      </w:r>
    </w:p>
    <w:p w14:paraId="10D96411" w14:textId="77777777" w:rsidR="00AA3DF7" w:rsidRPr="008F4248" w:rsidRDefault="00AA3DF7" w:rsidP="004F35F2">
      <w:pPr>
        <w:pStyle w:val="ListParagraph"/>
        <w:numPr>
          <w:ilvl w:val="0"/>
          <w:numId w:val="2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$3.58 billion (2024)</w:t>
      </w:r>
    </w:p>
    <w:p w14:paraId="0BC91A19" w14:textId="353B9C47" w:rsidR="00AA3DF7" w:rsidRPr="008F4248" w:rsidRDefault="00AA3DF7" w:rsidP="004F35F2">
      <w:pPr>
        <w:pStyle w:val="ListParagraph"/>
        <w:numPr>
          <w:ilvl w:val="0"/>
          <w:numId w:val="2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$6.22 billion (2025)</w:t>
      </w:r>
    </w:p>
    <w:p w14:paraId="52F42917" w14:textId="053BEFA2"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Despite recent improvements, analysts expect negative free cash flow in 2026 due to heavy investment spending exceeding $25 billion, particularly in AI, robotics, and manufacturing expansion </w:t>
      </w:r>
      <w:r w:rsidR="006E167E" w:rsidRPr="008F4248">
        <w:rPr>
          <w:rFonts w:ascii="Times New Roman" w:hAnsi="Times New Roman" w:cs="Times New Roman"/>
          <w:sz w:val="24"/>
          <w:szCs w:val="24"/>
        </w:rPr>
        <w:t>(MarketWatch, 2026)</w:t>
      </w:r>
      <w:r w:rsidRPr="008F4248">
        <w:rPr>
          <w:rFonts w:ascii="Times New Roman" w:hAnsi="Times New Roman" w:cs="Times New Roman"/>
          <w:sz w:val="24"/>
          <w:szCs w:val="24"/>
        </w:rPr>
        <w:t>.</w:t>
      </w:r>
      <w:r w:rsidR="000C61CF" w:rsidRPr="008F4248">
        <w:rPr>
          <w:rFonts w:ascii="Times New Roman" w:hAnsi="Times New Roman" w:cs="Times New Roman"/>
          <w:sz w:val="24"/>
          <w:szCs w:val="24"/>
        </w:rPr>
        <w:t xml:space="preserve"> </w:t>
      </w:r>
      <w:r w:rsidRPr="008F4248">
        <w:rPr>
          <w:rFonts w:ascii="Times New Roman" w:hAnsi="Times New Roman" w:cs="Times New Roman"/>
          <w:sz w:val="24"/>
          <w:szCs w:val="24"/>
        </w:rPr>
        <w:t>This indicates that Tesla’s cash flow is increasingly under pressure, despite strong operating performance.</w:t>
      </w:r>
    </w:p>
    <w:p w14:paraId="2693AEFD" w14:textId="5C885064" w:rsidR="00AA3DF7" w:rsidRPr="000E45CB" w:rsidRDefault="000E45CB" w:rsidP="000E45CB">
      <w:pPr>
        <w:pStyle w:val="Heading2"/>
        <w:rPr>
          <w:sz w:val="28"/>
          <w:szCs w:val="28"/>
        </w:rPr>
      </w:pPr>
      <w:bookmarkStart w:id="16" w:name="_Toc228106306"/>
      <w:r w:rsidRPr="000E45CB">
        <w:rPr>
          <w:sz w:val="28"/>
          <w:szCs w:val="28"/>
        </w:rPr>
        <w:t>3</w:t>
      </w:r>
      <w:r w:rsidR="00AA3DF7" w:rsidRPr="000E45CB">
        <w:rPr>
          <w:sz w:val="28"/>
          <w:szCs w:val="28"/>
        </w:rPr>
        <w:t>.2 Restructuring Strategies</w:t>
      </w:r>
      <w:bookmarkEnd w:id="16"/>
    </w:p>
    <w:p w14:paraId="23DFE702" w14:textId="20DA6FBC"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To address these challenges, Tesla must adopt a strategic financial restructuring plan focused on sustainability, efficiency, and long-term growth.</w:t>
      </w:r>
    </w:p>
    <w:p w14:paraId="31E23080" w14:textId="0A8ABF53" w:rsidR="00AA3DF7" w:rsidRPr="008F4248" w:rsidRDefault="00AA3DF7"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Equity Financing</w:t>
      </w:r>
    </w:p>
    <w:p w14:paraId="2A73C723" w14:textId="5F5DA79F"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has historically relied on equity financing to support expansion, reducing dependence on debt and maintaining financial flexibility.</w:t>
      </w:r>
    </w:p>
    <w:p w14:paraId="6875EBFD" w14:textId="7F3AF177"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Recommendation:</w:t>
      </w:r>
    </w:p>
    <w:p w14:paraId="702D7410" w14:textId="70C7A436"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Issue additional equity or retain earnings to fund large-scale investments (AI, autonomous driving, energy systems)</w:t>
      </w:r>
    </w:p>
    <w:p w14:paraId="64D60760" w14:textId="38A2A227"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Justification:</w:t>
      </w:r>
    </w:p>
    <w:p w14:paraId="01E5E637" w14:textId="77777777" w:rsidR="00AA3DF7" w:rsidRPr="008F4248" w:rsidRDefault="00AA3DF7" w:rsidP="004F35F2">
      <w:pPr>
        <w:pStyle w:val="ListParagraph"/>
        <w:numPr>
          <w:ilvl w:val="0"/>
          <w:numId w:val="2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Reduces financial risk compared to debt</w:t>
      </w:r>
    </w:p>
    <w:p w14:paraId="6BBD7484" w14:textId="77777777" w:rsidR="00AA3DF7" w:rsidRPr="008F4248" w:rsidRDefault="00AA3DF7" w:rsidP="004F35F2">
      <w:pPr>
        <w:pStyle w:val="ListParagraph"/>
        <w:numPr>
          <w:ilvl w:val="0"/>
          <w:numId w:val="2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Supports long-term innovation</w:t>
      </w:r>
    </w:p>
    <w:p w14:paraId="5E2BD00F" w14:textId="77777777" w:rsidR="00AA3DF7" w:rsidRPr="008F4248" w:rsidRDefault="00AA3DF7" w:rsidP="004F35F2">
      <w:pPr>
        <w:pStyle w:val="ListParagraph"/>
        <w:numPr>
          <w:ilvl w:val="0"/>
          <w:numId w:val="2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Maintains liquidity</w:t>
      </w:r>
    </w:p>
    <w:p w14:paraId="27D2BB73" w14:textId="77777777"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However, excessive equity financing may dilute shareholder value, requiring careful balance.</w:t>
      </w:r>
    </w:p>
    <w:p w14:paraId="46BFD6F0" w14:textId="77777777" w:rsidR="000C61CF" w:rsidRPr="008F4248" w:rsidRDefault="00AA3DF7"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Debt Restructuring</w:t>
      </w:r>
    </w:p>
    <w:p w14:paraId="3E6BC619" w14:textId="6FF45959"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should optimise its debt structure by:</w:t>
      </w:r>
    </w:p>
    <w:p w14:paraId="479B77C9" w14:textId="77777777" w:rsidR="00AA3DF7" w:rsidRPr="008F4248" w:rsidRDefault="00AA3DF7" w:rsidP="004F35F2">
      <w:pPr>
        <w:pStyle w:val="ListParagraph"/>
        <w:numPr>
          <w:ilvl w:val="0"/>
          <w:numId w:val="2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Refinancing existing debt at lower interest rates</w:t>
      </w:r>
    </w:p>
    <w:p w14:paraId="324F3788" w14:textId="77777777" w:rsidR="00AA3DF7" w:rsidRPr="008F4248" w:rsidRDefault="00AA3DF7" w:rsidP="004F35F2">
      <w:pPr>
        <w:pStyle w:val="ListParagraph"/>
        <w:numPr>
          <w:ilvl w:val="0"/>
          <w:numId w:val="2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Extending maturity periods</w:t>
      </w:r>
    </w:p>
    <w:p w14:paraId="67EBF540" w14:textId="60996425" w:rsidR="00AA3DF7" w:rsidRPr="008F4248" w:rsidRDefault="00AA3DF7" w:rsidP="004F35F2">
      <w:pPr>
        <w:pStyle w:val="ListParagraph"/>
        <w:numPr>
          <w:ilvl w:val="0"/>
          <w:numId w:val="2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Reducing short-term liabilities</w:t>
      </w:r>
    </w:p>
    <w:p w14:paraId="622C78D5" w14:textId="77777777"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Evidence:</w:t>
      </w:r>
    </w:p>
    <w:p w14:paraId="11DF5618" w14:textId="3356E9F8"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has already increased debt repayments in 2025, indicating active restructuring efforts</w:t>
      </w:r>
      <w:r w:rsidR="006A1FF6" w:rsidRPr="008F4248">
        <w:rPr>
          <w:rFonts w:ascii="Times New Roman" w:hAnsi="Times New Roman" w:cs="Times New Roman"/>
          <w:sz w:val="24"/>
          <w:szCs w:val="24"/>
        </w:rPr>
        <w:t xml:space="preserve"> </w:t>
      </w:r>
    </w:p>
    <w:p w14:paraId="73706BAF" w14:textId="05905AD8"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Recommendation:</w:t>
      </w:r>
    </w:p>
    <w:p w14:paraId="3ADFFDE1" w14:textId="77777777" w:rsidR="00AA3DF7" w:rsidRPr="008F4248" w:rsidRDefault="00AA3DF7" w:rsidP="004F35F2">
      <w:pPr>
        <w:pStyle w:val="ListParagraph"/>
        <w:numPr>
          <w:ilvl w:val="0"/>
          <w:numId w:val="2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Shift toward long-term debt instruments</w:t>
      </w:r>
    </w:p>
    <w:p w14:paraId="3CCD6D5F" w14:textId="2DBD4E58" w:rsidR="00AA3DF7" w:rsidRPr="008F4248" w:rsidRDefault="00AA3DF7" w:rsidP="004F35F2">
      <w:pPr>
        <w:pStyle w:val="ListParagraph"/>
        <w:numPr>
          <w:ilvl w:val="0"/>
          <w:numId w:val="2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Maintain moderate leverage</w:t>
      </w:r>
    </w:p>
    <w:p w14:paraId="2FE9B6B2" w14:textId="77777777"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This will reduce refinancing risk and improve financial stability.</w:t>
      </w:r>
    </w:p>
    <w:p w14:paraId="5920AC3A" w14:textId="002E90FE" w:rsidR="00AA3DF7" w:rsidRPr="008F4248" w:rsidRDefault="00AA3DF7"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Divestment and Strategic Focus</w:t>
      </w:r>
    </w:p>
    <w:p w14:paraId="15CB0029" w14:textId="43BF4B83"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should consider:</w:t>
      </w:r>
    </w:p>
    <w:p w14:paraId="27D1D72C" w14:textId="77777777" w:rsidR="00AA3DF7" w:rsidRPr="008F4248" w:rsidRDefault="00AA3DF7" w:rsidP="004F35F2">
      <w:pPr>
        <w:pStyle w:val="ListParagraph"/>
        <w:numPr>
          <w:ilvl w:val="0"/>
          <w:numId w:val="2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Divesting non-core or underperforming assets</w:t>
      </w:r>
    </w:p>
    <w:p w14:paraId="6BCFF436" w14:textId="7126E979" w:rsidR="00AA3DF7" w:rsidRPr="008F4248" w:rsidRDefault="00AA3DF7" w:rsidP="004F35F2">
      <w:pPr>
        <w:pStyle w:val="ListParagraph"/>
        <w:numPr>
          <w:ilvl w:val="0"/>
          <w:numId w:val="2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Reducing investment in low-margin segments</w:t>
      </w:r>
    </w:p>
    <w:p w14:paraId="4A06B75A" w14:textId="63128EC0"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Recent strategic decisions, such as phasing out certain vehicle models and focusing on AI and robotics, indicate a shift toward higher-value segments</w:t>
      </w:r>
    </w:p>
    <w:p w14:paraId="7B2D570C" w14:textId="0B197793"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Recommendation:</w:t>
      </w:r>
    </w:p>
    <w:p w14:paraId="15716F82" w14:textId="77777777" w:rsidR="00AA3DF7" w:rsidRPr="008F4248" w:rsidRDefault="00AA3DF7" w:rsidP="004F35F2">
      <w:pPr>
        <w:pStyle w:val="ListParagraph"/>
        <w:numPr>
          <w:ilvl w:val="0"/>
          <w:numId w:val="2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Focus on high-margin areas:</w:t>
      </w:r>
    </w:p>
    <w:p w14:paraId="3BCF835A" w14:textId="77777777" w:rsidR="00AA3DF7" w:rsidRPr="008F4248" w:rsidRDefault="00AA3DF7" w:rsidP="004F35F2">
      <w:pPr>
        <w:pStyle w:val="ListParagraph"/>
        <w:numPr>
          <w:ilvl w:val="0"/>
          <w:numId w:val="2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AI technologies</w:t>
      </w:r>
    </w:p>
    <w:p w14:paraId="22EEE538" w14:textId="77777777" w:rsidR="00AA3DF7" w:rsidRPr="008F4248" w:rsidRDefault="00AA3DF7" w:rsidP="004F35F2">
      <w:pPr>
        <w:pStyle w:val="ListParagraph"/>
        <w:numPr>
          <w:ilvl w:val="0"/>
          <w:numId w:val="2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Energy storage</w:t>
      </w:r>
    </w:p>
    <w:p w14:paraId="3E7A4894" w14:textId="60DBF374" w:rsidR="00AA3DF7" w:rsidRPr="008F4248" w:rsidRDefault="00AA3DF7" w:rsidP="004F35F2">
      <w:pPr>
        <w:pStyle w:val="ListParagraph"/>
        <w:numPr>
          <w:ilvl w:val="0"/>
          <w:numId w:val="2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Autonomous driving</w:t>
      </w:r>
    </w:p>
    <w:p w14:paraId="743F20C4" w14:textId="77777777"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This will improve profitability and capital efficiency.</w:t>
      </w:r>
    </w:p>
    <w:p w14:paraId="6C55397A" w14:textId="504CE6F2" w:rsidR="00AA3DF7" w:rsidRPr="008F4248" w:rsidRDefault="00AA3DF7"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Strategic Partnerships / Mergers</w:t>
      </w:r>
    </w:p>
    <w:p w14:paraId="1A133308" w14:textId="07BA499F"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Tesla can strengthen its position through:</w:t>
      </w:r>
    </w:p>
    <w:p w14:paraId="6D997818" w14:textId="77777777" w:rsidR="00AA3DF7" w:rsidRPr="008F4248" w:rsidRDefault="00AA3DF7" w:rsidP="004F35F2">
      <w:pPr>
        <w:pStyle w:val="ListParagraph"/>
        <w:numPr>
          <w:ilvl w:val="0"/>
          <w:numId w:val="2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Strategic partnerships (e.g., AI, semiconductor production)</w:t>
      </w:r>
    </w:p>
    <w:p w14:paraId="487FEF42" w14:textId="34206EA1" w:rsidR="00AA3DF7" w:rsidRPr="008F4248" w:rsidRDefault="00AA3DF7" w:rsidP="004F35F2">
      <w:pPr>
        <w:pStyle w:val="ListParagraph"/>
        <w:numPr>
          <w:ilvl w:val="0"/>
          <w:numId w:val="2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Joint ventures to reduce capital burden</w:t>
      </w:r>
    </w:p>
    <w:p w14:paraId="04F7C15E" w14:textId="00FE9812"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Given rising investment costs, collaboration can:</w:t>
      </w:r>
    </w:p>
    <w:p w14:paraId="2FC1E0A2" w14:textId="77777777" w:rsidR="00AA3DF7" w:rsidRPr="008F4248" w:rsidRDefault="00AA3DF7" w:rsidP="004F35F2">
      <w:pPr>
        <w:pStyle w:val="ListParagraph"/>
        <w:numPr>
          <w:ilvl w:val="0"/>
          <w:numId w:val="2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Reduce financial risk</w:t>
      </w:r>
    </w:p>
    <w:p w14:paraId="3BD36425" w14:textId="77777777" w:rsidR="00AA3DF7" w:rsidRPr="008F4248" w:rsidRDefault="00AA3DF7" w:rsidP="004F35F2">
      <w:pPr>
        <w:pStyle w:val="ListParagraph"/>
        <w:numPr>
          <w:ilvl w:val="0"/>
          <w:numId w:val="2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Accelerate innovation</w:t>
      </w:r>
    </w:p>
    <w:p w14:paraId="37B5A93F" w14:textId="17E860AB" w:rsidR="00AA3DF7" w:rsidRPr="000E45CB" w:rsidRDefault="000E45CB" w:rsidP="000E45CB">
      <w:pPr>
        <w:pStyle w:val="Heading2"/>
        <w:rPr>
          <w:sz w:val="28"/>
          <w:szCs w:val="28"/>
        </w:rPr>
      </w:pPr>
      <w:bookmarkStart w:id="17" w:name="_Toc228106307"/>
      <w:r w:rsidRPr="000E45CB">
        <w:rPr>
          <w:sz w:val="28"/>
          <w:szCs w:val="28"/>
        </w:rPr>
        <w:t>3.</w:t>
      </w:r>
      <w:r w:rsidR="00AA3DF7" w:rsidRPr="000E45CB">
        <w:rPr>
          <w:sz w:val="28"/>
          <w:szCs w:val="28"/>
        </w:rPr>
        <w:t>3 Impact Analysis</w:t>
      </w:r>
      <w:bookmarkEnd w:id="17"/>
    </w:p>
    <w:p w14:paraId="3328A9CE" w14:textId="670EEAD9" w:rsidR="00AA3DF7" w:rsidRPr="00592403" w:rsidRDefault="00AA3DF7"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Shareholder Value</w:t>
      </w:r>
    </w:p>
    <w:p w14:paraId="3BC88184" w14:textId="37EE86F2"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Restructuring strategies will have mixed impacts:</w:t>
      </w:r>
    </w:p>
    <w:p w14:paraId="022BFF3A" w14:textId="085BBFE6" w:rsidR="00AA3DF7" w:rsidRPr="007E709B" w:rsidRDefault="00AA3DF7" w:rsidP="008F4248">
      <w:pPr>
        <w:spacing w:line="360" w:lineRule="auto"/>
        <w:jc w:val="both"/>
        <w:rPr>
          <w:rFonts w:ascii="Times New Roman" w:hAnsi="Times New Roman" w:cs="Times New Roman"/>
          <w:b/>
          <w:bCs/>
          <w:sz w:val="24"/>
          <w:szCs w:val="24"/>
        </w:rPr>
      </w:pPr>
      <w:r w:rsidRPr="007E709B">
        <w:rPr>
          <w:rFonts w:ascii="Times New Roman" w:hAnsi="Times New Roman" w:cs="Times New Roman"/>
          <w:b/>
          <w:bCs/>
          <w:sz w:val="24"/>
          <w:szCs w:val="24"/>
        </w:rPr>
        <w:t>Positive:</w:t>
      </w:r>
    </w:p>
    <w:p w14:paraId="6CEB0AC4" w14:textId="77777777" w:rsidR="00AA3DF7" w:rsidRPr="008F4248" w:rsidRDefault="00AA3DF7" w:rsidP="004F35F2">
      <w:pPr>
        <w:pStyle w:val="ListParagraph"/>
        <w:numPr>
          <w:ilvl w:val="0"/>
          <w:numId w:val="2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Improved long-term growth potential</w:t>
      </w:r>
    </w:p>
    <w:p w14:paraId="4237B619" w14:textId="640AAFD4" w:rsidR="00AA3DF7" w:rsidRPr="008F4248" w:rsidRDefault="00AA3DF7" w:rsidP="004F35F2">
      <w:pPr>
        <w:pStyle w:val="ListParagraph"/>
        <w:numPr>
          <w:ilvl w:val="0"/>
          <w:numId w:val="2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Increased profitability through efficiency</w:t>
      </w:r>
    </w:p>
    <w:p w14:paraId="4F33F54B" w14:textId="7CF9D524"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Negative:</w:t>
      </w:r>
    </w:p>
    <w:p w14:paraId="17562CEB" w14:textId="77777777" w:rsidR="00AA3DF7" w:rsidRPr="008F4248" w:rsidRDefault="00AA3DF7" w:rsidP="004F35F2">
      <w:pPr>
        <w:pStyle w:val="ListParagraph"/>
        <w:numPr>
          <w:ilvl w:val="0"/>
          <w:numId w:val="3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Equity financing may dilute shares</w:t>
      </w:r>
    </w:p>
    <w:p w14:paraId="5F16B1C0" w14:textId="3CE2A7DA" w:rsidR="00AA3DF7" w:rsidRPr="008F4248" w:rsidRDefault="00AA3DF7" w:rsidP="004F35F2">
      <w:pPr>
        <w:pStyle w:val="ListParagraph"/>
        <w:numPr>
          <w:ilvl w:val="0"/>
          <w:numId w:val="3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Short-term profitability may decline due to restructuring costs</w:t>
      </w:r>
    </w:p>
    <w:p w14:paraId="04ADFC67" w14:textId="77777777"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However, focusing on innovation (AI, robotics) is expected to enhance long-term shareholder value.</w:t>
      </w:r>
    </w:p>
    <w:p w14:paraId="1AC3ED56" w14:textId="30E73842" w:rsidR="00AA3DF7" w:rsidRPr="008F4248" w:rsidRDefault="00AA3DF7"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Capital Structure</w:t>
      </w:r>
    </w:p>
    <w:p w14:paraId="3E0A060F" w14:textId="0639D5BA"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Tesla’s capital structure is likely to evolve toward:</w:t>
      </w:r>
    </w:p>
    <w:p w14:paraId="21973396" w14:textId="77777777" w:rsidR="00AA3DF7" w:rsidRPr="008F4248" w:rsidRDefault="00AA3DF7" w:rsidP="004F35F2">
      <w:pPr>
        <w:pStyle w:val="ListParagraph"/>
        <w:numPr>
          <w:ilvl w:val="0"/>
          <w:numId w:val="3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Lower reliance on short-term debt</w:t>
      </w:r>
    </w:p>
    <w:p w14:paraId="40A2B591" w14:textId="77777777" w:rsidR="00AA3DF7" w:rsidRPr="008F4248" w:rsidRDefault="00AA3DF7" w:rsidP="004F35F2">
      <w:pPr>
        <w:pStyle w:val="ListParagraph"/>
        <w:numPr>
          <w:ilvl w:val="0"/>
          <w:numId w:val="3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Increased equity financing</w:t>
      </w:r>
    </w:p>
    <w:p w14:paraId="046B0AB9" w14:textId="1C2D4259" w:rsidR="00AA3DF7" w:rsidRPr="008F4248" w:rsidRDefault="00AA3DF7" w:rsidP="004F35F2">
      <w:pPr>
        <w:pStyle w:val="ListParagraph"/>
        <w:numPr>
          <w:ilvl w:val="0"/>
          <w:numId w:val="3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More balanced leverage</w:t>
      </w:r>
    </w:p>
    <w:p w14:paraId="6C00901E" w14:textId="4E026208"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This reduces financial risk and enhances stability, particularly in uncertain market conditions.</w:t>
      </w:r>
    </w:p>
    <w:p w14:paraId="2C3E35DA" w14:textId="031E9E65" w:rsidR="00AA3DF7" w:rsidRPr="008F4248" w:rsidRDefault="00AA3DF7"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Operational Flexibility</w:t>
      </w:r>
    </w:p>
    <w:p w14:paraId="6EBEB66D" w14:textId="68B59761"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Restructuring will improve operational flexibility by:</w:t>
      </w:r>
    </w:p>
    <w:p w14:paraId="25695FDF" w14:textId="77777777" w:rsidR="00AA3DF7" w:rsidRPr="008F4248" w:rsidRDefault="00AA3DF7" w:rsidP="004F35F2">
      <w:pPr>
        <w:pStyle w:val="ListParagraph"/>
        <w:numPr>
          <w:ilvl w:val="0"/>
          <w:numId w:val="3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Reducing financial constraints</w:t>
      </w:r>
    </w:p>
    <w:p w14:paraId="568FB39E" w14:textId="77777777" w:rsidR="00AA3DF7" w:rsidRPr="008F4248" w:rsidRDefault="00AA3DF7" w:rsidP="004F35F2">
      <w:pPr>
        <w:pStyle w:val="ListParagraph"/>
        <w:numPr>
          <w:ilvl w:val="0"/>
          <w:numId w:val="3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Allowing reinvestment in innovation</w:t>
      </w:r>
    </w:p>
    <w:p w14:paraId="02A6BA90" w14:textId="7E4D1CE0" w:rsidR="00AA3DF7" w:rsidRPr="008F4248" w:rsidRDefault="00AA3DF7" w:rsidP="004F35F2">
      <w:pPr>
        <w:pStyle w:val="ListParagraph"/>
        <w:numPr>
          <w:ilvl w:val="0"/>
          <w:numId w:val="3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Improving cost efficiency</w:t>
      </w:r>
    </w:p>
    <w:p w14:paraId="7FBC080B" w14:textId="6BE8746E"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However, excessive capital expenditure may reduce flexibility in the short term.</w:t>
      </w:r>
    </w:p>
    <w:p w14:paraId="6B8D9816" w14:textId="109B5438" w:rsidR="00AA3DF7" w:rsidRPr="007E709B" w:rsidRDefault="007E709B" w:rsidP="007E709B">
      <w:pPr>
        <w:pStyle w:val="Heading2"/>
        <w:rPr>
          <w:sz w:val="28"/>
          <w:szCs w:val="28"/>
        </w:rPr>
      </w:pPr>
      <w:bookmarkStart w:id="18" w:name="_Toc228106308"/>
      <w:r w:rsidRPr="007E709B">
        <w:rPr>
          <w:sz w:val="28"/>
          <w:szCs w:val="28"/>
        </w:rPr>
        <w:t>3</w:t>
      </w:r>
      <w:r w:rsidR="00AA3DF7" w:rsidRPr="007E709B">
        <w:rPr>
          <w:sz w:val="28"/>
          <w:szCs w:val="28"/>
        </w:rPr>
        <w:t>.4 International and Ethical Considerations</w:t>
      </w:r>
      <w:bookmarkEnd w:id="18"/>
    </w:p>
    <w:p w14:paraId="3D53536E" w14:textId="1B5A4C32"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Inflation</w:t>
      </w:r>
    </w:p>
    <w:p w14:paraId="677DB222" w14:textId="41C7716B" w:rsidR="00AA3DF7" w:rsidRPr="008F4248" w:rsidRDefault="00AA3DF7" w:rsidP="004F35F2">
      <w:pPr>
        <w:pStyle w:val="ListParagraph"/>
        <w:numPr>
          <w:ilvl w:val="0"/>
          <w:numId w:val="3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Global inflation has increased production costs, including:</w:t>
      </w:r>
    </w:p>
    <w:p w14:paraId="5C27B571" w14:textId="77777777" w:rsidR="00AA3DF7" w:rsidRPr="008F4248" w:rsidRDefault="00AA3DF7" w:rsidP="004F35F2">
      <w:pPr>
        <w:pStyle w:val="ListParagraph"/>
        <w:numPr>
          <w:ilvl w:val="0"/>
          <w:numId w:val="3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Raw materials (lithium, batteries)</w:t>
      </w:r>
    </w:p>
    <w:p w14:paraId="177EC181" w14:textId="736041B7"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Labour costs</w:t>
      </w:r>
    </w:p>
    <w:p w14:paraId="3CE3CCCC" w14:textId="55E7807A"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This contributes to margin compression and profitability decline.</w:t>
      </w:r>
    </w:p>
    <w:p w14:paraId="18FD6D3B" w14:textId="5A39FA14"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must:</w:t>
      </w:r>
    </w:p>
    <w:p w14:paraId="4D544208" w14:textId="77777777" w:rsidR="00AA3DF7" w:rsidRPr="008F4248" w:rsidRDefault="00AA3DF7" w:rsidP="004F35F2">
      <w:pPr>
        <w:pStyle w:val="ListParagraph"/>
        <w:numPr>
          <w:ilvl w:val="0"/>
          <w:numId w:val="3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Improve cost efficiency</w:t>
      </w:r>
    </w:p>
    <w:p w14:paraId="3475FF54" w14:textId="77777777" w:rsidR="00AA3DF7" w:rsidRPr="008F4248" w:rsidRDefault="00AA3DF7" w:rsidP="004F35F2">
      <w:pPr>
        <w:pStyle w:val="ListParagraph"/>
        <w:numPr>
          <w:ilvl w:val="0"/>
          <w:numId w:val="3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Optimise supply chains</w:t>
      </w:r>
    </w:p>
    <w:p w14:paraId="47C0E8AA" w14:textId="45FBD9C6" w:rsidR="00AA3DF7" w:rsidRPr="008F4248" w:rsidRDefault="00AA3DF7"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Currency Risk</w:t>
      </w:r>
    </w:p>
    <w:p w14:paraId="0093601B" w14:textId="5232C4EB"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operates globally, exposing it to currency fluctuations.</w:t>
      </w:r>
    </w:p>
    <w:p w14:paraId="4D09919B" w14:textId="7EB8039E"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Financial reports highlight the use of constant currency analysis, indicating that exchange rate changes significantly affect performance</w:t>
      </w:r>
      <w:r w:rsidR="00D51159" w:rsidRPr="008F4248">
        <w:rPr>
          <w:rFonts w:ascii="Times New Roman" w:hAnsi="Times New Roman" w:cs="Times New Roman"/>
          <w:sz w:val="24"/>
          <w:szCs w:val="24"/>
        </w:rPr>
        <w:t xml:space="preserve"> (Tesla Inc., 2025)</w:t>
      </w:r>
    </w:p>
    <w:p w14:paraId="112988C0" w14:textId="4D7CA353"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Recommendation:</w:t>
      </w:r>
    </w:p>
    <w:p w14:paraId="016FE308" w14:textId="77777777" w:rsidR="00AA3DF7" w:rsidRPr="008F4248" w:rsidRDefault="00AA3DF7" w:rsidP="004F35F2">
      <w:pPr>
        <w:pStyle w:val="ListParagraph"/>
        <w:numPr>
          <w:ilvl w:val="0"/>
          <w:numId w:val="3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Use hedging strategies</w:t>
      </w:r>
    </w:p>
    <w:p w14:paraId="3C6553A4" w14:textId="77777777" w:rsidR="00AA3DF7" w:rsidRPr="008F4248" w:rsidRDefault="00AA3DF7" w:rsidP="004F35F2">
      <w:pPr>
        <w:pStyle w:val="ListParagraph"/>
        <w:numPr>
          <w:ilvl w:val="0"/>
          <w:numId w:val="3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Diversify global operations</w:t>
      </w:r>
    </w:p>
    <w:p w14:paraId="2DB87E80" w14:textId="66ABB576" w:rsidR="00AA3DF7" w:rsidRPr="008F4248" w:rsidRDefault="00AA3DF7"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Taxation and Global Structures</w:t>
      </w:r>
    </w:p>
    <w:p w14:paraId="7F19EA30" w14:textId="064B5F29"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 has previously used international structures (e.g., Netherlands and Singapore subsidiaries) to optimise tax efficiency, which has generated significant financial benefits</w:t>
      </w:r>
      <w:r w:rsidR="00D51159" w:rsidRPr="008F4248">
        <w:rPr>
          <w:rFonts w:ascii="Times New Roman" w:hAnsi="Times New Roman" w:cs="Times New Roman"/>
          <w:sz w:val="24"/>
          <w:szCs w:val="24"/>
        </w:rPr>
        <w:t xml:space="preserve">. </w:t>
      </w:r>
      <w:r w:rsidRPr="008F4248">
        <w:rPr>
          <w:rFonts w:ascii="Times New Roman" w:hAnsi="Times New Roman" w:cs="Times New Roman"/>
          <w:sz w:val="24"/>
          <w:szCs w:val="24"/>
        </w:rPr>
        <w:t>However, such strategies raise:</w:t>
      </w:r>
    </w:p>
    <w:p w14:paraId="203A4121" w14:textId="77777777" w:rsidR="00AA3DF7" w:rsidRPr="008F4248" w:rsidRDefault="00AA3DF7" w:rsidP="004F35F2">
      <w:pPr>
        <w:pStyle w:val="ListParagraph"/>
        <w:numPr>
          <w:ilvl w:val="0"/>
          <w:numId w:val="3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Ethical concerns</w:t>
      </w:r>
    </w:p>
    <w:p w14:paraId="75E1550B" w14:textId="77777777" w:rsidR="00AA3DF7" w:rsidRPr="008F4248" w:rsidRDefault="00AA3DF7" w:rsidP="004F35F2">
      <w:pPr>
        <w:pStyle w:val="ListParagraph"/>
        <w:numPr>
          <w:ilvl w:val="0"/>
          <w:numId w:val="3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Regulatory risks</w:t>
      </w:r>
    </w:p>
    <w:p w14:paraId="6FC32C57" w14:textId="6DF13D46" w:rsidR="00AA3DF7" w:rsidRPr="008F4248" w:rsidRDefault="00AA3DF7"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CSR and Sustainability</w:t>
      </w:r>
    </w:p>
    <w:p w14:paraId="368EDED8" w14:textId="4AB3D621"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Tesla’s core business is aligned with sustainability through EV production and renewable energy solutions.</w:t>
      </w:r>
      <w:r w:rsidR="00D51159" w:rsidRPr="008F4248">
        <w:rPr>
          <w:rFonts w:ascii="Times New Roman" w:hAnsi="Times New Roman" w:cs="Times New Roman"/>
          <w:sz w:val="24"/>
          <w:szCs w:val="24"/>
        </w:rPr>
        <w:t xml:space="preserve"> </w:t>
      </w:r>
      <w:r w:rsidRPr="008F4248">
        <w:rPr>
          <w:rFonts w:ascii="Times New Roman" w:hAnsi="Times New Roman" w:cs="Times New Roman"/>
          <w:sz w:val="24"/>
          <w:szCs w:val="24"/>
        </w:rPr>
        <w:t>However, ethical challenges include:</w:t>
      </w:r>
    </w:p>
    <w:p w14:paraId="2207C522" w14:textId="77777777" w:rsidR="00AA3DF7" w:rsidRPr="008F4248" w:rsidRDefault="00AA3DF7" w:rsidP="004F35F2">
      <w:pPr>
        <w:pStyle w:val="ListParagraph"/>
        <w:numPr>
          <w:ilvl w:val="0"/>
          <w:numId w:val="3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Supply chain issues (e.g., raw material sourcing)</w:t>
      </w:r>
    </w:p>
    <w:p w14:paraId="1F2279D4" w14:textId="77777777" w:rsidR="00AA3DF7" w:rsidRPr="008F4248" w:rsidRDefault="00AA3DF7" w:rsidP="004F35F2">
      <w:pPr>
        <w:pStyle w:val="ListParagraph"/>
        <w:numPr>
          <w:ilvl w:val="0"/>
          <w:numId w:val="3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Labour practices</w:t>
      </w:r>
    </w:p>
    <w:p w14:paraId="40F60704" w14:textId="1EE225D1" w:rsidR="00AA3DF7" w:rsidRPr="008F4248" w:rsidRDefault="00AA3DF7" w:rsidP="004F35F2">
      <w:pPr>
        <w:pStyle w:val="ListParagraph"/>
        <w:numPr>
          <w:ilvl w:val="0"/>
          <w:numId w:val="3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Environmental impact of battery production</w:t>
      </w:r>
    </w:p>
    <w:p w14:paraId="4860F794" w14:textId="1FC280C1"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Recommendation:</w:t>
      </w:r>
    </w:p>
    <w:p w14:paraId="4B06BA10" w14:textId="77777777" w:rsidR="00AA3DF7" w:rsidRPr="008F4248" w:rsidRDefault="00AA3DF7" w:rsidP="004F35F2">
      <w:pPr>
        <w:pStyle w:val="ListParagraph"/>
        <w:numPr>
          <w:ilvl w:val="0"/>
          <w:numId w:val="3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Strengthen ESG reporting</w:t>
      </w:r>
    </w:p>
    <w:p w14:paraId="5C1CD4B9" w14:textId="77777777" w:rsidR="00AA3DF7" w:rsidRPr="008F4248" w:rsidRDefault="00AA3DF7" w:rsidP="004F35F2">
      <w:pPr>
        <w:pStyle w:val="ListParagraph"/>
        <w:numPr>
          <w:ilvl w:val="0"/>
          <w:numId w:val="3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Improve transparency</w:t>
      </w:r>
    </w:p>
    <w:p w14:paraId="5919A009" w14:textId="77777777" w:rsidR="00AA3DF7" w:rsidRPr="008F4248" w:rsidRDefault="00AA3DF7" w:rsidP="004F35F2">
      <w:pPr>
        <w:pStyle w:val="ListParagraph"/>
        <w:numPr>
          <w:ilvl w:val="0"/>
          <w:numId w:val="3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Invest in sustainable supply chains</w:t>
      </w:r>
    </w:p>
    <w:p w14:paraId="4E65A42D" w14:textId="0B009243" w:rsidR="00AA3DF7" w:rsidRPr="007E709B" w:rsidRDefault="00AA3DF7" w:rsidP="008F4248">
      <w:pPr>
        <w:spacing w:line="360" w:lineRule="auto"/>
        <w:jc w:val="both"/>
        <w:rPr>
          <w:rFonts w:ascii="Times New Roman" w:hAnsi="Times New Roman" w:cs="Times New Roman"/>
          <w:b/>
          <w:bCs/>
          <w:sz w:val="24"/>
          <w:szCs w:val="24"/>
        </w:rPr>
      </w:pPr>
      <w:r w:rsidRPr="007E709B">
        <w:rPr>
          <w:rFonts w:ascii="Times New Roman" w:hAnsi="Times New Roman" w:cs="Times New Roman"/>
          <w:b/>
          <w:bCs/>
          <w:sz w:val="24"/>
          <w:szCs w:val="24"/>
        </w:rPr>
        <w:t>Final Strategic Insight</w:t>
      </w:r>
    </w:p>
    <w:p w14:paraId="4CE367C6" w14:textId="7299C9CB"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Tesla’s financial restructuring must focus on balancing growth and financial stability.</w:t>
      </w:r>
    </w:p>
    <w:p w14:paraId="65029AF3" w14:textId="56E7C58F" w:rsidR="00AA3DF7"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Key priorities:</w:t>
      </w:r>
    </w:p>
    <w:p w14:paraId="2FFF542A" w14:textId="77777777" w:rsidR="00AA3DF7" w:rsidRPr="008F4248" w:rsidRDefault="00AA3DF7" w:rsidP="004F35F2">
      <w:pPr>
        <w:pStyle w:val="ListParagraph"/>
        <w:numPr>
          <w:ilvl w:val="0"/>
          <w:numId w:val="3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Reduce profitability pressure through cost efficiency</w:t>
      </w:r>
    </w:p>
    <w:p w14:paraId="714C9AB5" w14:textId="77777777" w:rsidR="00AA3DF7" w:rsidRPr="008F4248" w:rsidRDefault="00AA3DF7" w:rsidP="004F35F2">
      <w:pPr>
        <w:pStyle w:val="ListParagraph"/>
        <w:numPr>
          <w:ilvl w:val="0"/>
          <w:numId w:val="3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Optimise capital structure (balanced debt + equity)</w:t>
      </w:r>
    </w:p>
    <w:p w14:paraId="22D80E96" w14:textId="77777777" w:rsidR="00AA3DF7" w:rsidRPr="008F4248" w:rsidRDefault="00AA3DF7" w:rsidP="004F35F2">
      <w:pPr>
        <w:pStyle w:val="ListParagraph"/>
        <w:numPr>
          <w:ilvl w:val="0"/>
          <w:numId w:val="3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Focus on high-value innovation sectors</w:t>
      </w:r>
    </w:p>
    <w:p w14:paraId="032CA9E7" w14:textId="6077E874" w:rsidR="00AA3DF7" w:rsidRPr="008F4248" w:rsidRDefault="00AA3DF7" w:rsidP="004F35F2">
      <w:pPr>
        <w:pStyle w:val="ListParagraph"/>
        <w:numPr>
          <w:ilvl w:val="0"/>
          <w:numId w:val="3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Manage global financial risks</w:t>
      </w:r>
    </w:p>
    <w:p w14:paraId="49696FE7" w14:textId="77777777" w:rsidR="00D37A42" w:rsidRPr="008F4248" w:rsidRDefault="00AA3DF7"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Tesla is not in financial distress, but it is in a strategic transition phase, requiring careful financial restructuring to sustain long-term competitiveness. </w:t>
      </w:r>
    </w:p>
    <w:p w14:paraId="445D083D" w14:textId="168E2ADC" w:rsidR="00D37A42" w:rsidRPr="007E709B" w:rsidRDefault="007E709B" w:rsidP="007E709B">
      <w:pPr>
        <w:pStyle w:val="Heading1"/>
        <w:rPr>
          <w:sz w:val="32"/>
          <w:szCs w:val="32"/>
        </w:rPr>
      </w:pPr>
      <w:bookmarkStart w:id="19" w:name="_Toc228106309"/>
      <w:r>
        <w:rPr>
          <w:sz w:val="32"/>
          <w:szCs w:val="32"/>
        </w:rPr>
        <w:t>4</w:t>
      </w:r>
      <w:r w:rsidRPr="007E709B">
        <w:rPr>
          <w:sz w:val="32"/>
          <w:szCs w:val="32"/>
        </w:rPr>
        <w:t xml:space="preserve">. Investment Appraisal </w:t>
      </w:r>
      <w:r w:rsidR="00592403">
        <w:rPr>
          <w:sz w:val="32"/>
          <w:szCs w:val="32"/>
        </w:rPr>
        <w:t>a</w:t>
      </w:r>
      <w:r w:rsidRPr="007E709B">
        <w:rPr>
          <w:sz w:val="32"/>
          <w:szCs w:val="32"/>
        </w:rPr>
        <w:t>nd Capital Budgeting</w:t>
      </w:r>
      <w:bookmarkEnd w:id="19"/>
    </w:p>
    <w:p w14:paraId="072D7CA5" w14:textId="52129D75" w:rsidR="00D37A42" w:rsidRPr="007E709B" w:rsidRDefault="007E709B" w:rsidP="007E709B">
      <w:pPr>
        <w:pStyle w:val="Heading2"/>
        <w:rPr>
          <w:sz w:val="28"/>
          <w:szCs w:val="28"/>
        </w:rPr>
      </w:pPr>
      <w:bookmarkStart w:id="20" w:name="_Toc228106310"/>
      <w:r>
        <w:rPr>
          <w:sz w:val="28"/>
          <w:szCs w:val="28"/>
        </w:rPr>
        <w:t>4</w:t>
      </w:r>
      <w:r w:rsidR="00D37A42" w:rsidRPr="007E709B">
        <w:rPr>
          <w:sz w:val="28"/>
          <w:szCs w:val="28"/>
        </w:rPr>
        <w:t>.1 Introduction to Investment Decision</w:t>
      </w:r>
      <w:bookmarkEnd w:id="20"/>
    </w:p>
    <w:p w14:paraId="1918B843" w14:textId="5EFF39EA"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Capital budgeting is a fundamental process in financial management used to evaluate long-term investment opportunities and ensure optimal allocation of scarce financial resources. It plays a </w:t>
      </w:r>
      <w:r w:rsidRPr="008F4248">
        <w:rPr>
          <w:rFonts w:ascii="Times New Roman" w:hAnsi="Times New Roman" w:cs="Times New Roman"/>
          <w:sz w:val="24"/>
          <w:szCs w:val="24"/>
        </w:rPr>
        <w:lastRenderedPageBreak/>
        <w:t>crucial role in maximising shareholder wealth by identifying projects that generate positive returns while controlling financial risk (</w:t>
      </w:r>
      <w:r w:rsidR="002E449A" w:rsidRPr="008F4248">
        <w:rPr>
          <w:rFonts w:ascii="Times New Roman" w:hAnsi="Times New Roman" w:cs="Times New Roman"/>
          <w:color w:val="222222"/>
          <w:sz w:val="24"/>
          <w:szCs w:val="24"/>
          <w:shd w:val="clear" w:color="auto" w:fill="FFFFFF"/>
        </w:rPr>
        <w:t>Brealey et al., 2011</w:t>
      </w:r>
      <w:r w:rsidRPr="008F4248">
        <w:rPr>
          <w:rFonts w:ascii="Times New Roman" w:hAnsi="Times New Roman" w:cs="Times New Roman"/>
          <w:sz w:val="24"/>
          <w:szCs w:val="24"/>
        </w:rPr>
        <w:t>).</w:t>
      </w:r>
      <w:r w:rsidR="002E449A" w:rsidRPr="008F4248">
        <w:rPr>
          <w:rFonts w:ascii="Times New Roman" w:hAnsi="Times New Roman" w:cs="Times New Roman"/>
          <w:sz w:val="24"/>
          <w:szCs w:val="24"/>
        </w:rPr>
        <w:t xml:space="preserve"> </w:t>
      </w:r>
      <w:r w:rsidRPr="008F4248">
        <w:rPr>
          <w:rFonts w:ascii="Times New Roman" w:hAnsi="Times New Roman" w:cs="Times New Roman"/>
          <w:sz w:val="24"/>
          <w:szCs w:val="24"/>
        </w:rPr>
        <w:t>Investment appraisal techniques such as Payback Period (PBP), Accounting Rate of Return (ARR), Net Present Value (NPV), Profitability Index (PI), and Internal Rate of Return (IRR) are widely used to assess financial feasibility. Among these, NPV is considered the most theoretically robust method as it incorporates the time value of money and directly measures value creation (</w:t>
      </w:r>
      <w:r w:rsidR="002E449A" w:rsidRPr="008F4248">
        <w:rPr>
          <w:rFonts w:ascii="Times New Roman" w:hAnsi="Times New Roman" w:cs="Times New Roman"/>
          <w:sz w:val="24"/>
          <w:szCs w:val="24"/>
        </w:rPr>
        <w:t>Ross et al., 2022</w:t>
      </w:r>
      <w:r w:rsidRPr="008F4248">
        <w:rPr>
          <w:rFonts w:ascii="Times New Roman" w:hAnsi="Times New Roman" w:cs="Times New Roman"/>
          <w:sz w:val="24"/>
          <w:szCs w:val="24"/>
        </w:rPr>
        <w:t>).</w:t>
      </w:r>
      <w:r w:rsidR="002E449A" w:rsidRPr="008F4248">
        <w:rPr>
          <w:rFonts w:ascii="Times New Roman" w:hAnsi="Times New Roman" w:cs="Times New Roman"/>
          <w:sz w:val="24"/>
          <w:szCs w:val="24"/>
        </w:rPr>
        <w:t xml:space="preserve"> </w:t>
      </w:r>
      <w:r w:rsidRPr="008F4248">
        <w:rPr>
          <w:rFonts w:ascii="Times New Roman" w:hAnsi="Times New Roman" w:cs="Times New Roman"/>
          <w:sz w:val="24"/>
          <w:szCs w:val="24"/>
        </w:rPr>
        <w:t>However, relying solely on one method may lead to biased decisions. For instance, the payback period focuses on liquidity rather than profitability, while ARR ignores the time value of money. Therefore, a combination of techniques provides a more comprehensive evaluation (Arnold, 2022).</w:t>
      </w:r>
      <w:r w:rsidR="002E449A" w:rsidRPr="008F4248">
        <w:rPr>
          <w:rFonts w:ascii="Times New Roman" w:hAnsi="Times New Roman" w:cs="Times New Roman"/>
          <w:sz w:val="24"/>
          <w:szCs w:val="24"/>
        </w:rPr>
        <w:t xml:space="preserve"> </w:t>
      </w:r>
      <w:r w:rsidRPr="008F4248">
        <w:rPr>
          <w:rFonts w:ascii="Times New Roman" w:hAnsi="Times New Roman" w:cs="Times New Roman"/>
          <w:sz w:val="24"/>
          <w:szCs w:val="24"/>
        </w:rPr>
        <w:t>For Tesla, capital budgeting decisions are particularly critical due to:</w:t>
      </w:r>
    </w:p>
    <w:p w14:paraId="64619F68" w14:textId="77777777" w:rsidR="00D37A42" w:rsidRPr="008F4248" w:rsidRDefault="00D37A42" w:rsidP="004F35F2">
      <w:pPr>
        <w:pStyle w:val="ListParagraph"/>
        <w:numPr>
          <w:ilvl w:val="0"/>
          <w:numId w:val="4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Declining profit margins driven by price reductions and competition</w:t>
      </w:r>
    </w:p>
    <w:p w14:paraId="102D340C" w14:textId="77777777" w:rsidR="00D37A42" w:rsidRPr="008F4248" w:rsidRDefault="00D37A42" w:rsidP="004F35F2">
      <w:pPr>
        <w:pStyle w:val="ListParagraph"/>
        <w:numPr>
          <w:ilvl w:val="0"/>
          <w:numId w:val="4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Increasing capital expenditure for AI, robotics, and EV production</w:t>
      </w:r>
    </w:p>
    <w:p w14:paraId="768B8AA2" w14:textId="6F976564" w:rsidR="00D37A42" w:rsidRPr="008F4248" w:rsidRDefault="00D37A42" w:rsidP="004F35F2">
      <w:pPr>
        <w:pStyle w:val="ListParagraph"/>
        <w:numPr>
          <w:ilvl w:val="0"/>
          <w:numId w:val="4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Pressure on cash flow despite strong revenue growth</w:t>
      </w:r>
    </w:p>
    <w:p w14:paraId="0DE89798" w14:textId="2B165A57"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Recent financial reports show Tesla’s operating margins declining significantly post-2023 due to aggressive pricing strategies and cost pressures (Tesla Inc.). This highlights the importance of selecting projects that generate efficient and timely returns.</w:t>
      </w:r>
    </w:p>
    <w:p w14:paraId="0AC9D69A" w14:textId="48AEC6B8" w:rsidR="00D37A42" w:rsidRPr="007E709B" w:rsidRDefault="007E709B" w:rsidP="007E709B">
      <w:pPr>
        <w:pStyle w:val="Heading2"/>
        <w:rPr>
          <w:sz w:val="28"/>
          <w:szCs w:val="28"/>
        </w:rPr>
      </w:pPr>
      <w:bookmarkStart w:id="21" w:name="_Toc228106311"/>
      <w:r w:rsidRPr="007E709B">
        <w:rPr>
          <w:sz w:val="28"/>
          <w:szCs w:val="28"/>
        </w:rPr>
        <w:t>4</w:t>
      </w:r>
      <w:r w:rsidR="00D37A42" w:rsidRPr="007E709B">
        <w:rPr>
          <w:sz w:val="28"/>
          <w:szCs w:val="28"/>
        </w:rPr>
        <w:t>.2 Project Evaluation</w:t>
      </w:r>
      <w:bookmarkEnd w:id="21"/>
    </w:p>
    <w:p w14:paraId="6CFAA7F2" w14:textId="09825038"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Three mutually exclusive projects are evaluated using standard capital budgeting techniques. Each requires an initial investment of £50 million, with a discount rate of 10%.</w:t>
      </w:r>
    </w:p>
    <w:p w14:paraId="01893646" w14:textId="4C7C5ACA" w:rsidR="00D37A42" w:rsidRPr="007E709B" w:rsidRDefault="007E709B" w:rsidP="007E709B">
      <w:pPr>
        <w:pStyle w:val="Heading3"/>
        <w:rPr>
          <w:sz w:val="24"/>
          <w:szCs w:val="24"/>
        </w:rPr>
      </w:pPr>
      <w:bookmarkStart w:id="22" w:name="_Toc228106312"/>
      <w:r w:rsidRPr="007E709B">
        <w:rPr>
          <w:sz w:val="24"/>
          <w:szCs w:val="24"/>
        </w:rPr>
        <w:t>4</w:t>
      </w:r>
      <w:r w:rsidR="00D37A42" w:rsidRPr="007E709B">
        <w:rPr>
          <w:sz w:val="24"/>
          <w:szCs w:val="24"/>
        </w:rPr>
        <w:t>.2.1 Payback Period (PBP)</w:t>
      </w:r>
      <w:bookmarkEnd w:id="22"/>
    </w:p>
    <w:p w14:paraId="2D41A3E2" w14:textId="6914F0F0"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The payback period measures how quickly the initial investment is recovered and is particularly relevant for firms facing liquidity constraints (Arnold, 2022).</w:t>
      </w:r>
    </w:p>
    <w:p w14:paraId="4A38CEC2" w14:textId="77777777" w:rsidR="00D37A42" w:rsidRPr="008F4248" w:rsidRDefault="00D37A42" w:rsidP="004F35F2">
      <w:pPr>
        <w:pStyle w:val="ListParagraph"/>
        <w:numPr>
          <w:ilvl w:val="0"/>
          <w:numId w:val="4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A: 4.5 years</w:t>
      </w:r>
    </w:p>
    <w:p w14:paraId="0060CCC6" w14:textId="77777777" w:rsidR="00D37A42" w:rsidRPr="008F4248" w:rsidRDefault="00D37A42" w:rsidP="004F35F2">
      <w:pPr>
        <w:pStyle w:val="ListParagraph"/>
        <w:numPr>
          <w:ilvl w:val="0"/>
          <w:numId w:val="4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B: 4.55 years</w:t>
      </w:r>
    </w:p>
    <w:p w14:paraId="38120F28" w14:textId="1869FBC2" w:rsidR="00D37A42" w:rsidRPr="008F4248" w:rsidRDefault="00D37A42" w:rsidP="004F35F2">
      <w:pPr>
        <w:pStyle w:val="ListParagraph"/>
        <w:numPr>
          <w:ilvl w:val="0"/>
          <w:numId w:val="4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 3.6 years</w:t>
      </w:r>
    </w:p>
    <w:p w14:paraId="4894F512" w14:textId="41257DE1"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 has the shortest payback period.</w:t>
      </w:r>
    </w:p>
    <w:p w14:paraId="027AD017" w14:textId="101D2512" w:rsidR="00D37A42" w:rsidRPr="007E709B" w:rsidRDefault="00D37A42" w:rsidP="008F4248">
      <w:pPr>
        <w:spacing w:line="360" w:lineRule="auto"/>
        <w:jc w:val="both"/>
        <w:rPr>
          <w:rFonts w:ascii="Times New Roman" w:hAnsi="Times New Roman" w:cs="Times New Roman"/>
          <w:sz w:val="24"/>
          <w:szCs w:val="24"/>
        </w:rPr>
      </w:pPr>
      <w:r w:rsidRPr="007E709B">
        <w:rPr>
          <w:rFonts w:ascii="Times New Roman" w:hAnsi="Times New Roman" w:cs="Times New Roman"/>
          <w:sz w:val="24"/>
          <w:szCs w:val="24"/>
        </w:rPr>
        <w:t>Critical Evaluation</w:t>
      </w:r>
    </w:p>
    <w:p w14:paraId="24DB8EAA" w14:textId="7130690A"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Although Project C performs best, PBP ignores:</w:t>
      </w:r>
    </w:p>
    <w:p w14:paraId="15FCE21B" w14:textId="77777777" w:rsidR="00D37A42" w:rsidRPr="008F4248" w:rsidRDefault="00D37A42" w:rsidP="004F35F2">
      <w:pPr>
        <w:pStyle w:val="ListParagraph"/>
        <w:numPr>
          <w:ilvl w:val="0"/>
          <w:numId w:val="4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Cash flows after payback</w:t>
      </w:r>
    </w:p>
    <w:p w14:paraId="04838DF1" w14:textId="6EABD1C2" w:rsidR="00D37A42" w:rsidRPr="008F4248" w:rsidRDefault="00D37A42" w:rsidP="004F35F2">
      <w:pPr>
        <w:pStyle w:val="ListParagraph"/>
        <w:numPr>
          <w:ilvl w:val="0"/>
          <w:numId w:val="4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Time value of money</w:t>
      </w:r>
    </w:p>
    <w:p w14:paraId="45E8FF50" w14:textId="77777777"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Therefore, while useful for assessing liquidity risk, it should not be the sole decision criterion (Brealey et al., 2020).</w:t>
      </w:r>
    </w:p>
    <w:p w14:paraId="03B418BF" w14:textId="51295E15" w:rsidR="00D37A42" w:rsidRPr="007E709B" w:rsidRDefault="007E709B" w:rsidP="007E709B">
      <w:pPr>
        <w:pStyle w:val="Heading3"/>
        <w:rPr>
          <w:sz w:val="24"/>
          <w:szCs w:val="24"/>
        </w:rPr>
      </w:pPr>
      <w:bookmarkStart w:id="23" w:name="_Toc228106313"/>
      <w:r>
        <w:rPr>
          <w:sz w:val="24"/>
          <w:szCs w:val="24"/>
        </w:rPr>
        <w:t>4</w:t>
      </w:r>
      <w:r w:rsidR="00D37A42" w:rsidRPr="007E709B">
        <w:rPr>
          <w:sz w:val="24"/>
          <w:szCs w:val="24"/>
        </w:rPr>
        <w:t>.2.2 Accounting Rate of Return (ARR)</w:t>
      </w:r>
      <w:bookmarkEnd w:id="23"/>
    </w:p>
    <w:p w14:paraId="601A01DD" w14:textId="30D1D596"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ARR measures average accounting profit relative to investment.</w:t>
      </w:r>
    </w:p>
    <w:p w14:paraId="60C65CD7" w14:textId="77777777" w:rsidR="00D37A42" w:rsidRPr="008F4248" w:rsidRDefault="00D37A42" w:rsidP="004F35F2">
      <w:pPr>
        <w:pStyle w:val="ListParagraph"/>
        <w:numPr>
          <w:ilvl w:val="0"/>
          <w:numId w:val="4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A: 1.6%</w:t>
      </w:r>
    </w:p>
    <w:p w14:paraId="34E490FA" w14:textId="77777777" w:rsidR="00D37A42" w:rsidRPr="008F4248" w:rsidRDefault="00D37A42" w:rsidP="004F35F2">
      <w:pPr>
        <w:pStyle w:val="ListParagraph"/>
        <w:numPr>
          <w:ilvl w:val="0"/>
          <w:numId w:val="4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B: 2%</w:t>
      </w:r>
    </w:p>
    <w:p w14:paraId="29A22A1D" w14:textId="0D224B87" w:rsidR="00D37A42" w:rsidRPr="008F4248" w:rsidRDefault="00D37A42" w:rsidP="004F35F2">
      <w:pPr>
        <w:pStyle w:val="ListParagraph"/>
        <w:numPr>
          <w:ilvl w:val="0"/>
          <w:numId w:val="4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 6%</w:t>
      </w:r>
    </w:p>
    <w:p w14:paraId="38612EFE" w14:textId="229F9F25"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 is clearly superior.</w:t>
      </w:r>
    </w:p>
    <w:p w14:paraId="61C89C1C" w14:textId="0FA0DB39"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Critical Evaluation</w:t>
      </w:r>
    </w:p>
    <w:p w14:paraId="3F504145" w14:textId="2452D2C8"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ARR is easy to understand but has limitations:</w:t>
      </w:r>
    </w:p>
    <w:p w14:paraId="04E4DCE5" w14:textId="77777777" w:rsidR="00D37A42" w:rsidRPr="008F4248" w:rsidRDefault="00D37A42" w:rsidP="004F35F2">
      <w:pPr>
        <w:pStyle w:val="ListParagraph"/>
        <w:numPr>
          <w:ilvl w:val="0"/>
          <w:numId w:val="4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Based on accounting profit, not cash flow</w:t>
      </w:r>
    </w:p>
    <w:p w14:paraId="68993A29" w14:textId="4735192A" w:rsidR="00D37A42" w:rsidRPr="008F4248" w:rsidRDefault="00D37A42" w:rsidP="004F35F2">
      <w:pPr>
        <w:pStyle w:val="ListParagraph"/>
        <w:numPr>
          <w:ilvl w:val="0"/>
          <w:numId w:val="4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Ignores time value of money</w:t>
      </w:r>
    </w:p>
    <w:p w14:paraId="4CA102E7" w14:textId="3F950133"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Despite this, it provides insight into profitability trends, which is relevant given Tesla’s declining margins.</w:t>
      </w:r>
    </w:p>
    <w:p w14:paraId="0F35C2CC" w14:textId="34059126" w:rsidR="00D37A42" w:rsidRPr="007E709B" w:rsidRDefault="007E709B" w:rsidP="007E709B">
      <w:pPr>
        <w:pStyle w:val="Heading3"/>
        <w:rPr>
          <w:sz w:val="24"/>
          <w:szCs w:val="24"/>
        </w:rPr>
      </w:pPr>
      <w:bookmarkStart w:id="24" w:name="_Toc228106314"/>
      <w:r w:rsidRPr="007E709B">
        <w:rPr>
          <w:sz w:val="24"/>
          <w:szCs w:val="24"/>
        </w:rPr>
        <w:t>4</w:t>
      </w:r>
      <w:r w:rsidR="00D37A42" w:rsidRPr="007E709B">
        <w:rPr>
          <w:sz w:val="24"/>
          <w:szCs w:val="24"/>
        </w:rPr>
        <w:t>.2.3 Net Present Value (NPV)</w:t>
      </w:r>
      <w:bookmarkEnd w:id="24"/>
    </w:p>
    <w:p w14:paraId="45E78AE5" w14:textId="126EC759"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NPV evaluates the present value of future cash flows and is widely regarded as the most reliable investment appraisal method (Ross et al., 2022).</w:t>
      </w:r>
    </w:p>
    <w:p w14:paraId="5EC85E0A" w14:textId="77777777" w:rsidR="00D37A42" w:rsidRPr="008F4248" w:rsidRDefault="00D37A42" w:rsidP="004F35F2">
      <w:pPr>
        <w:pStyle w:val="ListParagraph"/>
        <w:numPr>
          <w:ilvl w:val="0"/>
          <w:numId w:val="4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A: -£8.69m</w:t>
      </w:r>
    </w:p>
    <w:p w14:paraId="47CC8039" w14:textId="77777777" w:rsidR="00D37A42" w:rsidRPr="008F4248" w:rsidRDefault="00D37A42" w:rsidP="004F35F2">
      <w:pPr>
        <w:pStyle w:val="ListParagraph"/>
        <w:numPr>
          <w:ilvl w:val="0"/>
          <w:numId w:val="4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B: -£8.31m</w:t>
      </w:r>
    </w:p>
    <w:p w14:paraId="76881AC8" w14:textId="25B08637" w:rsidR="00D37A42" w:rsidRPr="008F4248" w:rsidRDefault="00D37A42" w:rsidP="004F35F2">
      <w:pPr>
        <w:pStyle w:val="ListParagraph"/>
        <w:numPr>
          <w:ilvl w:val="0"/>
          <w:numId w:val="4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 -£1.98m</w:t>
      </w:r>
    </w:p>
    <w:p w14:paraId="5E7862FD" w14:textId="73714CE1"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All projects have negative NPV, meaning none meet the required return of 10%.</w:t>
      </w:r>
    </w:p>
    <w:p w14:paraId="27972064" w14:textId="7632B369"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Critical Evaluation</w:t>
      </w:r>
    </w:p>
    <w:p w14:paraId="1A28B03E" w14:textId="6CDFE91C"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Negative NPV suggests that:</w:t>
      </w:r>
    </w:p>
    <w:p w14:paraId="25FDED67" w14:textId="77777777" w:rsidR="00D37A42" w:rsidRPr="008F4248" w:rsidRDefault="00D37A42" w:rsidP="004F35F2">
      <w:pPr>
        <w:pStyle w:val="ListParagraph"/>
        <w:numPr>
          <w:ilvl w:val="0"/>
          <w:numId w:val="4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Projects do not create shareholder value at current discount rate</w:t>
      </w:r>
    </w:p>
    <w:p w14:paraId="42B71BC0" w14:textId="6F63FE19" w:rsidR="00D37A42" w:rsidRPr="008F4248" w:rsidRDefault="00D37A42" w:rsidP="004F35F2">
      <w:pPr>
        <w:pStyle w:val="ListParagraph"/>
        <w:numPr>
          <w:ilvl w:val="0"/>
          <w:numId w:val="4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Investment may not be financially justified</w:t>
      </w:r>
    </w:p>
    <w:p w14:paraId="5A5EE1BF" w14:textId="685E6EBF"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However, Project C is closest to breakeven, indicating:</w:t>
      </w:r>
    </w:p>
    <w:p w14:paraId="050733C2" w14:textId="77777777" w:rsidR="00D37A42" w:rsidRPr="008F4248" w:rsidRDefault="00D37A42" w:rsidP="004F35F2">
      <w:pPr>
        <w:pStyle w:val="ListParagraph"/>
        <w:numPr>
          <w:ilvl w:val="0"/>
          <w:numId w:val="4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Lower risk</w:t>
      </w:r>
    </w:p>
    <w:p w14:paraId="7BB94C05" w14:textId="45846FD5" w:rsidR="00D37A42" w:rsidRPr="008F4248" w:rsidRDefault="00D37A42" w:rsidP="004F35F2">
      <w:pPr>
        <w:pStyle w:val="ListParagraph"/>
        <w:numPr>
          <w:ilvl w:val="0"/>
          <w:numId w:val="4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Higher potential if assumptions improve</w:t>
      </w:r>
    </w:p>
    <w:p w14:paraId="0EA6440C" w14:textId="77777777"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This is important for Tesla, where strategic investments (e.g., AI) may justify slightly lower returns in the short term.</w:t>
      </w:r>
    </w:p>
    <w:p w14:paraId="2F2183B6" w14:textId="4779A97A" w:rsidR="00D37A42" w:rsidRPr="007E709B" w:rsidRDefault="007E709B" w:rsidP="007E709B">
      <w:pPr>
        <w:pStyle w:val="Heading3"/>
        <w:rPr>
          <w:sz w:val="24"/>
          <w:szCs w:val="24"/>
        </w:rPr>
      </w:pPr>
      <w:bookmarkStart w:id="25" w:name="_Toc228106315"/>
      <w:r w:rsidRPr="007E709B">
        <w:rPr>
          <w:sz w:val="24"/>
          <w:szCs w:val="24"/>
        </w:rPr>
        <w:t>4</w:t>
      </w:r>
      <w:r w:rsidR="00D37A42" w:rsidRPr="007E709B">
        <w:rPr>
          <w:sz w:val="24"/>
          <w:szCs w:val="24"/>
        </w:rPr>
        <w:t>.2.4 Profitability Index (PI)</w:t>
      </w:r>
      <w:bookmarkEnd w:id="25"/>
    </w:p>
    <w:p w14:paraId="68C78DC9" w14:textId="0B5EE65C"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PI measures value created per unit of investment.</w:t>
      </w:r>
    </w:p>
    <w:p w14:paraId="4A975440" w14:textId="77777777" w:rsidR="00D37A42" w:rsidRPr="008F4248" w:rsidRDefault="00D37A42" w:rsidP="004F35F2">
      <w:pPr>
        <w:pStyle w:val="ListParagraph"/>
        <w:numPr>
          <w:ilvl w:val="0"/>
          <w:numId w:val="4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A: 0.83</w:t>
      </w:r>
    </w:p>
    <w:p w14:paraId="2A87FB3C" w14:textId="77777777" w:rsidR="00D37A42" w:rsidRPr="008F4248" w:rsidRDefault="00D37A42" w:rsidP="004F35F2">
      <w:pPr>
        <w:pStyle w:val="ListParagraph"/>
        <w:numPr>
          <w:ilvl w:val="0"/>
          <w:numId w:val="4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B: 0.83</w:t>
      </w:r>
    </w:p>
    <w:p w14:paraId="3DBDFA6C" w14:textId="77777777" w:rsidR="00D37A42" w:rsidRPr="008F4248" w:rsidRDefault="00D37A42" w:rsidP="004F35F2">
      <w:pPr>
        <w:pStyle w:val="ListParagraph"/>
        <w:numPr>
          <w:ilvl w:val="0"/>
          <w:numId w:val="4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 0.96</w:t>
      </w:r>
    </w:p>
    <w:p w14:paraId="06B5ADAE" w14:textId="05343C70"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 again performs best.</w:t>
      </w:r>
    </w:p>
    <w:p w14:paraId="5FD53428" w14:textId="4CBD0EC1"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Interpretation</w:t>
      </w:r>
    </w:p>
    <w:p w14:paraId="113EDBFE" w14:textId="77777777"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 PI below 1 confirms that projects are not value-creating. However, Project C’s PI close to 1 indicates near feasibility.</w:t>
      </w:r>
    </w:p>
    <w:p w14:paraId="55AA5706" w14:textId="4107298A" w:rsidR="00D37A42" w:rsidRPr="007E709B" w:rsidRDefault="007E709B" w:rsidP="007E709B">
      <w:pPr>
        <w:pStyle w:val="Heading3"/>
        <w:rPr>
          <w:sz w:val="24"/>
          <w:szCs w:val="24"/>
        </w:rPr>
      </w:pPr>
      <w:bookmarkStart w:id="26" w:name="_Toc228106316"/>
      <w:r>
        <w:rPr>
          <w:sz w:val="24"/>
          <w:szCs w:val="24"/>
        </w:rPr>
        <w:t>4</w:t>
      </w:r>
      <w:r w:rsidR="00D37A42" w:rsidRPr="007E709B">
        <w:rPr>
          <w:sz w:val="24"/>
          <w:szCs w:val="24"/>
        </w:rPr>
        <w:t>.2.5 Internal Rate of Return (IRR)</w:t>
      </w:r>
      <w:bookmarkEnd w:id="26"/>
    </w:p>
    <w:p w14:paraId="66EA6778" w14:textId="1DBE0BDD"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IRR represents the discount rate at which NPV = 0.</w:t>
      </w:r>
    </w:p>
    <w:p w14:paraId="49905EB5" w14:textId="77777777" w:rsidR="00D37A42" w:rsidRPr="008F4248" w:rsidRDefault="00D37A42" w:rsidP="004F35F2">
      <w:pPr>
        <w:pStyle w:val="ListParagraph"/>
        <w:numPr>
          <w:ilvl w:val="0"/>
          <w:numId w:val="4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A: ~6–7%</w:t>
      </w:r>
    </w:p>
    <w:p w14:paraId="428E16C0" w14:textId="77777777" w:rsidR="00D37A42" w:rsidRPr="008F4248" w:rsidRDefault="00D37A42" w:rsidP="004F35F2">
      <w:pPr>
        <w:pStyle w:val="ListParagraph"/>
        <w:numPr>
          <w:ilvl w:val="0"/>
          <w:numId w:val="4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B: ~7%</w:t>
      </w:r>
    </w:p>
    <w:p w14:paraId="3AB1C41F" w14:textId="4E6F1AFC" w:rsidR="00D37A42" w:rsidRPr="008F4248" w:rsidRDefault="00D37A42" w:rsidP="004F35F2">
      <w:pPr>
        <w:pStyle w:val="ListParagraph"/>
        <w:numPr>
          <w:ilvl w:val="0"/>
          <w:numId w:val="4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 ~9–10%</w:t>
      </w:r>
    </w:p>
    <w:p w14:paraId="15EEFC41" w14:textId="215ADD64"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Only Project C approaches the required 10%.</w:t>
      </w:r>
    </w:p>
    <w:p w14:paraId="73C70BDC" w14:textId="33B02CBB"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Critical Evaluation</w:t>
      </w:r>
    </w:p>
    <w:p w14:paraId="5D1AF706" w14:textId="27B01C00"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IRR is useful but can be misleading:</w:t>
      </w:r>
    </w:p>
    <w:p w14:paraId="6E838189" w14:textId="77777777" w:rsidR="00D37A42" w:rsidRPr="008F4248" w:rsidRDefault="00D37A42" w:rsidP="004F35F2">
      <w:pPr>
        <w:pStyle w:val="ListParagraph"/>
        <w:numPr>
          <w:ilvl w:val="0"/>
          <w:numId w:val="5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Assumes reinvestment at IRR</w:t>
      </w:r>
    </w:p>
    <w:p w14:paraId="088BD15E" w14:textId="73335F8F" w:rsidR="00D37A42" w:rsidRPr="008F4248" w:rsidRDefault="00D37A42" w:rsidP="004F35F2">
      <w:pPr>
        <w:pStyle w:val="ListParagraph"/>
        <w:numPr>
          <w:ilvl w:val="0"/>
          <w:numId w:val="5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May conflict with NPV</w:t>
      </w:r>
    </w:p>
    <w:p w14:paraId="76EBAC35" w14:textId="77777777"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Despite this, Project C’s IRR supports its relative attractiveness.</w:t>
      </w:r>
    </w:p>
    <w:p w14:paraId="3BDF91C6" w14:textId="7394B9AF" w:rsidR="00D37A42" w:rsidRPr="007E709B" w:rsidRDefault="007E709B" w:rsidP="007E709B">
      <w:pPr>
        <w:pStyle w:val="Heading2"/>
        <w:rPr>
          <w:sz w:val="28"/>
          <w:szCs w:val="28"/>
        </w:rPr>
      </w:pPr>
      <w:bookmarkStart w:id="27" w:name="_Toc228106317"/>
      <w:r>
        <w:rPr>
          <w:sz w:val="28"/>
          <w:szCs w:val="28"/>
        </w:rPr>
        <w:t>4</w:t>
      </w:r>
      <w:r w:rsidR="00D37A42" w:rsidRPr="007E709B">
        <w:rPr>
          <w:sz w:val="28"/>
          <w:szCs w:val="28"/>
        </w:rPr>
        <w:t>.3 Comparison of Projects</w:t>
      </w:r>
      <w:bookmarkEnd w:id="27"/>
    </w:p>
    <w:tbl>
      <w:tblPr>
        <w:tblStyle w:val="TableGrid"/>
        <w:tblW w:w="0" w:type="auto"/>
        <w:tblLook w:val="04A0" w:firstRow="1" w:lastRow="0" w:firstColumn="1" w:lastColumn="0" w:noHBand="0" w:noVBand="1"/>
      </w:tblPr>
      <w:tblGrid>
        <w:gridCol w:w="2337"/>
        <w:gridCol w:w="2337"/>
        <w:gridCol w:w="2338"/>
        <w:gridCol w:w="2338"/>
      </w:tblGrid>
      <w:tr w:rsidR="00266FC0" w:rsidRPr="008F4248" w14:paraId="3BF39B3E" w14:textId="77777777" w:rsidTr="00266FC0">
        <w:tc>
          <w:tcPr>
            <w:tcW w:w="2337" w:type="dxa"/>
          </w:tcPr>
          <w:p w14:paraId="55532BA7"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Criteria</w:t>
            </w:r>
          </w:p>
        </w:tc>
        <w:tc>
          <w:tcPr>
            <w:tcW w:w="2337" w:type="dxa"/>
          </w:tcPr>
          <w:p w14:paraId="72BE8054"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A</w:t>
            </w:r>
          </w:p>
        </w:tc>
        <w:tc>
          <w:tcPr>
            <w:tcW w:w="2338" w:type="dxa"/>
          </w:tcPr>
          <w:p w14:paraId="114E0E7B"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B</w:t>
            </w:r>
          </w:p>
        </w:tc>
        <w:tc>
          <w:tcPr>
            <w:tcW w:w="2338" w:type="dxa"/>
          </w:tcPr>
          <w:p w14:paraId="7A8E30D0"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w:t>
            </w:r>
          </w:p>
        </w:tc>
      </w:tr>
      <w:tr w:rsidR="00266FC0" w:rsidRPr="008F4248" w14:paraId="6CB3451C" w14:textId="77777777" w:rsidTr="00266FC0">
        <w:tc>
          <w:tcPr>
            <w:tcW w:w="2337" w:type="dxa"/>
          </w:tcPr>
          <w:p w14:paraId="0B9760C9"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PBP</w:t>
            </w:r>
          </w:p>
        </w:tc>
        <w:tc>
          <w:tcPr>
            <w:tcW w:w="2337" w:type="dxa"/>
          </w:tcPr>
          <w:p w14:paraId="4968A888"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4.5 yrs</w:t>
            </w:r>
          </w:p>
        </w:tc>
        <w:tc>
          <w:tcPr>
            <w:tcW w:w="2338" w:type="dxa"/>
          </w:tcPr>
          <w:p w14:paraId="4F163502"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4.55 yrs</w:t>
            </w:r>
          </w:p>
        </w:tc>
        <w:tc>
          <w:tcPr>
            <w:tcW w:w="2338" w:type="dxa"/>
          </w:tcPr>
          <w:p w14:paraId="21FC7222"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3.6 yrs</w:t>
            </w:r>
          </w:p>
        </w:tc>
      </w:tr>
      <w:tr w:rsidR="00266FC0" w:rsidRPr="008F4248" w14:paraId="3CFA6B97" w14:textId="77777777" w:rsidTr="00266FC0">
        <w:tc>
          <w:tcPr>
            <w:tcW w:w="2337" w:type="dxa"/>
          </w:tcPr>
          <w:p w14:paraId="346F3D4E"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ARR</w:t>
            </w:r>
          </w:p>
        </w:tc>
        <w:tc>
          <w:tcPr>
            <w:tcW w:w="2337" w:type="dxa"/>
          </w:tcPr>
          <w:p w14:paraId="2A8FB62C"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1.6%</w:t>
            </w:r>
          </w:p>
        </w:tc>
        <w:tc>
          <w:tcPr>
            <w:tcW w:w="2338" w:type="dxa"/>
          </w:tcPr>
          <w:p w14:paraId="664C91D8"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2%</w:t>
            </w:r>
          </w:p>
        </w:tc>
        <w:tc>
          <w:tcPr>
            <w:tcW w:w="2338" w:type="dxa"/>
          </w:tcPr>
          <w:p w14:paraId="2283FFD6"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6%</w:t>
            </w:r>
          </w:p>
        </w:tc>
      </w:tr>
      <w:tr w:rsidR="00266FC0" w:rsidRPr="008F4248" w14:paraId="5A4E276B" w14:textId="77777777" w:rsidTr="00266FC0">
        <w:tc>
          <w:tcPr>
            <w:tcW w:w="2337" w:type="dxa"/>
          </w:tcPr>
          <w:p w14:paraId="6DFE5832"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NPV</w:t>
            </w:r>
          </w:p>
        </w:tc>
        <w:tc>
          <w:tcPr>
            <w:tcW w:w="2337" w:type="dxa"/>
          </w:tcPr>
          <w:p w14:paraId="518A55EC"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-8.69</w:t>
            </w:r>
          </w:p>
        </w:tc>
        <w:tc>
          <w:tcPr>
            <w:tcW w:w="2338" w:type="dxa"/>
          </w:tcPr>
          <w:p w14:paraId="430F1DF8"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-8.31</w:t>
            </w:r>
          </w:p>
        </w:tc>
        <w:tc>
          <w:tcPr>
            <w:tcW w:w="2338" w:type="dxa"/>
          </w:tcPr>
          <w:p w14:paraId="35FD87C3"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-1.98</w:t>
            </w:r>
          </w:p>
        </w:tc>
      </w:tr>
      <w:tr w:rsidR="00266FC0" w:rsidRPr="008F4248" w14:paraId="7720892B" w14:textId="77777777" w:rsidTr="00266FC0">
        <w:tc>
          <w:tcPr>
            <w:tcW w:w="2337" w:type="dxa"/>
          </w:tcPr>
          <w:p w14:paraId="034B1D13"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PI</w:t>
            </w:r>
          </w:p>
        </w:tc>
        <w:tc>
          <w:tcPr>
            <w:tcW w:w="2337" w:type="dxa"/>
          </w:tcPr>
          <w:p w14:paraId="73A71646"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0.83</w:t>
            </w:r>
          </w:p>
        </w:tc>
        <w:tc>
          <w:tcPr>
            <w:tcW w:w="2338" w:type="dxa"/>
          </w:tcPr>
          <w:p w14:paraId="6C0E7A5C"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0.83</w:t>
            </w:r>
          </w:p>
        </w:tc>
        <w:tc>
          <w:tcPr>
            <w:tcW w:w="2338" w:type="dxa"/>
          </w:tcPr>
          <w:p w14:paraId="027900CE"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0.96</w:t>
            </w:r>
          </w:p>
        </w:tc>
      </w:tr>
      <w:tr w:rsidR="00266FC0" w:rsidRPr="008F4248" w14:paraId="4B6AC4EF" w14:textId="77777777" w:rsidTr="00266FC0">
        <w:tc>
          <w:tcPr>
            <w:tcW w:w="2337" w:type="dxa"/>
          </w:tcPr>
          <w:p w14:paraId="363B2884"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IRR</w:t>
            </w:r>
          </w:p>
        </w:tc>
        <w:tc>
          <w:tcPr>
            <w:tcW w:w="2337" w:type="dxa"/>
          </w:tcPr>
          <w:p w14:paraId="168E1E1B"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~6%</w:t>
            </w:r>
          </w:p>
        </w:tc>
        <w:tc>
          <w:tcPr>
            <w:tcW w:w="2338" w:type="dxa"/>
          </w:tcPr>
          <w:p w14:paraId="6525B697"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~7%</w:t>
            </w:r>
          </w:p>
        </w:tc>
        <w:tc>
          <w:tcPr>
            <w:tcW w:w="2338" w:type="dxa"/>
          </w:tcPr>
          <w:p w14:paraId="72DAB550" w14:textId="77777777" w:rsidR="00266FC0" w:rsidRPr="008F4248" w:rsidRDefault="00266FC0"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~10%</w:t>
            </w:r>
          </w:p>
        </w:tc>
      </w:tr>
    </w:tbl>
    <w:p w14:paraId="0026A469" w14:textId="59FFCB78"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 consistently outperforms across all metrics.</w:t>
      </w:r>
    </w:p>
    <w:p w14:paraId="2D834644" w14:textId="1D458A77" w:rsidR="00D37A42" w:rsidRPr="007E709B" w:rsidRDefault="007E709B" w:rsidP="007E709B">
      <w:pPr>
        <w:pStyle w:val="Heading2"/>
        <w:rPr>
          <w:sz w:val="28"/>
          <w:szCs w:val="28"/>
        </w:rPr>
      </w:pPr>
      <w:bookmarkStart w:id="28" w:name="_Toc228106318"/>
      <w:r>
        <w:rPr>
          <w:sz w:val="28"/>
          <w:szCs w:val="28"/>
        </w:rPr>
        <w:t>4</w:t>
      </w:r>
      <w:r w:rsidR="00D37A42" w:rsidRPr="007E709B">
        <w:rPr>
          <w:sz w:val="28"/>
          <w:szCs w:val="28"/>
        </w:rPr>
        <w:t>.4 Recommended Project</w:t>
      </w:r>
      <w:bookmarkEnd w:id="28"/>
    </w:p>
    <w:p w14:paraId="202B6669" w14:textId="0675B300" w:rsidR="00D37A42" w:rsidRPr="008F4248" w:rsidRDefault="00D37A42"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Recommendation: Project C</w:t>
      </w:r>
    </w:p>
    <w:p w14:paraId="1819B779" w14:textId="7551F3B5" w:rsidR="00D37A42" w:rsidRPr="008F4248" w:rsidRDefault="00D37A42"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Financial Justification</w:t>
      </w:r>
    </w:p>
    <w:p w14:paraId="7C260DE1" w14:textId="4EEA25B7"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Tesla’s financial position shows:</w:t>
      </w:r>
    </w:p>
    <w:p w14:paraId="5AEF6254" w14:textId="77777777" w:rsidR="00D37A42" w:rsidRPr="008F4248" w:rsidRDefault="00D37A42" w:rsidP="004F35F2">
      <w:pPr>
        <w:pStyle w:val="ListParagraph"/>
        <w:numPr>
          <w:ilvl w:val="0"/>
          <w:numId w:val="5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Declining profitability</w:t>
      </w:r>
    </w:p>
    <w:p w14:paraId="2C9C1871" w14:textId="77777777" w:rsidR="00D37A42" w:rsidRPr="008F4248" w:rsidRDefault="00D37A42" w:rsidP="004F35F2">
      <w:pPr>
        <w:pStyle w:val="ListParagraph"/>
        <w:numPr>
          <w:ilvl w:val="0"/>
          <w:numId w:val="5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Increased capital expenditure</w:t>
      </w:r>
    </w:p>
    <w:p w14:paraId="0C98A0C5" w14:textId="380A8257" w:rsidR="00D37A42" w:rsidRPr="008F4248" w:rsidRDefault="00D37A42" w:rsidP="004F35F2">
      <w:pPr>
        <w:pStyle w:val="ListParagraph"/>
        <w:numPr>
          <w:ilvl w:val="0"/>
          <w:numId w:val="51"/>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Pressure on operating margins</w:t>
      </w:r>
    </w:p>
    <w:p w14:paraId="32E4693C" w14:textId="74130EAD"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w:t>
      </w:r>
    </w:p>
    <w:p w14:paraId="7FA5EB8C" w14:textId="77777777" w:rsidR="00D37A42" w:rsidRPr="008F4248" w:rsidRDefault="00D37A42" w:rsidP="004F35F2">
      <w:pPr>
        <w:pStyle w:val="ListParagraph"/>
        <w:numPr>
          <w:ilvl w:val="0"/>
          <w:numId w:val="5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Provides highest return</w:t>
      </w:r>
    </w:p>
    <w:p w14:paraId="1B4A6860" w14:textId="77777777" w:rsidR="00D37A42" w:rsidRPr="008F4248" w:rsidRDefault="00D37A42" w:rsidP="004F35F2">
      <w:pPr>
        <w:pStyle w:val="ListParagraph"/>
        <w:numPr>
          <w:ilvl w:val="0"/>
          <w:numId w:val="5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Has fastest payback</w:t>
      </w:r>
    </w:p>
    <w:p w14:paraId="7031D44B" w14:textId="3C52E767" w:rsidR="00D37A42" w:rsidRPr="008F4248" w:rsidRDefault="00D37A42" w:rsidP="004F35F2">
      <w:pPr>
        <w:pStyle w:val="ListParagraph"/>
        <w:numPr>
          <w:ilvl w:val="0"/>
          <w:numId w:val="52"/>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Minimises liquidity risk</w:t>
      </w:r>
    </w:p>
    <w:p w14:paraId="14DD95B9" w14:textId="01C62F4E"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Given Tesla’s declining margins (Tesla, 2024), projects with faster recovery and stronger returns are preferable.</w:t>
      </w:r>
    </w:p>
    <w:p w14:paraId="1D212104" w14:textId="00694BB7" w:rsidR="00D37A42" w:rsidRPr="008F4248" w:rsidRDefault="00D37A42"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lastRenderedPageBreak/>
        <w:t>Risk Analysis</w:t>
      </w:r>
    </w:p>
    <w:p w14:paraId="5D6A8D16" w14:textId="18974576"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 reduces risk because:</w:t>
      </w:r>
    </w:p>
    <w:p w14:paraId="5BB36BCB" w14:textId="77777777" w:rsidR="00D37A42" w:rsidRPr="008F4248" w:rsidRDefault="00D37A42" w:rsidP="004F35F2">
      <w:pPr>
        <w:pStyle w:val="ListParagraph"/>
        <w:numPr>
          <w:ilvl w:val="0"/>
          <w:numId w:val="5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Early recovery of investment</w:t>
      </w:r>
    </w:p>
    <w:p w14:paraId="322DD233" w14:textId="2DB0FB71" w:rsidR="00D37A42" w:rsidRPr="008F4248" w:rsidRDefault="00D37A42" w:rsidP="004F35F2">
      <w:pPr>
        <w:pStyle w:val="ListParagraph"/>
        <w:numPr>
          <w:ilvl w:val="0"/>
          <w:numId w:val="53"/>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Strong mid-period cash flows</w:t>
      </w:r>
    </w:p>
    <w:p w14:paraId="60BDF86D" w14:textId="2677787C"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This is crucial in an industry characterised by:</w:t>
      </w:r>
    </w:p>
    <w:p w14:paraId="72F06302" w14:textId="77777777" w:rsidR="00D37A42" w:rsidRPr="008F4248" w:rsidRDefault="00D37A42" w:rsidP="004F35F2">
      <w:pPr>
        <w:pStyle w:val="ListParagraph"/>
        <w:numPr>
          <w:ilvl w:val="0"/>
          <w:numId w:val="5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Technological uncertainty</w:t>
      </w:r>
    </w:p>
    <w:p w14:paraId="0B1335C5" w14:textId="77777777" w:rsidR="00D37A42" w:rsidRPr="008F4248" w:rsidRDefault="00D37A42" w:rsidP="004F35F2">
      <w:pPr>
        <w:pStyle w:val="ListParagraph"/>
        <w:numPr>
          <w:ilvl w:val="0"/>
          <w:numId w:val="5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High competition (IEA, 2024 EV Outlook)</w:t>
      </w:r>
    </w:p>
    <w:p w14:paraId="7B028BB9" w14:textId="77777777" w:rsidR="00D37A42" w:rsidRPr="008F4248" w:rsidRDefault="00D37A42" w:rsidP="004F35F2">
      <w:pPr>
        <w:pStyle w:val="ListParagraph"/>
        <w:numPr>
          <w:ilvl w:val="0"/>
          <w:numId w:val="54"/>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Volatile demand</w:t>
      </w:r>
    </w:p>
    <w:p w14:paraId="2CFF1CDC" w14:textId="2819C411" w:rsidR="00D37A42" w:rsidRPr="008F4248" w:rsidRDefault="00D37A42"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Strategic Alignment</w:t>
      </w:r>
    </w:p>
    <w:p w14:paraId="5427BD8B" w14:textId="263BAF68"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Tesla’s strategy focuses on:</w:t>
      </w:r>
    </w:p>
    <w:p w14:paraId="139F5384" w14:textId="77777777" w:rsidR="00D37A42" w:rsidRPr="008F4248" w:rsidRDefault="00D37A42" w:rsidP="004F35F2">
      <w:pPr>
        <w:pStyle w:val="ListParagraph"/>
        <w:numPr>
          <w:ilvl w:val="0"/>
          <w:numId w:val="5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Innovation (AI, autonomous driving)</w:t>
      </w:r>
    </w:p>
    <w:p w14:paraId="408D84F9" w14:textId="29D449FA" w:rsidR="00D37A42" w:rsidRPr="008F4248" w:rsidRDefault="00D37A42" w:rsidP="004F35F2">
      <w:pPr>
        <w:pStyle w:val="ListParagraph"/>
        <w:numPr>
          <w:ilvl w:val="0"/>
          <w:numId w:val="55"/>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Long-term growth</w:t>
      </w:r>
    </w:p>
    <w:p w14:paraId="15434E18" w14:textId="3C692072"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 supports:</w:t>
      </w:r>
    </w:p>
    <w:p w14:paraId="5217A364" w14:textId="77777777" w:rsidR="00D37A42" w:rsidRPr="008F4248" w:rsidRDefault="00D37A42" w:rsidP="004F35F2">
      <w:pPr>
        <w:pStyle w:val="ListParagraph"/>
        <w:numPr>
          <w:ilvl w:val="0"/>
          <w:numId w:val="5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Strong cash flow generation</w:t>
      </w:r>
    </w:p>
    <w:p w14:paraId="6FE427C4" w14:textId="77777777" w:rsidR="00D37A42" w:rsidRPr="008F4248" w:rsidRDefault="00D37A42" w:rsidP="004F35F2">
      <w:pPr>
        <w:pStyle w:val="ListParagraph"/>
        <w:numPr>
          <w:ilvl w:val="0"/>
          <w:numId w:val="56"/>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Reinvestment capacity</w:t>
      </w:r>
    </w:p>
    <w:p w14:paraId="235579E6" w14:textId="490CAF58" w:rsidR="00D37A42" w:rsidRPr="007E709B" w:rsidRDefault="007E709B" w:rsidP="007E709B">
      <w:pPr>
        <w:pStyle w:val="Heading2"/>
        <w:rPr>
          <w:sz w:val="28"/>
          <w:szCs w:val="28"/>
        </w:rPr>
      </w:pPr>
      <w:bookmarkStart w:id="29" w:name="_Toc228106319"/>
      <w:r w:rsidRPr="007E709B">
        <w:rPr>
          <w:sz w:val="28"/>
          <w:szCs w:val="28"/>
        </w:rPr>
        <w:t>4</w:t>
      </w:r>
      <w:r w:rsidR="00D37A42" w:rsidRPr="007E709B">
        <w:rPr>
          <w:sz w:val="28"/>
          <w:szCs w:val="28"/>
        </w:rPr>
        <w:t>.5 Capital Rationing Decision</w:t>
      </w:r>
      <w:bookmarkEnd w:id="29"/>
    </w:p>
    <w:p w14:paraId="1D006DB1" w14:textId="55D8393D"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With a budget of £100 million, Tesla can select two projects.</w:t>
      </w:r>
    </w:p>
    <w:p w14:paraId="347CD1CE" w14:textId="77777777"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Combinations:</w:t>
      </w:r>
    </w:p>
    <w:p w14:paraId="33898FA6" w14:textId="77777777" w:rsidR="00D37A42" w:rsidRPr="008F4248" w:rsidRDefault="00D37A42" w:rsidP="004F35F2">
      <w:pPr>
        <w:pStyle w:val="ListParagraph"/>
        <w:numPr>
          <w:ilvl w:val="0"/>
          <w:numId w:val="5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 + B = -17.0</w:t>
      </w:r>
    </w:p>
    <w:p w14:paraId="3F58958B" w14:textId="77777777" w:rsidR="00D37A42" w:rsidRPr="008F4248" w:rsidRDefault="00D37A42" w:rsidP="004F35F2">
      <w:pPr>
        <w:pStyle w:val="ListParagraph"/>
        <w:numPr>
          <w:ilvl w:val="0"/>
          <w:numId w:val="5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 + C = -10.67</w:t>
      </w:r>
    </w:p>
    <w:p w14:paraId="446DBEDA" w14:textId="77777777" w:rsidR="00D37A42" w:rsidRPr="008F4248" w:rsidRDefault="00D37A42" w:rsidP="004F35F2">
      <w:pPr>
        <w:pStyle w:val="ListParagraph"/>
        <w:numPr>
          <w:ilvl w:val="0"/>
          <w:numId w:val="57"/>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B + C = -10.29 (best)</w:t>
      </w:r>
    </w:p>
    <w:p w14:paraId="413F845E" w14:textId="485DD8BA" w:rsidR="00D37A42" w:rsidRPr="008F4248" w:rsidRDefault="00D37A42" w:rsidP="008F4248">
      <w:pPr>
        <w:spacing w:line="360" w:lineRule="auto"/>
        <w:jc w:val="both"/>
        <w:rPr>
          <w:rFonts w:ascii="Times New Roman" w:hAnsi="Times New Roman" w:cs="Times New Roman"/>
          <w:b/>
          <w:bCs/>
          <w:sz w:val="24"/>
          <w:szCs w:val="24"/>
        </w:rPr>
      </w:pPr>
      <w:r w:rsidRPr="008F4248">
        <w:rPr>
          <w:rFonts w:ascii="Times New Roman" w:hAnsi="Times New Roman" w:cs="Times New Roman"/>
          <w:b/>
          <w:bCs/>
          <w:sz w:val="24"/>
          <w:szCs w:val="24"/>
        </w:rPr>
        <w:t>Recommendation: Project B + Project C</w:t>
      </w:r>
    </w:p>
    <w:p w14:paraId="3CC5D574" w14:textId="77777777" w:rsidR="00D37A42" w:rsidRPr="008F4248" w:rsidRDefault="00D37A42" w:rsidP="008F4248">
      <w:pPr>
        <w:spacing w:line="360" w:lineRule="auto"/>
        <w:jc w:val="both"/>
        <w:rPr>
          <w:rFonts w:ascii="Times New Roman" w:hAnsi="Times New Roman" w:cs="Times New Roman"/>
          <w:sz w:val="24"/>
          <w:szCs w:val="24"/>
        </w:rPr>
      </w:pPr>
      <w:r w:rsidRPr="008F4248">
        <w:rPr>
          <w:rFonts w:ascii="Segoe UI Emoji" w:hAnsi="Segoe UI Emoji" w:cs="Segoe UI Emoji"/>
          <w:sz w:val="24"/>
          <w:szCs w:val="24"/>
        </w:rPr>
        <w:t>🔹</w:t>
      </w:r>
      <w:r w:rsidRPr="008F4248">
        <w:rPr>
          <w:rFonts w:ascii="Times New Roman" w:hAnsi="Times New Roman" w:cs="Times New Roman"/>
          <w:sz w:val="24"/>
          <w:szCs w:val="24"/>
        </w:rPr>
        <w:t xml:space="preserve"> Justification</w:t>
      </w:r>
    </w:p>
    <w:p w14:paraId="0C9A8BAD" w14:textId="77777777" w:rsidR="00D37A42" w:rsidRPr="008F4248" w:rsidRDefault="00D37A42" w:rsidP="004F35F2">
      <w:pPr>
        <w:pStyle w:val="ListParagraph"/>
        <w:numPr>
          <w:ilvl w:val="0"/>
          <w:numId w:val="5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Highest combined NPV</w:t>
      </w:r>
    </w:p>
    <w:p w14:paraId="1FED18BB" w14:textId="77777777" w:rsidR="00D37A42" w:rsidRPr="008F4248" w:rsidRDefault="00D37A42" w:rsidP="004F35F2">
      <w:pPr>
        <w:pStyle w:val="ListParagraph"/>
        <w:numPr>
          <w:ilvl w:val="0"/>
          <w:numId w:val="5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lastRenderedPageBreak/>
        <w:t>Diversification of risk</w:t>
      </w:r>
    </w:p>
    <w:p w14:paraId="0CDB05AB" w14:textId="3F29560F" w:rsidR="00D37A42" w:rsidRPr="008F4248" w:rsidRDefault="00D37A42" w:rsidP="004F35F2">
      <w:pPr>
        <w:pStyle w:val="ListParagraph"/>
        <w:numPr>
          <w:ilvl w:val="0"/>
          <w:numId w:val="58"/>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Balance between stability and growth</w:t>
      </w:r>
    </w:p>
    <w:p w14:paraId="2D1B3DFD" w14:textId="19280279"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B:</w:t>
      </w:r>
    </w:p>
    <w:p w14:paraId="0E6B79C3" w14:textId="320B6F63" w:rsidR="00D37A42" w:rsidRPr="008F4248" w:rsidRDefault="00D37A42" w:rsidP="004F35F2">
      <w:pPr>
        <w:pStyle w:val="ListParagraph"/>
        <w:numPr>
          <w:ilvl w:val="0"/>
          <w:numId w:val="5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Stable, predictable returns</w:t>
      </w:r>
    </w:p>
    <w:p w14:paraId="2585816B" w14:textId="20BB4522"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Project C:</w:t>
      </w:r>
    </w:p>
    <w:p w14:paraId="7E425456" w14:textId="0E34FBCF" w:rsidR="00D37A42" w:rsidRPr="008F4248" w:rsidRDefault="00D37A42" w:rsidP="004F35F2">
      <w:pPr>
        <w:pStyle w:val="ListParagraph"/>
        <w:numPr>
          <w:ilvl w:val="0"/>
          <w:numId w:val="5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High return, faster recovery</w:t>
      </w:r>
    </w:p>
    <w:p w14:paraId="101BBFED" w14:textId="42547820" w:rsidR="00D37A42"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This aligns with capital rationing theory, which emphasises selecting the combination that maximises total value (Brealey et al., 2020).</w:t>
      </w:r>
    </w:p>
    <w:p w14:paraId="3D912FAD" w14:textId="58497F95" w:rsidR="00592403" w:rsidRDefault="00592403" w:rsidP="00592403">
      <w:pPr>
        <w:spacing w:line="360" w:lineRule="auto"/>
        <w:jc w:val="center"/>
        <w:rPr>
          <w:rFonts w:ascii="Times New Roman" w:hAnsi="Times New Roman" w:cs="Times New Roman"/>
          <w:sz w:val="24"/>
          <w:szCs w:val="24"/>
        </w:rPr>
      </w:pPr>
      <w:r>
        <w:rPr>
          <w:noProof/>
        </w:rPr>
        <w:drawing>
          <wp:inline distT="0" distB="0" distL="0" distR="0" wp14:anchorId="4EE0369C" wp14:editId="6B81B3B0">
            <wp:extent cx="5826125" cy="4082902"/>
            <wp:effectExtent l="0" t="0" r="3175" b="13335"/>
            <wp:docPr id="5" name="Chart 5">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6B06820" w14:textId="2160E91E" w:rsidR="00592403" w:rsidRPr="00592403" w:rsidRDefault="00592403" w:rsidP="00592403">
      <w:pPr>
        <w:spacing w:line="360" w:lineRule="auto"/>
        <w:jc w:val="center"/>
        <w:rPr>
          <w:rFonts w:ascii="Times New Roman" w:hAnsi="Times New Roman" w:cs="Times New Roman"/>
          <w:b/>
          <w:bCs/>
          <w:sz w:val="24"/>
          <w:szCs w:val="24"/>
        </w:rPr>
      </w:pPr>
      <w:r w:rsidRPr="00592403">
        <w:rPr>
          <w:rFonts w:ascii="Times New Roman" w:hAnsi="Times New Roman" w:cs="Times New Roman"/>
          <w:b/>
          <w:bCs/>
          <w:sz w:val="24"/>
          <w:szCs w:val="24"/>
        </w:rPr>
        <w:t>Figure 5. Capital Rationing Comparison</w:t>
      </w:r>
    </w:p>
    <w:p w14:paraId="2DA665DC" w14:textId="77777777" w:rsidR="00076D1A" w:rsidRPr="007B5C01" w:rsidRDefault="00076D1A" w:rsidP="00076D1A">
      <w:pPr>
        <w:spacing w:line="360" w:lineRule="auto"/>
        <w:rPr>
          <w:rFonts w:ascii="Times New Roman" w:hAnsi="Times New Roman" w:cs="Times New Roman"/>
          <w:b/>
          <w:bCs/>
          <w:sz w:val="24"/>
          <w:szCs w:val="24"/>
        </w:rPr>
      </w:pPr>
      <w:r w:rsidRPr="007B5C01">
        <w:rPr>
          <w:rFonts w:ascii="Times New Roman" w:hAnsi="Times New Roman" w:cs="Times New Roman"/>
          <w:b/>
          <w:bCs/>
          <w:i/>
          <w:iCs/>
          <w:sz w:val="24"/>
          <w:szCs w:val="24"/>
        </w:rPr>
        <w:t>Source: Author (based on Tesla Annual Reports)</w:t>
      </w:r>
    </w:p>
    <w:p w14:paraId="7FC15F46" w14:textId="77777777" w:rsidR="00076D1A" w:rsidRDefault="00076D1A" w:rsidP="008F4248">
      <w:pPr>
        <w:spacing w:line="360" w:lineRule="auto"/>
        <w:jc w:val="both"/>
        <w:rPr>
          <w:rFonts w:ascii="Times New Roman" w:hAnsi="Times New Roman" w:cs="Times New Roman"/>
          <w:b/>
          <w:bCs/>
          <w:sz w:val="24"/>
          <w:szCs w:val="24"/>
        </w:rPr>
      </w:pPr>
    </w:p>
    <w:p w14:paraId="4962CB21" w14:textId="7F65CEF4" w:rsidR="00D37A42" w:rsidRPr="007E709B" w:rsidRDefault="00D37A42" w:rsidP="008F4248">
      <w:pPr>
        <w:spacing w:line="360" w:lineRule="auto"/>
        <w:jc w:val="both"/>
        <w:rPr>
          <w:rFonts w:ascii="Times New Roman" w:hAnsi="Times New Roman" w:cs="Times New Roman"/>
          <w:b/>
          <w:bCs/>
          <w:sz w:val="24"/>
          <w:szCs w:val="24"/>
        </w:rPr>
      </w:pPr>
      <w:r w:rsidRPr="007E709B">
        <w:rPr>
          <w:rFonts w:ascii="Times New Roman" w:hAnsi="Times New Roman" w:cs="Times New Roman"/>
          <w:b/>
          <w:bCs/>
          <w:sz w:val="24"/>
          <w:szCs w:val="24"/>
        </w:rPr>
        <w:lastRenderedPageBreak/>
        <w:t>Final Critical Insight</w:t>
      </w:r>
    </w:p>
    <w:p w14:paraId="3E4C70DB" w14:textId="426A9072"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Although all projects have negative NPVs, rejecting all projects may not be realistic in strategic industries like EVs, where long-term investments are essential.</w:t>
      </w:r>
      <w:r w:rsidR="00966828" w:rsidRPr="008F4248">
        <w:rPr>
          <w:rFonts w:ascii="Times New Roman" w:hAnsi="Times New Roman" w:cs="Times New Roman"/>
          <w:sz w:val="24"/>
          <w:szCs w:val="24"/>
        </w:rPr>
        <w:t xml:space="preserve"> </w:t>
      </w:r>
      <w:r w:rsidRPr="008F4248">
        <w:rPr>
          <w:rFonts w:ascii="Times New Roman" w:hAnsi="Times New Roman" w:cs="Times New Roman"/>
          <w:sz w:val="24"/>
          <w:szCs w:val="24"/>
        </w:rPr>
        <w:t>Project C is the most viable option due to:</w:t>
      </w:r>
    </w:p>
    <w:p w14:paraId="159260A5" w14:textId="77777777" w:rsidR="00D37A42" w:rsidRPr="008F4248" w:rsidRDefault="00D37A42" w:rsidP="004F35F2">
      <w:pPr>
        <w:pStyle w:val="ListParagraph"/>
        <w:numPr>
          <w:ilvl w:val="0"/>
          <w:numId w:val="5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Strong financial performance</w:t>
      </w:r>
    </w:p>
    <w:p w14:paraId="2B9260AD" w14:textId="77777777" w:rsidR="00D37A42" w:rsidRPr="008F4248" w:rsidRDefault="00D37A42" w:rsidP="004F35F2">
      <w:pPr>
        <w:pStyle w:val="ListParagraph"/>
        <w:numPr>
          <w:ilvl w:val="0"/>
          <w:numId w:val="5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Lower risk</w:t>
      </w:r>
    </w:p>
    <w:p w14:paraId="1D60A2CA" w14:textId="1636D5AB" w:rsidR="00D37A42" w:rsidRPr="008F4248" w:rsidRDefault="00D37A42" w:rsidP="004F35F2">
      <w:pPr>
        <w:pStyle w:val="ListParagraph"/>
        <w:numPr>
          <w:ilvl w:val="0"/>
          <w:numId w:val="59"/>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Strategic alignment</w:t>
      </w:r>
    </w:p>
    <w:p w14:paraId="586F6F64" w14:textId="151F480F" w:rsidR="00D37A42" w:rsidRPr="008F4248" w:rsidRDefault="00D37A42" w:rsidP="008F4248">
      <w:p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Under capital constraints, combining Projects B and C provides the most balanced solution.</w:t>
      </w:r>
      <w:r w:rsidR="008F4248" w:rsidRPr="008F4248">
        <w:rPr>
          <w:rFonts w:ascii="Times New Roman" w:hAnsi="Times New Roman" w:cs="Times New Roman"/>
          <w:sz w:val="24"/>
          <w:szCs w:val="24"/>
        </w:rPr>
        <w:t xml:space="preserve"> </w:t>
      </w:r>
      <w:r w:rsidRPr="008F4248">
        <w:rPr>
          <w:rFonts w:ascii="Times New Roman" w:hAnsi="Times New Roman" w:cs="Times New Roman"/>
          <w:sz w:val="24"/>
          <w:szCs w:val="24"/>
        </w:rPr>
        <w:t>For Tesla, effective capital budgeting is essential to:</w:t>
      </w:r>
    </w:p>
    <w:p w14:paraId="4611256C" w14:textId="77777777" w:rsidR="00D37A42" w:rsidRPr="008F4248" w:rsidRDefault="00D37A42" w:rsidP="004F35F2">
      <w:pPr>
        <w:pStyle w:val="ListParagraph"/>
        <w:numPr>
          <w:ilvl w:val="0"/>
          <w:numId w:val="6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Sustain innovation</w:t>
      </w:r>
    </w:p>
    <w:p w14:paraId="1AD56EC3" w14:textId="77777777" w:rsidR="00D37A42" w:rsidRPr="008F4248" w:rsidRDefault="00D37A42" w:rsidP="004F35F2">
      <w:pPr>
        <w:pStyle w:val="ListParagraph"/>
        <w:numPr>
          <w:ilvl w:val="0"/>
          <w:numId w:val="6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Manage financial risk</w:t>
      </w:r>
    </w:p>
    <w:p w14:paraId="51D59725" w14:textId="77777777" w:rsidR="00076D1A" w:rsidRDefault="00D37A42" w:rsidP="004F35F2">
      <w:pPr>
        <w:pStyle w:val="ListParagraph"/>
        <w:numPr>
          <w:ilvl w:val="0"/>
          <w:numId w:val="60"/>
        </w:numPr>
        <w:spacing w:line="360" w:lineRule="auto"/>
        <w:jc w:val="both"/>
        <w:rPr>
          <w:rFonts w:ascii="Times New Roman" w:hAnsi="Times New Roman" w:cs="Times New Roman"/>
          <w:sz w:val="24"/>
          <w:szCs w:val="24"/>
        </w:rPr>
      </w:pPr>
      <w:r w:rsidRPr="008F4248">
        <w:rPr>
          <w:rFonts w:ascii="Times New Roman" w:hAnsi="Times New Roman" w:cs="Times New Roman"/>
          <w:sz w:val="24"/>
          <w:szCs w:val="24"/>
        </w:rPr>
        <w:t xml:space="preserve">Maintain competitive advantage </w:t>
      </w:r>
    </w:p>
    <w:p w14:paraId="25F12F35" w14:textId="77777777" w:rsidR="00076D1A" w:rsidRDefault="00076D1A" w:rsidP="00076D1A">
      <w:pPr>
        <w:spacing w:line="360" w:lineRule="auto"/>
        <w:jc w:val="both"/>
        <w:rPr>
          <w:rFonts w:ascii="Times New Roman" w:hAnsi="Times New Roman" w:cs="Times New Roman"/>
          <w:sz w:val="24"/>
          <w:szCs w:val="24"/>
        </w:rPr>
      </w:pPr>
    </w:p>
    <w:p w14:paraId="34982B86" w14:textId="77777777" w:rsidR="00076D1A" w:rsidRDefault="00076D1A" w:rsidP="00076D1A">
      <w:pPr>
        <w:spacing w:line="360" w:lineRule="auto"/>
        <w:jc w:val="both"/>
        <w:rPr>
          <w:rFonts w:ascii="Times New Roman" w:hAnsi="Times New Roman" w:cs="Times New Roman"/>
          <w:b/>
          <w:bCs/>
          <w:sz w:val="28"/>
          <w:szCs w:val="28"/>
        </w:rPr>
      </w:pPr>
      <w:r w:rsidRPr="00076D1A">
        <w:rPr>
          <w:rFonts w:ascii="Times New Roman" w:hAnsi="Times New Roman" w:cs="Times New Roman"/>
          <w:b/>
          <w:bCs/>
          <w:sz w:val="28"/>
          <w:szCs w:val="28"/>
        </w:rPr>
        <w:t>Conclusion</w:t>
      </w:r>
    </w:p>
    <w:p w14:paraId="2D16BF3E" w14:textId="77777777" w:rsidR="00D37577" w:rsidRDefault="00D37577" w:rsidP="00076D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summary, the financial assessment of Tesla Inc. reveals that the organization is shifting from a phase of rapid growth to a more competitive and financially restricted landscape. Although Tesla has recorded robust historical performance, recent development points to a decline in profitability, heightened cost pressures, and emerging liquidity issues. </w:t>
      </w:r>
    </w:p>
    <w:p w14:paraId="0E76D010" w14:textId="77777777" w:rsidR="00D37577" w:rsidRDefault="00D37577" w:rsidP="00076D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ratio analysis reveals diminishing margins and lower capital efficiency, while the working capital analysis indicates an increasing dependence on supplier financing. These elements underscore the necessity for enhanced cost management and financial discipline. </w:t>
      </w:r>
    </w:p>
    <w:p w14:paraId="6CEC1E10" w14:textId="77777777" w:rsidR="00D37577" w:rsidRDefault="00D37577" w:rsidP="00076D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a strategic standpoint, Tesla must find a balance between growth and profitability by optimizing its capital structure, enhancing operational efficiency, and concentrating on high-value areas of innovation. </w:t>
      </w:r>
    </w:p>
    <w:p w14:paraId="17745F1C" w14:textId="77777777" w:rsidR="002A60BA" w:rsidRDefault="00D37577" w:rsidP="00076D1A">
      <w:pPr>
        <w:spacing w:line="360" w:lineRule="auto"/>
        <w:jc w:val="both"/>
        <w:rPr>
          <w:rFonts w:ascii="Times New Roman" w:hAnsi="Times New Roman" w:cs="Times New Roman"/>
          <w:sz w:val="24"/>
          <w:szCs w:val="24"/>
        </w:rPr>
      </w:pPr>
      <w:r>
        <w:rPr>
          <w:rFonts w:ascii="Times New Roman" w:hAnsi="Times New Roman" w:cs="Times New Roman"/>
          <w:sz w:val="24"/>
          <w:szCs w:val="24"/>
        </w:rPr>
        <w:t>The results of the investment appraisal indicate that Project C is the most feasible option due to its superior returns and quicker payback period. Given capital limitations, the</w:t>
      </w:r>
      <w:r w:rsidR="002A60BA">
        <w:rPr>
          <w:rFonts w:ascii="Times New Roman" w:hAnsi="Times New Roman" w:cs="Times New Roman"/>
          <w:sz w:val="24"/>
          <w:szCs w:val="24"/>
        </w:rPr>
        <w:t xml:space="preserve"> combination of Projects B and C offers the most balanced approach. </w:t>
      </w:r>
    </w:p>
    <w:p w14:paraId="33B8E45E" w14:textId="5585C4B7" w:rsidR="002877C5" w:rsidRPr="00076D1A" w:rsidRDefault="002A60BA" w:rsidP="00076D1A">
      <w:pPr>
        <w:spacing w:line="360" w:lineRule="auto"/>
        <w:jc w:val="both"/>
        <w:rPr>
          <w:rFonts w:ascii="Times New Roman" w:hAnsi="Times New Roman" w:cs="Times New Roman"/>
          <w:b/>
          <w:bCs/>
          <w:sz w:val="28"/>
          <w:szCs w:val="28"/>
        </w:rPr>
      </w:pPr>
      <w:r>
        <w:rPr>
          <w:rFonts w:ascii="Times New Roman" w:hAnsi="Times New Roman" w:cs="Times New Roman"/>
          <w:sz w:val="24"/>
          <w:szCs w:val="24"/>
        </w:rPr>
        <w:lastRenderedPageBreak/>
        <w:t xml:space="preserve">In conclusion, Tesla continues to be financially robust but faces strategic challenges, necessitating meticulous financial management to maintain long-term competitiveness. </w:t>
      </w:r>
      <w:r w:rsidR="002877C5" w:rsidRPr="00076D1A">
        <w:rPr>
          <w:rFonts w:ascii="Times New Roman" w:hAnsi="Times New Roman" w:cs="Times New Roman"/>
          <w:b/>
          <w:bCs/>
          <w:sz w:val="28"/>
          <w:szCs w:val="28"/>
        </w:rPr>
        <w:br w:type="page"/>
      </w:r>
    </w:p>
    <w:p w14:paraId="68D7FE07" w14:textId="131579D5" w:rsidR="007E709B" w:rsidRPr="007E709B" w:rsidRDefault="007E709B" w:rsidP="007E709B">
      <w:pPr>
        <w:pStyle w:val="Heading1"/>
        <w:rPr>
          <w:sz w:val="32"/>
          <w:szCs w:val="32"/>
        </w:rPr>
      </w:pPr>
      <w:bookmarkStart w:id="30" w:name="_Toc228106320"/>
      <w:r w:rsidRPr="007E709B">
        <w:rPr>
          <w:sz w:val="32"/>
          <w:szCs w:val="32"/>
        </w:rPr>
        <w:lastRenderedPageBreak/>
        <w:t>References</w:t>
      </w:r>
      <w:bookmarkEnd w:id="30"/>
    </w:p>
    <w:p w14:paraId="5CB640B7" w14:textId="69D18383" w:rsidR="0032243F" w:rsidRPr="00D653E8" w:rsidRDefault="00D653E8" w:rsidP="00D653E8">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sidRPr="00D653E8">
        <w:rPr>
          <w:rFonts w:ascii="Times New Roman" w:hAnsi="Times New Roman" w:cs="Times New Roman"/>
          <w:sz w:val="24"/>
          <w:szCs w:val="24"/>
        </w:rPr>
        <w:t>4C Associates (2024) Cash conversion cycle benchmark analysis. Available at: </w:t>
      </w:r>
      <w:hyperlink r:id="rId14" w:tgtFrame="_blank" w:history="1">
        <w:r w:rsidRPr="00D653E8">
          <w:rPr>
            <w:rStyle w:val="Hyperlink"/>
            <w:rFonts w:ascii="Times New Roman" w:hAnsi="Times New Roman" w:cs="Times New Roman"/>
            <w:sz w:val="24"/>
            <w:szCs w:val="24"/>
          </w:rPr>
          <w:t>https://www.4cassociates.com/2024/03/04/money-in-one-hand-money-out-the-other-cash-choreography/</w:t>
        </w:r>
      </w:hyperlink>
      <w:r w:rsidRPr="00D653E8">
        <w:rPr>
          <w:rFonts w:ascii="Times New Roman" w:hAnsi="Times New Roman" w:cs="Times New Roman"/>
          <w:sz w:val="24"/>
          <w:szCs w:val="24"/>
        </w:rPr>
        <w:t xml:space="preserve"> (Accessed: 27 April 2026)</w:t>
      </w:r>
    </w:p>
    <w:p w14:paraId="43F83D63" w14:textId="0F135DDB" w:rsidR="00D653E8" w:rsidRPr="00D653E8" w:rsidRDefault="00D653E8" w:rsidP="00D653E8">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Arnold, G. (2008) Corporate financial management. 4</w:t>
      </w:r>
      <w:r w:rsidRPr="00D653E8">
        <w:rPr>
          <w:rFonts w:ascii="Times New Roman" w:hAnsi="Times New Roman" w:cs="Times New Roman"/>
          <w:sz w:val="24"/>
          <w:szCs w:val="24"/>
          <w:vertAlign w:val="superscript"/>
        </w:rPr>
        <w:t>th</w:t>
      </w:r>
      <w:r>
        <w:rPr>
          <w:rFonts w:ascii="Times New Roman" w:hAnsi="Times New Roman" w:cs="Times New Roman"/>
          <w:sz w:val="24"/>
          <w:szCs w:val="24"/>
        </w:rPr>
        <w:t xml:space="preserve"> edn. Harlow: Pearson Education.</w:t>
      </w:r>
    </w:p>
    <w:p w14:paraId="421E3656" w14:textId="0D663B1A" w:rsidR="00D653E8" w:rsidRPr="00D653E8" w:rsidRDefault="00D653E8" w:rsidP="00D653E8">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BFI insights (2024) Tesla company analysis. Available at:</w:t>
      </w:r>
      <w:r w:rsidRPr="00D653E8">
        <w:rPr>
          <w:rFonts w:ascii="Times New Roman" w:hAnsi="Times New Roman" w:cs="Times New Roman"/>
          <w:sz w:val="24"/>
          <w:szCs w:val="24"/>
        </w:rPr>
        <w:t> </w:t>
      </w:r>
      <w:hyperlink r:id="rId15" w:tgtFrame="_blank" w:history="1">
        <w:r w:rsidRPr="00D653E8">
          <w:rPr>
            <w:rStyle w:val="Hyperlink"/>
            <w:rFonts w:ascii="Times New Roman" w:hAnsi="Times New Roman" w:cs="Times New Roman"/>
            <w:sz w:val="24"/>
            <w:szCs w:val="24"/>
          </w:rPr>
          <w:t>https://bfiinsights.com/analysis/tesla/</w:t>
        </w:r>
      </w:hyperlink>
      <w:r>
        <w:rPr>
          <w:rFonts w:ascii="Times New Roman" w:hAnsi="Times New Roman" w:cs="Times New Roman"/>
          <w:sz w:val="24"/>
          <w:szCs w:val="24"/>
        </w:rPr>
        <w:t xml:space="preserve"> (Accessed: 27 April 2026).</w:t>
      </w:r>
    </w:p>
    <w:p w14:paraId="6DF073FE" w14:textId="56257F15" w:rsidR="00D653E8" w:rsidRPr="00D653E8" w:rsidRDefault="00D653E8" w:rsidP="00D653E8">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Brealey, R.A., Myers, S.C. and Allen, F. (2020) Principles of corporate fiancé. 13</w:t>
      </w:r>
      <w:r w:rsidRPr="00D653E8">
        <w:rPr>
          <w:rFonts w:ascii="Times New Roman" w:hAnsi="Times New Roman" w:cs="Times New Roman"/>
          <w:sz w:val="24"/>
          <w:szCs w:val="24"/>
          <w:vertAlign w:val="superscript"/>
        </w:rPr>
        <w:t>th</w:t>
      </w:r>
      <w:r>
        <w:rPr>
          <w:rFonts w:ascii="Times New Roman" w:hAnsi="Times New Roman" w:cs="Times New Roman"/>
          <w:sz w:val="24"/>
          <w:szCs w:val="24"/>
        </w:rPr>
        <w:t xml:space="preserve"> edn. New York: McGraw-Hill Education. Available at:</w:t>
      </w:r>
      <w:r w:rsidRPr="00D653E8">
        <w:rPr>
          <w:rFonts w:ascii="Times New Roman" w:hAnsi="Times New Roman" w:cs="Times New Roman"/>
          <w:sz w:val="24"/>
          <w:szCs w:val="24"/>
        </w:rPr>
        <w:t> </w:t>
      </w:r>
      <w:hyperlink r:id="rId16" w:tgtFrame="_blank" w:history="1">
        <w:r w:rsidRPr="00D653E8">
          <w:rPr>
            <w:rStyle w:val="Hyperlink"/>
            <w:rFonts w:ascii="Times New Roman" w:hAnsi="Times New Roman" w:cs="Times New Roman"/>
            <w:sz w:val="24"/>
            <w:szCs w:val="24"/>
          </w:rPr>
          <w:t>https://www.mheducation.com/highered/product/principles-corporate-finance-brealey-myers/M9781260013900.html</w:t>
        </w:r>
      </w:hyperlink>
      <w:r w:rsidRPr="00D653E8">
        <w:rPr>
          <w:rFonts w:ascii="Times New Roman" w:hAnsi="Times New Roman" w:cs="Times New Roman"/>
          <w:sz w:val="24"/>
          <w:szCs w:val="24"/>
        </w:rPr>
        <w:t> </w:t>
      </w:r>
      <w:r>
        <w:rPr>
          <w:rFonts w:ascii="Times New Roman" w:hAnsi="Times New Roman" w:cs="Times New Roman"/>
          <w:sz w:val="24"/>
          <w:szCs w:val="24"/>
        </w:rPr>
        <w:t>(Accessed: 27 April 2026).</w:t>
      </w:r>
    </w:p>
    <w:p w14:paraId="644040B3" w14:textId="1E6D0675" w:rsidR="00D653E8" w:rsidRPr="00B5255F" w:rsidRDefault="00B5255F" w:rsidP="00D653E8">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Bullfincher (2025) Tesla financial statements. Available at:</w:t>
      </w:r>
      <w:r w:rsidRPr="00B5255F">
        <w:rPr>
          <w:rFonts w:ascii="Times New Roman" w:hAnsi="Times New Roman" w:cs="Times New Roman"/>
          <w:sz w:val="24"/>
          <w:szCs w:val="24"/>
        </w:rPr>
        <w:t> </w:t>
      </w:r>
      <w:hyperlink r:id="rId17" w:tgtFrame="_blank" w:history="1">
        <w:r w:rsidRPr="00B5255F">
          <w:rPr>
            <w:rStyle w:val="Hyperlink"/>
            <w:rFonts w:ascii="Times New Roman" w:hAnsi="Times New Roman" w:cs="Times New Roman"/>
            <w:sz w:val="24"/>
            <w:szCs w:val="24"/>
          </w:rPr>
          <w:t>https://www.gurufocus.com/term/cash-conversion-cycle/TSLA</w:t>
        </w:r>
      </w:hyperlink>
      <w:r>
        <w:rPr>
          <w:rFonts w:ascii="Times New Roman" w:hAnsi="Times New Roman" w:cs="Times New Roman"/>
          <w:sz w:val="24"/>
          <w:szCs w:val="24"/>
        </w:rPr>
        <w:t xml:space="preserve"> (Accessed: 27 April 2026).</w:t>
      </w:r>
    </w:p>
    <w:p w14:paraId="4D64CEF1" w14:textId="4978D974" w:rsidR="00B5255F" w:rsidRDefault="00B5255F" w:rsidP="00D653E8">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GuruFocus (2026) Tesla cash conversion cycle. Available at: </w:t>
      </w:r>
      <w:hyperlink r:id="rId18" w:history="1">
        <w:r w:rsidRPr="009A0376">
          <w:rPr>
            <w:rStyle w:val="Hyperlink"/>
            <w:rFonts w:ascii="Times New Roman" w:hAnsi="Times New Roman" w:cs="Times New Roman"/>
            <w:sz w:val="24"/>
            <w:szCs w:val="24"/>
            <w:shd w:val="clear" w:color="auto" w:fill="FFFFFF"/>
          </w:rPr>
          <w:t>https://www.gurufocus.com/term/cash-conversion-cycle/TSLA</w:t>
        </w:r>
      </w:hyperlink>
      <w:r w:rsidRPr="00B5255F">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(Accessed: 27 April 2026).</w:t>
      </w:r>
    </w:p>
    <w:p w14:paraId="41D075CE" w14:textId="208B94CD" w:rsidR="00B5255F" w:rsidRDefault="00B5255F" w:rsidP="00D653E8">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GuruFocus (2026) Tesla days inventory outstanding.  Available at</w:t>
      </w:r>
      <w:r w:rsidRPr="00B5255F">
        <w:rPr>
          <w:rFonts w:ascii="Segoe UI" w:hAnsi="Segoe UI" w:cs="Segoe UI"/>
          <w:color w:val="F9FAFB"/>
          <w:shd w:val="clear" w:color="auto" w:fill="151517"/>
        </w:rPr>
        <w:t xml:space="preserve"> </w:t>
      </w:r>
      <w:r w:rsidRPr="00B5255F">
        <w:rPr>
          <w:rFonts w:ascii="Times New Roman" w:hAnsi="Times New Roman" w:cs="Times New Roman"/>
          <w:color w:val="222222"/>
          <w:sz w:val="24"/>
          <w:szCs w:val="24"/>
          <w:shd w:val="clear" w:color="auto" w:fill="FFFFFF"/>
        </w:rPr>
        <w:t>: </w:t>
      </w:r>
      <w:hyperlink r:id="rId19" w:tgtFrame="_blank" w:history="1">
        <w:r w:rsidRPr="00B5255F">
          <w:rPr>
            <w:rStyle w:val="Hyperlink"/>
            <w:rFonts w:ascii="Times New Roman" w:hAnsi="Times New Roman" w:cs="Times New Roman"/>
            <w:sz w:val="24"/>
            <w:szCs w:val="24"/>
            <w:shd w:val="clear" w:color="auto" w:fill="FFFFFF"/>
          </w:rPr>
          <w:t>https://www.gurufocus.com/term/days-sales-outstanding/TSLA</w:t>
        </w:r>
      </w:hyperlink>
      <w:r w:rsidRPr="00B5255F">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(Accessed: 27 April 2026).</w:t>
      </w:r>
    </w:p>
    <w:p w14:paraId="753F3625" w14:textId="2488CAE3" w:rsidR="00B5255F" w:rsidRDefault="00B5255F" w:rsidP="00D653E8">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Inves</w:t>
      </w:r>
      <w:r w:rsidR="00BF6A51">
        <w:rPr>
          <w:rFonts w:ascii="Times New Roman" w:hAnsi="Times New Roman" w:cs="Times New Roman"/>
          <w:color w:val="222222"/>
          <w:sz w:val="24"/>
          <w:szCs w:val="24"/>
          <w:shd w:val="clear" w:color="auto" w:fill="FFFFFF"/>
        </w:rPr>
        <w:t xml:space="preserve">ting.com (2025) Tesla financial summary. Available at: </w:t>
      </w:r>
      <w:hyperlink r:id="rId20" w:history="1">
        <w:r w:rsidR="00BF6A51" w:rsidRPr="009A0376">
          <w:rPr>
            <w:rStyle w:val="Hyperlink"/>
            <w:rFonts w:ascii="Times New Roman" w:hAnsi="Times New Roman" w:cs="Times New Roman"/>
            <w:sz w:val="24"/>
            <w:szCs w:val="24"/>
            <w:shd w:val="clear" w:color="auto" w:fill="FFFFFF"/>
          </w:rPr>
          <w:t>https://ph.investing.com/equities/tesla-motors-financial-summary</w:t>
        </w:r>
      </w:hyperlink>
      <w:r w:rsidR="00BF6A51" w:rsidRPr="00BF6A51">
        <w:rPr>
          <w:rFonts w:ascii="Times New Roman" w:hAnsi="Times New Roman" w:cs="Times New Roman"/>
          <w:color w:val="222222"/>
          <w:sz w:val="24"/>
          <w:szCs w:val="24"/>
          <w:shd w:val="clear" w:color="auto" w:fill="FFFFFF"/>
        </w:rPr>
        <w:t> </w:t>
      </w:r>
      <w:r w:rsidR="00BF6A51">
        <w:rPr>
          <w:rFonts w:ascii="Times New Roman" w:hAnsi="Times New Roman" w:cs="Times New Roman"/>
          <w:color w:val="222222"/>
          <w:sz w:val="24"/>
          <w:szCs w:val="24"/>
          <w:shd w:val="clear" w:color="auto" w:fill="FFFFFF"/>
        </w:rPr>
        <w:t xml:space="preserve"> (Accessed: 27 April 2026).</w:t>
      </w:r>
    </w:p>
    <w:p w14:paraId="17230528" w14:textId="7DE0AD3C" w:rsidR="00BF6A51" w:rsidRDefault="00BF6A51" w:rsidP="00D653E8">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Macrotrends (2026) *Tesla free cash flow 2012-2025*. Available at</w:t>
      </w:r>
      <w:r w:rsidRPr="00BF6A51">
        <w:rPr>
          <w:rFonts w:ascii="Segoe UI" w:hAnsi="Segoe UI" w:cs="Segoe UI"/>
          <w:color w:val="F9FAFB"/>
          <w:shd w:val="clear" w:color="auto" w:fill="151517"/>
        </w:rPr>
        <w:t xml:space="preserve"> </w:t>
      </w:r>
      <w:r w:rsidRPr="00BF6A51">
        <w:rPr>
          <w:rFonts w:ascii="Times New Roman" w:hAnsi="Times New Roman" w:cs="Times New Roman"/>
          <w:color w:val="222222"/>
          <w:sz w:val="24"/>
          <w:szCs w:val="24"/>
          <w:shd w:val="clear" w:color="auto" w:fill="FFFFFF"/>
        </w:rPr>
        <w:t>: </w:t>
      </w:r>
      <w:hyperlink r:id="rId21" w:tgtFrame="_blank" w:history="1">
        <w:r w:rsidRPr="00BF6A51">
          <w:rPr>
            <w:rStyle w:val="Hyperlink"/>
            <w:rFonts w:ascii="Times New Roman" w:hAnsi="Times New Roman" w:cs="Times New Roman"/>
            <w:sz w:val="24"/>
            <w:szCs w:val="24"/>
            <w:shd w:val="clear" w:color="auto" w:fill="FFFFFF"/>
          </w:rPr>
          <w:t>https://www.macrotrends.net/stocks/charts/TSLA/tesla/free-cash-flow</w:t>
        </w:r>
      </w:hyperlink>
      <w:r w:rsidRPr="00BF6A51">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(Accessed: 27 April 2026).</w:t>
      </w:r>
    </w:p>
    <w:p w14:paraId="7D97100D" w14:textId="0EB20124" w:rsidR="00BF6A51" w:rsidRDefault="00BF6A51"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MarketWatch (2026) ‘Tesla is headed down a path of runway, unsustainable spending, </w:t>
      </w:r>
      <w:r w:rsidR="0086612A">
        <w:rPr>
          <w:rFonts w:ascii="Times New Roman" w:hAnsi="Times New Roman" w:cs="Times New Roman"/>
          <w:color w:val="222222"/>
          <w:sz w:val="24"/>
          <w:szCs w:val="24"/>
          <w:shd w:val="clear" w:color="auto" w:fill="FFFFFF"/>
        </w:rPr>
        <w:t xml:space="preserve">analysts warn’, MarketWatch, 15 March. Available at: </w:t>
      </w:r>
      <w:hyperlink r:id="rId22" w:history="1">
        <w:r w:rsidR="00BB447B" w:rsidRPr="009A0376">
          <w:rPr>
            <w:rStyle w:val="Hyperlink"/>
            <w:rFonts w:ascii="Times New Roman" w:hAnsi="Times New Roman" w:cs="Times New Roman"/>
            <w:sz w:val="24"/>
            <w:szCs w:val="24"/>
            <w:shd w:val="clear" w:color="auto" w:fill="FFFFFF"/>
          </w:rPr>
          <w:t>https://www.marketwatch.com/story/tesla-is-headed-down-a-path-of-runaway-unsustainable-spending-analysts-warn-60f16c6c</w:t>
        </w:r>
      </w:hyperlink>
      <w:r w:rsidR="00BB447B" w:rsidRPr="00BB447B">
        <w:rPr>
          <w:rFonts w:ascii="Times New Roman" w:hAnsi="Times New Roman" w:cs="Times New Roman"/>
          <w:color w:val="222222"/>
          <w:sz w:val="24"/>
          <w:szCs w:val="24"/>
          <w:shd w:val="clear" w:color="auto" w:fill="FFFFFF"/>
        </w:rPr>
        <w:t> </w:t>
      </w:r>
      <w:r w:rsidR="0086612A">
        <w:rPr>
          <w:rFonts w:ascii="Times New Roman" w:hAnsi="Times New Roman" w:cs="Times New Roman"/>
          <w:color w:val="222222"/>
          <w:sz w:val="24"/>
          <w:szCs w:val="24"/>
          <w:shd w:val="clear" w:color="auto" w:fill="FFFFFF"/>
        </w:rPr>
        <w:t xml:space="preserve">   (Accessed: 27 April 2026</w:t>
      </w:r>
      <w:r w:rsidR="0086612A" w:rsidRPr="0086612A">
        <w:rPr>
          <w:rFonts w:ascii="Times New Roman" w:hAnsi="Times New Roman" w:cs="Times New Roman"/>
          <w:color w:val="222222"/>
          <w:sz w:val="24"/>
          <w:szCs w:val="24"/>
          <w:shd w:val="clear" w:color="auto" w:fill="FFFFFF"/>
        </w:rPr>
        <w:t>)</w:t>
      </w:r>
    </w:p>
    <w:p w14:paraId="7A7DB19F" w14:textId="07D7DF6C" w:rsidR="0086612A" w:rsidRDefault="0086612A"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Medium (2024) ‘Tesla full-year 2024 analysis: a review of actual performance and financial forecast’, Medium, 5 January. Available at: </w:t>
      </w:r>
      <w:hyperlink r:id="rId23" w:history="1">
        <w:r w:rsidR="00BB447B" w:rsidRPr="009A0376">
          <w:rPr>
            <w:rStyle w:val="Hyperlink"/>
            <w:rFonts w:ascii="Times New Roman" w:hAnsi="Times New Roman" w:cs="Times New Roman"/>
            <w:sz w:val="24"/>
            <w:szCs w:val="24"/>
            <w:shd w:val="clear" w:color="auto" w:fill="FFFFFF"/>
          </w:rPr>
          <w:t>https://medium.com/@nambos3rd/tesla-full-year-2024-analysis-a-review-of-actual-performance-my-financial-forecast-41ee70091b5a</w:t>
        </w:r>
      </w:hyperlink>
      <w:r w:rsidR="00BB447B" w:rsidRPr="00BB447B">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 xml:space="preserve">   (Accessed: 27 April 2026).</w:t>
      </w:r>
    </w:p>
    <w:p w14:paraId="0716E187" w14:textId="03FC53E9" w:rsidR="0086612A" w:rsidRDefault="0086612A"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Reuters (2026) ‘Tesla revenue misses estimates as demand weakens’, Reuters. 22 April. Available</w:t>
      </w:r>
      <w:r w:rsidR="00BB447B">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at:</w:t>
      </w:r>
      <w:r w:rsidR="00BB447B" w:rsidRPr="00BB447B">
        <w:rPr>
          <w:rFonts w:ascii="Times New Roman" w:hAnsi="Times New Roman" w:cs="Times New Roman"/>
          <w:color w:val="222222"/>
          <w:sz w:val="24"/>
          <w:szCs w:val="24"/>
          <w:shd w:val="clear" w:color="auto" w:fill="FFFFFF"/>
        </w:rPr>
        <w:t> </w:t>
      </w:r>
      <w:hyperlink r:id="rId24" w:tgtFrame="_blank" w:history="1">
        <w:r w:rsidR="00BB447B" w:rsidRPr="00BB447B">
          <w:rPr>
            <w:rStyle w:val="Hyperlink"/>
            <w:rFonts w:ascii="Times New Roman" w:hAnsi="Times New Roman" w:cs="Times New Roman"/>
            <w:sz w:val="24"/>
            <w:szCs w:val="24"/>
            <w:shd w:val="clear" w:color="auto" w:fill="FFFFFF"/>
          </w:rPr>
          <w:t>https://www.reuters.com/business/autos-transportation/tesla-revenue-misses-estimates-demand-weakens-2026-04-22</w:t>
        </w:r>
      </w:hyperlink>
      <w:r>
        <w:rPr>
          <w:rFonts w:ascii="Times New Roman" w:hAnsi="Times New Roman" w:cs="Times New Roman"/>
          <w:color w:val="222222"/>
          <w:sz w:val="24"/>
          <w:szCs w:val="24"/>
          <w:shd w:val="clear" w:color="auto" w:fill="FFFFFF"/>
        </w:rPr>
        <w:t xml:space="preserve"> (Accessed: 27 April 2026).</w:t>
      </w:r>
    </w:p>
    <w:p w14:paraId="23A2DBAF" w14:textId="4751206F" w:rsidR="0086612A" w:rsidRDefault="00D41A99"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Reuters (2026) ‘Musk scorned “shady” loopholes yet offshore tax tricks likely saved Tesla Hundreds of millions’, Reuters, 20 April. Available at:</w:t>
      </w:r>
      <w:r w:rsidR="00BB447B">
        <w:rPr>
          <w:rFonts w:ascii="Times New Roman" w:hAnsi="Times New Roman" w:cs="Times New Roman"/>
          <w:color w:val="222222"/>
          <w:sz w:val="24"/>
          <w:szCs w:val="24"/>
          <w:shd w:val="clear" w:color="auto" w:fill="FFFFFF"/>
        </w:rPr>
        <w:t xml:space="preserve"> </w:t>
      </w:r>
      <w:hyperlink r:id="rId25" w:history="1">
        <w:r w:rsidR="00BB447B" w:rsidRPr="009A0376">
          <w:rPr>
            <w:rStyle w:val="Hyperlink"/>
            <w:rFonts w:ascii="Times New Roman" w:hAnsi="Times New Roman" w:cs="Times New Roman"/>
            <w:sz w:val="24"/>
            <w:szCs w:val="24"/>
            <w:shd w:val="clear" w:color="auto" w:fill="FFFFFF"/>
          </w:rPr>
          <w:t>https://www.reuters.com/legal/transactional/musk-scorned-shady-loopholes-yet-offshore-tax-tricks-likely-saved-tesla-hundreds-2026-04-20</w:t>
        </w:r>
      </w:hyperlink>
      <w:r w:rsidR="00BB447B" w:rsidRPr="00BB447B">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 xml:space="preserve"> (Accessed:27 April 2026).</w:t>
      </w:r>
    </w:p>
    <w:p w14:paraId="0A432CCB" w14:textId="0ACC0388" w:rsidR="00D41A99" w:rsidRDefault="00D41A99"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Ross, S.A., Westerfield, R.W. and Jaffe, J. (2022) Corporate finance. 13</w:t>
      </w:r>
      <w:r w:rsidRPr="00D41A99">
        <w:rPr>
          <w:rFonts w:ascii="Times New Roman" w:hAnsi="Times New Roman" w:cs="Times New Roman"/>
          <w:color w:val="222222"/>
          <w:sz w:val="24"/>
          <w:szCs w:val="24"/>
          <w:shd w:val="clear" w:color="auto" w:fill="FFFFFF"/>
          <w:vertAlign w:val="superscript"/>
        </w:rPr>
        <w:t>th</w:t>
      </w:r>
      <w:r>
        <w:rPr>
          <w:rFonts w:ascii="Times New Roman" w:hAnsi="Times New Roman" w:cs="Times New Roman"/>
          <w:color w:val="222222"/>
          <w:sz w:val="24"/>
          <w:szCs w:val="24"/>
          <w:shd w:val="clear" w:color="auto" w:fill="FFFFFF"/>
        </w:rPr>
        <w:t xml:space="preserve"> edn. New York: McGraw-Hill Education. </w:t>
      </w:r>
    </w:p>
    <w:p w14:paraId="367618EB" w14:textId="2897B6E7" w:rsidR="00D41A99" w:rsidRDefault="00D41A99"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Stock Analysis (2025) Tesla Inc. short-term operating activity ratios. Available at:</w:t>
      </w:r>
      <w:r w:rsidR="00BB447B">
        <w:rPr>
          <w:rFonts w:ascii="Times New Roman" w:hAnsi="Times New Roman" w:cs="Times New Roman"/>
          <w:color w:val="222222"/>
          <w:sz w:val="24"/>
          <w:szCs w:val="24"/>
          <w:shd w:val="clear" w:color="auto" w:fill="FFFFFF"/>
        </w:rPr>
        <w:t xml:space="preserve"> </w:t>
      </w:r>
      <w:r w:rsidR="00BB447B" w:rsidRPr="00BB447B">
        <w:rPr>
          <w:rFonts w:ascii="Times New Roman" w:hAnsi="Times New Roman" w:cs="Times New Roman"/>
          <w:color w:val="222222"/>
          <w:sz w:val="24"/>
          <w:szCs w:val="24"/>
          <w:shd w:val="clear" w:color="auto" w:fill="FFFFFF"/>
        </w:rPr>
        <w:t> </w:t>
      </w:r>
      <w:hyperlink r:id="rId26" w:tgtFrame="_blank" w:history="1">
        <w:r w:rsidR="00BB447B" w:rsidRPr="00BB447B">
          <w:rPr>
            <w:rStyle w:val="Hyperlink"/>
            <w:rFonts w:ascii="Times New Roman" w:hAnsi="Times New Roman" w:cs="Times New Roman"/>
            <w:sz w:val="24"/>
            <w:szCs w:val="24"/>
            <w:shd w:val="clear" w:color="auto" w:fill="FFFFFF"/>
          </w:rPr>
          <w:t>https://www.stock-analysis-on.net/NASDAQ/Company/Tesla-Inc/Ratios/Short-term-Operating-Activity</w:t>
        </w:r>
      </w:hyperlink>
      <w:r w:rsidR="00BB447B" w:rsidRPr="00BB447B">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 xml:space="preserve"> (Accessed: 27 April 2026).</w:t>
      </w:r>
    </w:p>
    <w:p w14:paraId="3425ED69" w14:textId="56C46DA8" w:rsidR="00D41A99" w:rsidRDefault="00D41A99"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Tesla Inc. (2024) *From 10-K annual report 2024*. Available at:</w:t>
      </w:r>
      <w:r w:rsidR="00B14270">
        <w:rPr>
          <w:rFonts w:ascii="Times New Roman" w:hAnsi="Times New Roman" w:cs="Times New Roman"/>
          <w:color w:val="222222"/>
          <w:sz w:val="24"/>
          <w:szCs w:val="24"/>
          <w:shd w:val="clear" w:color="auto" w:fill="FFFFFF"/>
        </w:rPr>
        <w:t xml:space="preserve"> </w:t>
      </w:r>
      <w:hyperlink r:id="rId27" w:history="1">
        <w:r w:rsidR="00B14270" w:rsidRPr="009A0376">
          <w:rPr>
            <w:rStyle w:val="Hyperlink"/>
            <w:rFonts w:ascii="Times New Roman" w:hAnsi="Times New Roman" w:cs="Times New Roman"/>
            <w:sz w:val="24"/>
            <w:szCs w:val="24"/>
            <w:shd w:val="clear" w:color="auto" w:fill="FFFFFF"/>
          </w:rPr>
          <w:t>https://www.sec.gov/Archives/edgar/data/1318605/000162828025003063/tsla-20241231.htm</w:t>
        </w:r>
      </w:hyperlink>
      <w:r w:rsidR="00B14270" w:rsidRPr="00B14270">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(Accessed: 27 April 2026).</w:t>
      </w:r>
    </w:p>
    <w:p w14:paraId="3104ECDD" w14:textId="155CCF6C" w:rsidR="00D41A99" w:rsidRDefault="00B14270"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Taulia (2025) What is the cash conversion cycle (CCC)? Available at: </w:t>
      </w:r>
      <w:r w:rsidR="00BB447B" w:rsidRPr="00BB447B">
        <w:rPr>
          <w:rFonts w:ascii="Times New Roman" w:hAnsi="Times New Roman" w:cs="Times New Roman"/>
          <w:color w:val="222222"/>
          <w:sz w:val="24"/>
          <w:szCs w:val="24"/>
          <w:shd w:val="clear" w:color="auto" w:fill="FFFFFF"/>
        </w:rPr>
        <w:t> </w:t>
      </w:r>
      <w:hyperlink r:id="rId28" w:tgtFrame="_blank" w:history="1">
        <w:r w:rsidR="00BB447B" w:rsidRPr="00BB447B">
          <w:rPr>
            <w:rStyle w:val="Hyperlink"/>
            <w:rFonts w:ascii="Times New Roman" w:hAnsi="Times New Roman" w:cs="Times New Roman"/>
            <w:sz w:val="24"/>
            <w:szCs w:val="24"/>
            <w:shd w:val="clear" w:color="auto" w:fill="FFFFFF"/>
          </w:rPr>
          <w:t>https://taulia.com/glossary/what-is-the-cash-conversion-cycle-ccc</w:t>
        </w:r>
      </w:hyperlink>
      <w:r w:rsidR="00BB447B" w:rsidRPr="00BB447B">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 xml:space="preserve"> (Accessed:27 April 2026).</w:t>
      </w:r>
    </w:p>
    <w:p w14:paraId="6CC4368F" w14:textId="7E63D679" w:rsidR="00B14270" w:rsidRDefault="00B14270"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Tesla Inc. (2024) *From 10-Q quarterly report (June 30, 2024)*. Available at:</w:t>
      </w:r>
      <w:r w:rsidR="00BB447B" w:rsidRPr="00BB447B">
        <w:rPr>
          <w:rFonts w:ascii="Times New Roman" w:hAnsi="Times New Roman" w:cs="Times New Roman"/>
          <w:color w:val="222222"/>
          <w:sz w:val="24"/>
          <w:szCs w:val="24"/>
          <w:shd w:val="clear" w:color="auto" w:fill="FFFFFF"/>
        </w:rPr>
        <w:t> </w:t>
      </w:r>
      <w:hyperlink r:id="rId29" w:tgtFrame="_blank" w:history="1">
        <w:r w:rsidR="00BB447B" w:rsidRPr="00BB447B">
          <w:rPr>
            <w:rStyle w:val="Hyperlink"/>
            <w:rFonts w:ascii="Times New Roman" w:hAnsi="Times New Roman" w:cs="Times New Roman"/>
            <w:sz w:val="24"/>
            <w:szCs w:val="24"/>
            <w:shd w:val="clear" w:color="auto" w:fill="FFFFFF"/>
          </w:rPr>
          <w:t>https://www.sec.gov/Archives/edgar/data/1318605/000162828024032662/tsla-20240630.htm</w:t>
        </w:r>
      </w:hyperlink>
      <w:r w:rsidR="00BB447B" w:rsidRPr="00BB447B">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 xml:space="preserve"> (Accessed: 27 April 2026). </w:t>
      </w:r>
    </w:p>
    <w:p w14:paraId="4DB4300C" w14:textId="4C54C6B5" w:rsidR="00B14270" w:rsidRDefault="00B14270"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Tesla Inc. (2025) *From 10-K annual report 2025*. Available at:</w:t>
      </w:r>
      <w:r w:rsidR="00BB447B" w:rsidRPr="00BB447B">
        <w:rPr>
          <w:rFonts w:ascii="Times New Roman" w:hAnsi="Times New Roman" w:cs="Times New Roman"/>
          <w:color w:val="222222"/>
          <w:sz w:val="24"/>
          <w:szCs w:val="24"/>
          <w:shd w:val="clear" w:color="auto" w:fill="FFFFFF"/>
        </w:rPr>
        <w:t> </w:t>
      </w:r>
      <w:hyperlink r:id="rId30" w:tgtFrame="_blank" w:history="1">
        <w:r w:rsidR="00BB447B" w:rsidRPr="00BB447B">
          <w:rPr>
            <w:rStyle w:val="Hyperlink"/>
            <w:rFonts w:ascii="Times New Roman" w:hAnsi="Times New Roman" w:cs="Times New Roman"/>
            <w:sz w:val="24"/>
            <w:szCs w:val="24"/>
            <w:shd w:val="clear" w:color="auto" w:fill="FFFFFF"/>
          </w:rPr>
          <w:t>https://www.sec.gov/Archives/edgar/data/1318605/000162828026003952/tsla-20251231.htm</w:t>
        </w:r>
      </w:hyperlink>
      <w:r w:rsidR="00BB447B" w:rsidRPr="00BB447B">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 xml:space="preserve"> (Accessed: 27 April 2026).</w:t>
      </w:r>
    </w:p>
    <w:p w14:paraId="2CAA6D79" w14:textId="350ED1CA" w:rsidR="00B14270" w:rsidRDefault="00B14270"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Tesla inc. (2025) SEC exhibit 99.1-financial risk disclosure. Available at:</w:t>
      </w:r>
      <w:r w:rsidR="00BB447B">
        <w:rPr>
          <w:rFonts w:ascii="Times New Roman" w:hAnsi="Times New Roman" w:cs="Times New Roman"/>
          <w:color w:val="222222"/>
          <w:sz w:val="24"/>
          <w:szCs w:val="24"/>
          <w:shd w:val="clear" w:color="auto" w:fill="FFFFFF"/>
        </w:rPr>
        <w:t xml:space="preserve"> </w:t>
      </w:r>
      <w:r w:rsidR="00BB447B" w:rsidRPr="00BB447B">
        <w:rPr>
          <w:rFonts w:ascii="Times New Roman" w:hAnsi="Times New Roman" w:cs="Times New Roman"/>
          <w:color w:val="222222"/>
          <w:sz w:val="24"/>
          <w:szCs w:val="24"/>
          <w:shd w:val="clear" w:color="auto" w:fill="FFFFFF"/>
        </w:rPr>
        <w:t> </w:t>
      </w:r>
      <w:hyperlink r:id="rId31" w:tgtFrame="_blank" w:history="1">
        <w:r w:rsidR="00BB447B" w:rsidRPr="00BB447B">
          <w:rPr>
            <w:rStyle w:val="Hyperlink"/>
            <w:rFonts w:ascii="Times New Roman" w:hAnsi="Times New Roman" w:cs="Times New Roman"/>
            <w:sz w:val="24"/>
            <w:szCs w:val="24"/>
            <w:shd w:val="clear" w:color="auto" w:fill="FFFFFF"/>
          </w:rPr>
          <w:t>https://www.sec.gov/Archives/edgar/data/1318605/000162828025045861/exhibit991.htm</w:t>
        </w:r>
      </w:hyperlink>
      <w:r w:rsidR="00BB447B" w:rsidRPr="00BB447B">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 xml:space="preserve"> (Accessed: 27 April 2026). </w:t>
      </w:r>
    </w:p>
    <w:p w14:paraId="0FE2A43F" w14:textId="10EBD025" w:rsidR="00B14270" w:rsidRDefault="001C4893"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Tesla Inc. (2025) *Tesla revenue 2012-2025*. Available at: </w:t>
      </w:r>
      <w:r w:rsidRPr="001C4893">
        <w:rPr>
          <w:rFonts w:ascii="Times New Roman" w:hAnsi="Times New Roman" w:cs="Times New Roman"/>
          <w:color w:val="222222"/>
          <w:sz w:val="24"/>
          <w:szCs w:val="24"/>
          <w:shd w:val="clear" w:color="auto" w:fill="FFFFFF"/>
        </w:rPr>
        <w:t> </w:t>
      </w:r>
      <w:hyperlink r:id="rId32" w:tgtFrame="_blank" w:history="1">
        <w:r w:rsidRPr="001C4893">
          <w:rPr>
            <w:rStyle w:val="Hyperlink"/>
            <w:rFonts w:ascii="Times New Roman" w:hAnsi="Times New Roman" w:cs="Times New Roman"/>
            <w:sz w:val="24"/>
            <w:szCs w:val="24"/>
            <w:shd w:val="clear" w:color="auto" w:fill="FFFFFF"/>
          </w:rPr>
          <w:t>https://www.macrotrends.net/stocks/charts/TSLA/tesla/revenue</w:t>
        </w:r>
      </w:hyperlink>
      <w:r w:rsidRPr="001C4893">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 xml:space="preserve"> (Accessed: 27 April 2026).</w:t>
      </w:r>
    </w:p>
    <w:p w14:paraId="7540920C" w14:textId="598E5FA7" w:rsidR="001C4893" w:rsidRDefault="001C4893"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Tesla Inc. (2026) Q4 2025 investor update. Available at:</w:t>
      </w:r>
      <w:r w:rsidRPr="001C4893">
        <w:rPr>
          <w:rFonts w:ascii="Times New Roman" w:hAnsi="Times New Roman" w:cs="Times New Roman"/>
          <w:color w:val="222222"/>
          <w:sz w:val="24"/>
          <w:szCs w:val="24"/>
          <w:shd w:val="clear" w:color="auto" w:fill="FFFFFF"/>
        </w:rPr>
        <w:t> </w:t>
      </w:r>
      <w:hyperlink r:id="rId33" w:tgtFrame="_blank" w:history="1">
        <w:r w:rsidRPr="001C4893">
          <w:rPr>
            <w:rStyle w:val="Hyperlink"/>
            <w:rFonts w:ascii="Times New Roman" w:hAnsi="Times New Roman" w:cs="Times New Roman"/>
            <w:sz w:val="24"/>
            <w:szCs w:val="24"/>
            <w:shd w:val="clear" w:color="auto" w:fill="FFFFFF"/>
          </w:rPr>
          <w:t>https://assets-ir.tesla.com/tesla-contents/IR/TSLA-Q4-2025-Update.pdf</w:t>
        </w:r>
      </w:hyperlink>
      <w:r w:rsidRPr="001C4893">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 xml:space="preserve"> (Accessed 27 April 2026).</w:t>
      </w:r>
    </w:p>
    <w:p w14:paraId="2ABE1BCD" w14:textId="635EE46D" w:rsidR="001C4893" w:rsidRPr="0086612A" w:rsidRDefault="001C4893" w:rsidP="0086612A">
      <w:pPr>
        <w:pStyle w:val="ListParagraph"/>
        <w:numPr>
          <w:ilvl w:val="0"/>
          <w:numId w:val="65"/>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Wall Street Journal (2024) ‘Tesla’s global vehicle deliveries fell in 2024 for the first time in years’, The Wall Street Journal, 2 January. Available at:</w:t>
      </w:r>
      <w:r w:rsidRPr="001C4893">
        <w:rPr>
          <w:rFonts w:ascii="Segoe UI" w:hAnsi="Segoe UI" w:cs="Segoe UI"/>
          <w:color w:val="F9FAFB"/>
          <w:shd w:val="clear" w:color="auto" w:fill="151517"/>
        </w:rPr>
        <w:t xml:space="preserve"> </w:t>
      </w:r>
      <w:hyperlink r:id="rId34" w:history="1">
        <w:r w:rsidR="00B36AB2" w:rsidRPr="009A0376">
          <w:rPr>
            <w:rStyle w:val="Hyperlink"/>
            <w:rFonts w:ascii="Times New Roman" w:hAnsi="Times New Roman" w:cs="Times New Roman"/>
            <w:sz w:val="24"/>
            <w:szCs w:val="24"/>
            <w:shd w:val="clear" w:color="auto" w:fill="FFFFFF"/>
          </w:rPr>
          <w:t>https://www.wsj.com/business/autos/teslas-global-vehicle-deliveries-fell-in-2024-for-the-first-time-in-years-03887c5e</w:t>
        </w:r>
      </w:hyperlink>
      <w:r w:rsidRPr="001C4893">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 xml:space="preserve"> (Accessed: 27 April 2026).</w:t>
      </w:r>
    </w:p>
    <w:p w14:paraId="2A759651" w14:textId="77777777" w:rsidR="0032243F" w:rsidRDefault="0032243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14:paraId="72C4F991" w14:textId="6C1AADF2" w:rsidR="00E13F34" w:rsidRPr="00E13F34" w:rsidRDefault="00E13F34" w:rsidP="00E13F34">
      <w:pPr>
        <w:pStyle w:val="Heading1"/>
        <w:rPr>
          <w:sz w:val="32"/>
          <w:szCs w:val="32"/>
        </w:rPr>
      </w:pPr>
      <w:bookmarkStart w:id="31" w:name="_Toc228106321"/>
      <w:r w:rsidRPr="00E13F34">
        <w:rPr>
          <w:sz w:val="32"/>
          <w:szCs w:val="32"/>
        </w:rPr>
        <w:lastRenderedPageBreak/>
        <w:t>Appendices</w:t>
      </w:r>
      <w:bookmarkEnd w:id="31"/>
    </w:p>
    <w:p w14:paraId="4A3BF17E" w14:textId="4926DBA4"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Appendix A: Key Financial Ratios (Tesla Inc. 2020–2024)</w:t>
      </w:r>
    </w:p>
    <w:p w14:paraId="78AC5C9D"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Table A1: Key Financial Ratios (2020–2024)</w:t>
      </w:r>
    </w:p>
    <w:p w14:paraId="0848EA07" w14:textId="02B012A1"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(Source: Tesla Annual Reports; Macrotrends; StockAnalysis; GuruFocus)</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32243F" w:rsidRPr="0032243F" w14:paraId="43CB0F71" w14:textId="77777777" w:rsidTr="0032243F">
        <w:tc>
          <w:tcPr>
            <w:tcW w:w="1558" w:type="dxa"/>
          </w:tcPr>
          <w:p w14:paraId="3C77F76C"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Ratio</w:t>
            </w:r>
          </w:p>
        </w:tc>
        <w:tc>
          <w:tcPr>
            <w:tcW w:w="1558" w:type="dxa"/>
          </w:tcPr>
          <w:p w14:paraId="615BAC2B"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2020</w:t>
            </w:r>
          </w:p>
        </w:tc>
        <w:tc>
          <w:tcPr>
            <w:tcW w:w="1558" w:type="dxa"/>
          </w:tcPr>
          <w:p w14:paraId="14E8E7D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2021</w:t>
            </w:r>
          </w:p>
        </w:tc>
        <w:tc>
          <w:tcPr>
            <w:tcW w:w="1558" w:type="dxa"/>
          </w:tcPr>
          <w:p w14:paraId="461293AC"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2022</w:t>
            </w:r>
          </w:p>
        </w:tc>
        <w:tc>
          <w:tcPr>
            <w:tcW w:w="1559" w:type="dxa"/>
          </w:tcPr>
          <w:p w14:paraId="51B7F74A"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2023</w:t>
            </w:r>
          </w:p>
        </w:tc>
        <w:tc>
          <w:tcPr>
            <w:tcW w:w="1559" w:type="dxa"/>
          </w:tcPr>
          <w:p w14:paraId="1996A881"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2024</w:t>
            </w:r>
          </w:p>
        </w:tc>
      </w:tr>
      <w:tr w:rsidR="0032243F" w:rsidRPr="0032243F" w14:paraId="29674278" w14:textId="77777777" w:rsidTr="0032243F">
        <w:tc>
          <w:tcPr>
            <w:tcW w:w="1558" w:type="dxa"/>
          </w:tcPr>
          <w:p w14:paraId="601C2CD4"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Net Profit Margin (%)</w:t>
            </w:r>
          </w:p>
        </w:tc>
        <w:tc>
          <w:tcPr>
            <w:tcW w:w="1558" w:type="dxa"/>
          </w:tcPr>
          <w:p w14:paraId="33F0A57F"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2.3%</w:t>
            </w:r>
          </w:p>
        </w:tc>
        <w:tc>
          <w:tcPr>
            <w:tcW w:w="1558" w:type="dxa"/>
          </w:tcPr>
          <w:p w14:paraId="3209C2DE"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10.3%</w:t>
            </w:r>
          </w:p>
        </w:tc>
        <w:tc>
          <w:tcPr>
            <w:tcW w:w="1558" w:type="dxa"/>
          </w:tcPr>
          <w:p w14:paraId="3B858E4C"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15.4%</w:t>
            </w:r>
          </w:p>
        </w:tc>
        <w:tc>
          <w:tcPr>
            <w:tcW w:w="1559" w:type="dxa"/>
          </w:tcPr>
          <w:p w14:paraId="0DB0D6AC"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15.5%</w:t>
            </w:r>
          </w:p>
        </w:tc>
        <w:tc>
          <w:tcPr>
            <w:tcW w:w="1559" w:type="dxa"/>
          </w:tcPr>
          <w:p w14:paraId="54284EE3"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7.3%</w:t>
            </w:r>
          </w:p>
        </w:tc>
      </w:tr>
      <w:tr w:rsidR="0032243F" w:rsidRPr="0032243F" w14:paraId="26F29D1B" w14:textId="77777777" w:rsidTr="0032243F">
        <w:tc>
          <w:tcPr>
            <w:tcW w:w="1558" w:type="dxa"/>
          </w:tcPr>
          <w:p w14:paraId="796DAD90"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ROCE (%)</w:t>
            </w:r>
          </w:p>
        </w:tc>
        <w:tc>
          <w:tcPr>
            <w:tcW w:w="1558" w:type="dxa"/>
          </w:tcPr>
          <w:p w14:paraId="7FA86173"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4.4%</w:t>
            </w:r>
          </w:p>
        </w:tc>
        <w:tc>
          <w:tcPr>
            <w:tcW w:w="1558" w:type="dxa"/>
          </w:tcPr>
          <w:p w14:paraId="79AF6798"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8.3%</w:t>
            </w:r>
          </w:p>
        </w:tc>
        <w:tc>
          <w:tcPr>
            <w:tcW w:w="1558" w:type="dxa"/>
          </w:tcPr>
          <w:p w14:paraId="592624EF"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13.3%</w:t>
            </w:r>
          </w:p>
        </w:tc>
        <w:tc>
          <w:tcPr>
            <w:tcW w:w="1559" w:type="dxa"/>
          </w:tcPr>
          <w:p w14:paraId="2763C243"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27.9%</w:t>
            </w:r>
          </w:p>
        </w:tc>
        <w:tc>
          <w:tcPr>
            <w:tcW w:w="1559" w:type="dxa"/>
          </w:tcPr>
          <w:p w14:paraId="39204B39"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16.2%</w:t>
            </w:r>
          </w:p>
        </w:tc>
      </w:tr>
      <w:tr w:rsidR="0032243F" w:rsidRPr="0032243F" w14:paraId="670BB494" w14:textId="77777777" w:rsidTr="0032243F">
        <w:tc>
          <w:tcPr>
            <w:tcW w:w="1558" w:type="dxa"/>
          </w:tcPr>
          <w:p w14:paraId="4481CEA7"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Current Ratio</w:t>
            </w:r>
          </w:p>
        </w:tc>
        <w:tc>
          <w:tcPr>
            <w:tcW w:w="1558" w:type="dxa"/>
          </w:tcPr>
          <w:p w14:paraId="42E1BF33"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1.88</w:t>
            </w:r>
          </w:p>
        </w:tc>
        <w:tc>
          <w:tcPr>
            <w:tcW w:w="1558" w:type="dxa"/>
          </w:tcPr>
          <w:p w14:paraId="6970DBE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2.02</w:t>
            </w:r>
          </w:p>
        </w:tc>
        <w:tc>
          <w:tcPr>
            <w:tcW w:w="1558" w:type="dxa"/>
          </w:tcPr>
          <w:p w14:paraId="29B0CE43"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2.16</w:t>
            </w:r>
          </w:p>
        </w:tc>
        <w:tc>
          <w:tcPr>
            <w:tcW w:w="1559" w:type="dxa"/>
          </w:tcPr>
          <w:p w14:paraId="7EE5B3A8"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1.73</w:t>
            </w:r>
          </w:p>
        </w:tc>
        <w:tc>
          <w:tcPr>
            <w:tcW w:w="1559" w:type="dxa"/>
          </w:tcPr>
          <w:p w14:paraId="4D2A33A2"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1.53</w:t>
            </w:r>
          </w:p>
        </w:tc>
      </w:tr>
      <w:tr w:rsidR="0032243F" w:rsidRPr="0032243F" w14:paraId="451DB922" w14:textId="77777777" w:rsidTr="0032243F">
        <w:tc>
          <w:tcPr>
            <w:tcW w:w="1558" w:type="dxa"/>
          </w:tcPr>
          <w:p w14:paraId="471B6CBA"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Quick Ratio</w:t>
            </w:r>
          </w:p>
        </w:tc>
        <w:tc>
          <w:tcPr>
            <w:tcW w:w="1558" w:type="dxa"/>
          </w:tcPr>
          <w:p w14:paraId="0227090B"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1.49</w:t>
            </w:r>
          </w:p>
        </w:tc>
        <w:tc>
          <w:tcPr>
            <w:tcW w:w="1558" w:type="dxa"/>
          </w:tcPr>
          <w:p w14:paraId="2E92ACEF"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1.42</w:t>
            </w:r>
          </w:p>
        </w:tc>
        <w:tc>
          <w:tcPr>
            <w:tcW w:w="1558" w:type="dxa"/>
          </w:tcPr>
          <w:p w14:paraId="4C0120AC"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1.53</w:t>
            </w:r>
          </w:p>
        </w:tc>
        <w:tc>
          <w:tcPr>
            <w:tcW w:w="1559" w:type="dxa"/>
          </w:tcPr>
          <w:p w14:paraId="624F3AC7"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1.13</w:t>
            </w:r>
          </w:p>
        </w:tc>
        <w:tc>
          <w:tcPr>
            <w:tcW w:w="1559" w:type="dxa"/>
          </w:tcPr>
          <w:p w14:paraId="148ECB66"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0.94</w:t>
            </w:r>
          </w:p>
        </w:tc>
      </w:tr>
      <w:tr w:rsidR="0032243F" w:rsidRPr="0032243F" w14:paraId="4A9053EA" w14:textId="77777777" w:rsidTr="0032243F">
        <w:tc>
          <w:tcPr>
            <w:tcW w:w="1558" w:type="dxa"/>
          </w:tcPr>
          <w:p w14:paraId="20542638"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Inventory Turnover</w:t>
            </w:r>
          </w:p>
        </w:tc>
        <w:tc>
          <w:tcPr>
            <w:tcW w:w="1558" w:type="dxa"/>
          </w:tcPr>
          <w:p w14:paraId="574AF627"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6.3</w:t>
            </w:r>
          </w:p>
        </w:tc>
        <w:tc>
          <w:tcPr>
            <w:tcW w:w="1558" w:type="dxa"/>
          </w:tcPr>
          <w:p w14:paraId="71D21EC4"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6.5</w:t>
            </w:r>
          </w:p>
        </w:tc>
        <w:tc>
          <w:tcPr>
            <w:tcW w:w="1558" w:type="dxa"/>
          </w:tcPr>
          <w:p w14:paraId="24F334EC"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6.0</w:t>
            </w:r>
          </w:p>
        </w:tc>
        <w:tc>
          <w:tcPr>
            <w:tcW w:w="1559" w:type="dxa"/>
          </w:tcPr>
          <w:p w14:paraId="214214FB"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5.98</w:t>
            </w:r>
          </w:p>
        </w:tc>
        <w:tc>
          <w:tcPr>
            <w:tcW w:w="1559" w:type="dxa"/>
          </w:tcPr>
          <w:p w14:paraId="7F2BB374"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6.52</w:t>
            </w:r>
          </w:p>
        </w:tc>
      </w:tr>
      <w:tr w:rsidR="0032243F" w:rsidRPr="0032243F" w14:paraId="6BDC89C5" w14:textId="77777777" w:rsidTr="0032243F">
        <w:tc>
          <w:tcPr>
            <w:tcW w:w="1558" w:type="dxa"/>
          </w:tcPr>
          <w:p w14:paraId="1DF00BB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Receivables Turnover</w:t>
            </w:r>
          </w:p>
        </w:tc>
        <w:tc>
          <w:tcPr>
            <w:tcW w:w="1558" w:type="dxa"/>
          </w:tcPr>
          <w:p w14:paraId="1CFDCE1C"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19.5</w:t>
            </w:r>
          </w:p>
        </w:tc>
        <w:tc>
          <w:tcPr>
            <w:tcW w:w="1558" w:type="dxa"/>
          </w:tcPr>
          <w:p w14:paraId="4FD8DA38"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20.7</w:t>
            </w:r>
          </w:p>
        </w:tc>
        <w:tc>
          <w:tcPr>
            <w:tcW w:w="1558" w:type="dxa"/>
          </w:tcPr>
          <w:p w14:paraId="4D386C36"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21.0</w:t>
            </w:r>
          </w:p>
        </w:tc>
        <w:tc>
          <w:tcPr>
            <w:tcW w:w="1559" w:type="dxa"/>
          </w:tcPr>
          <w:p w14:paraId="089C339B"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20.5</w:t>
            </w:r>
          </w:p>
        </w:tc>
        <w:tc>
          <w:tcPr>
            <w:tcW w:w="1559" w:type="dxa"/>
          </w:tcPr>
          <w:p w14:paraId="6B746892"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20.7</w:t>
            </w:r>
          </w:p>
        </w:tc>
      </w:tr>
      <w:tr w:rsidR="0032243F" w:rsidRPr="0032243F" w14:paraId="7CA02140" w14:textId="77777777" w:rsidTr="0032243F">
        <w:tc>
          <w:tcPr>
            <w:tcW w:w="1558" w:type="dxa"/>
          </w:tcPr>
          <w:p w14:paraId="069E3797"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Debt-to-Equity</w:t>
            </w:r>
          </w:p>
        </w:tc>
        <w:tc>
          <w:tcPr>
            <w:tcW w:w="1558" w:type="dxa"/>
          </w:tcPr>
          <w:p w14:paraId="7EC75A6B"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1.63</w:t>
            </w:r>
          </w:p>
        </w:tc>
        <w:tc>
          <w:tcPr>
            <w:tcW w:w="1558" w:type="dxa"/>
          </w:tcPr>
          <w:p w14:paraId="40E4AE69"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0.68</w:t>
            </w:r>
          </w:p>
        </w:tc>
        <w:tc>
          <w:tcPr>
            <w:tcW w:w="1558" w:type="dxa"/>
          </w:tcPr>
          <w:p w14:paraId="2003CF9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0.39</w:t>
            </w:r>
          </w:p>
        </w:tc>
        <w:tc>
          <w:tcPr>
            <w:tcW w:w="1559" w:type="dxa"/>
          </w:tcPr>
          <w:p w14:paraId="4D3F4E03"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0.18</w:t>
            </w:r>
          </w:p>
        </w:tc>
        <w:tc>
          <w:tcPr>
            <w:tcW w:w="1559" w:type="dxa"/>
          </w:tcPr>
          <w:p w14:paraId="10A09C7D"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0.72</w:t>
            </w:r>
          </w:p>
        </w:tc>
      </w:tr>
      <w:tr w:rsidR="0032243F" w:rsidRPr="008F4248" w14:paraId="0311C845" w14:textId="77777777" w:rsidTr="0032243F">
        <w:tc>
          <w:tcPr>
            <w:tcW w:w="1558" w:type="dxa"/>
          </w:tcPr>
          <w:p w14:paraId="26289D2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EPS ($)</w:t>
            </w:r>
          </w:p>
        </w:tc>
        <w:tc>
          <w:tcPr>
            <w:tcW w:w="1558" w:type="dxa"/>
          </w:tcPr>
          <w:p w14:paraId="7F2168E2"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0.64</w:t>
            </w:r>
          </w:p>
        </w:tc>
        <w:tc>
          <w:tcPr>
            <w:tcW w:w="1558" w:type="dxa"/>
          </w:tcPr>
          <w:p w14:paraId="3FC19B24"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2.26</w:t>
            </w:r>
          </w:p>
        </w:tc>
        <w:tc>
          <w:tcPr>
            <w:tcW w:w="1558" w:type="dxa"/>
          </w:tcPr>
          <w:p w14:paraId="0169836E"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3.62</w:t>
            </w:r>
          </w:p>
        </w:tc>
        <w:tc>
          <w:tcPr>
            <w:tcW w:w="1559" w:type="dxa"/>
          </w:tcPr>
          <w:p w14:paraId="47E3D426"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4.30</w:t>
            </w:r>
          </w:p>
        </w:tc>
        <w:tc>
          <w:tcPr>
            <w:tcW w:w="1559" w:type="dxa"/>
          </w:tcPr>
          <w:p w14:paraId="0A4E90B3" w14:textId="77777777" w:rsidR="0032243F" w:rsidRPr="008F4248"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2.40</w:t>
            </w:r>
          </w:p>
        </w:tc>
      </w:tr>
    </w:tbl>
    <w:p w14:paraId="16E7F994" w14:textId="37C750A1" w:rsidR="002B1A5E" w:rsidRDefault="002B1A5E" w:rsidP="0032243F">
      <w:pPr>
        <w:spacing w:line="360" w:lineRule="auto"/>
        <w:jc w:val="both"/>
        <w:rPr>
          <w:rFonts w:ascii="Times New Roman" w:hAnsi="Times New Roman" w:cs="Times New Roman"/>
          <w:sz w:val="24"/>
          <w:szCs w:val="24"/>
        </w:rPr>
      </w:pPr>
    </w:p>
    <w:p w14:paraId="279A6D0E" w14:textId="1C9D8F65"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Appendix B: Cash Conversion Cycle (Working Capital)</w:t>
      </w:r>
    </w:p>
    <w:p w14:paraId="1262F5E1" w14:textId="6392E08B"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Table B1: Working Capital Metrics</w:t>
      </w:r>
    </w:p>
    <w:tbl>
      <w:tblPr>
        <w:tblStyle w:val="TableGrid"/>
        <w:tblW w:w="0" w:type="auto"/>
        <w:tblLook w:val="04A0" w:firstRow="1" w:lastRow="0" w:firstColumn="1" w:lastColumn="0" w:noHBand="0" w:noVBand="1"/>
      </w:tblPr>
      <w:tblGrid>
        <w:gridCol w:w="4675"/>
        <w:gridCol w:w="4675"/>
      </w:tblGrid>
      <w:tr w:rsidR="0032243F" w:rsidRPr="0032243F" w14:paraId="458C5670" w14:textId="77777777" w:rsidTr="0032243F">
        <w:tc>
          <w:tcPr>
            <w:tcW w:w="4675" w:type="dxa"/>
          </w:tcPr>
          <w:p w14:paraId="7F6BCDED"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Metric</w:t>
            </w:r>
          </w:p>
        </w:tc>
        <w:tc>
          <w:tcPr>
            <w:tcW w:w="4675" w:type="dxa"/>
          </w:tcPr>
          <w:p w14:paraId="65C8059D"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Value</w:t>
            </w:r>
          </w:p>
        </w:tc>
      </w:tr>
      <w:tr w:rsidR="0032243F" w:rsidRPr="0032243F" w14:paraId="1DFA17ED" w14:textId="77777777" w:rsidTr="0032243F">
        <w:tc>
          <w:tcPr>
            <w:tcW w:w="4675" w:type="dxa"/>
          </w:tcPr>
          <w:p w14:paraId="33DCF0F0"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Inventory Days</w:t>
            </w:r>
          </w:p>
        </w:tc>
        <w:tc>
          <w:tcPr>
            <w:tcW w:w="4675" w:type="dxa"/>
          </w:tcPr>
          <w:p w14:paraId="3E13F06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~56 days</w:t>
            </w:r>
          </w:p>
        </w:tc>
      </w:tr>
      <w:tr w:rsidR="0032243F" w:rsidRPr="0032243F" w14:paraId="67F8327E" w14:textId="77777777" w:rsidTr="0032243F">
        <w:tc>
          <w:tcPr>
            <w:tcW w:w="4675" w:type="dxa"/>
          </w:tcPr>
          <w:p w14:paraId="1E74B2A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Receivable Days</w:t>
            </w:r>
          </w:p>
        </w:tc>
        <w:tc>
          <w:tcPr>
            <w:tcW w:w="4675" w:type="dxa"/>
          </w:tcPr>
          <w:p w14:paraId="7DF62BB8"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~17 days</w:t>
            </w:r>
          </w:p>
        </w:tc>
      </w:tr>
      <w:tr w:rsidR="0032243F" w:rsidRPr="0032243F" w14:paraId="1713E0F2" w14:textId="77777777" w:rsidTr="0032243F">
        <w:tc>
          <w:tcPr>
            <w:tcW w:w="4675" w:type="dxa"/>
          </w:tcPr>
          <w:p w14:paraId="37B6075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Payable Days</w:t>
            </w:r>
          </w:p>
        </w:tc>
        <w:tc>
          <w:tcPr>
            <w:tcW w:w="4675" w:type="dxa"/>
          </w:tcPr>
          <w:p w14:paraId="5D440F82"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~60 days</w:t>
            </w:r>
          </w:p>
        </w:tc>
      </w:tr>
      <w:tr w:rsidR="0032243F" w:rsidRPr="008F4248" w14:paraId="36D86F54" w14:textId="77777777" w:rsidTr="0032243F">
        <w:tc>
          <w:tcPr>
            <w:tcW w:w="4675" w:type="dxa"/>
          </w:tcPr>
          <w:p w14:paraId="70A95AE9"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Cash Conversion Cycle</w:t>
            </w:r>
          </w:p>
        </w:tc>
        <w:tc>
          <w:tcPr>
            <w:tcW w:w="4675" w:type="dxa"/>
          </w:tcPr>
          <w:p w14:paraId="2C1182EC" w14:textId="77777777" w:rsidR="0032243F" w:rsidRPr="008F4248"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~13–15 days</w:t>
            </w:r>
          </w:p>
        </w:tc>
      </w:tr>
    </w:tbl>
    <w:p w14:paraId="746CF56C" w14:textId="14BD1FF2" w:rsidR="0032243F" w:rsidRDefault="0032243F" w:rsidP="0032243F">
      <w:pPr>
        <w:spacing w:line="360" w:lineRule="auto"/>
        <w:jc w:val="both"/>
        <w:rPr>
          <w:rFonts w:ascii="Times New Roman" w:hAnsi="Times New Roman" w:cs="Times New Roman"/>
          <w:sz w:val="24"/>
          <w:szCs w:val="24"/>
        </w:rPr>
      </w:pPr>
    </w:p>
    <w:p w14:paraId="64B69037"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Appendix C: Investment Appraisal Calculations</w:t>
      </w:r>
    </w:p>
    <w:p w14:paraId="4AC78557" w14:textId="09FD92E2"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lastRenderedPageBreak/>
        <w:t>Table C1: Payback Period</w:t>
      </w:r>
    </w:p>
    <w:tbl>
      <w:tblPr>
        <w:tblStyle w:val="TableGrid"/>
        <w:tblW w:w="0" w:type="auto"/>
        <w:tblLook w:val="04A0" w:firstRow="1" w:lastRow="0" w:firstColumn="1" w:lastColumn="0" w:noHBand="0" w:noVBand="1"/>
      </w:tblPr>
      <w:tblGrid>
        <w:gridCol w:w="4675"/>
        <w:gridCol w:w="4675"/>
      </w:tblGrid>
      <w:tr w:rsidR="0032243F" w:rsidRPr="0032243F" w14:paraId="5D1FDD60" w14:textId="77777777" w:rsidTr="0032243F">
        <w:tc>
          <w:tcPr>
            <w:tcW w:w="4675" w:type="dxa"/>
          </w:tcPr>
          <w:p w14:paraId="188634C4"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Project</w:t>
            </w:r>
          </w:p>
        </w:tc>
        <w:tc>
          <w:tcPr>
            <w:tcW w:w="4675" w:type="dxa"/>
          </w:tcPr>
          <w:p w14:paraId="6FA30C68"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Payback Period</w:t>
            </w:r>
          </w:p>
        </w:tc>
      </w:tr>
      <w:tr w:rsidR="0032243F" w:rsidRPr="0032243F" w14:paraId="5493ADC3" w14:textId="77777777" w:rsidTr="0032243F">
        <w:tc>
          <w:tcPr>
            <w:tcW w:w="4675" w:type="dxa"/>
          </w:tcPr>
          <w:p w14:paraId="2A7CA5C9"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A</w:t>
            </w:r>
          </w:p>
        </w:tc>
        <w:tc>
          <w:tcPr>
            <w:tcW w:w="4675" w:type="dxa"/>
          </w:tcPr>
          <w:p w14:paraId="0AF0D7CE"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4.5 years</w:t>
            </w:r>
          </w:p>
        </w:tc>
      </w:tr>
      <w:tr w:rsidR="0032243F" w:rsidRPr="0032243F" w14:paraId="092FFF62" w14:textId="77777777" w:rsidTr="0032243F">
        <w:tc>
          <w:tcPr>
            <w:tcW w:w="4675" w:type="dxa"/>
          </w:tcPr>
          <w:p w14:paraId="407DE6F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B</w:t>
            </w:r>
          </w:p>
        </w:tc>
        <w:tc>
          <w:tcPr>
            <w:tcW w:w="4675" w:type="dxa"/>
          </w:tcPr>
          <w:p w14:paraId="39122C08"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4.55 years</w:t>
            </w:r>
          </w:p>
        </w:tc>
      </w:tr>
      <w:tr w:rsidR="0032243F" w:rsidRPr="0032243F" w14:paraId="181C75FD" w14:textId="77777777" w:rsidTr="0032243F">
        <w:tc>
          <w:tcPr>
            <w:tcW w:w="4675" w:type="dxa"/>
          </w:tcPr>
          <w:p w14:paraId="1165093A"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C</w:t>
            </w:r>
          </w:p>
        </w:tc>
        <w:tc>
          <w:tcPr>
            <w:tcW w:w="4675" w:type="dxa"/>
          </w:tcPr>
          <w:p w14:paraId="6C1FB981"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3.6 years</w:t>
            </w:r>
          </w:p>
        </w:tc>
      </w:tr>
    </w:tbl>
    <w:p w14:paraId="5854438E" w14:textId="27891AE8"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Table C2: ARR</w:t>
      </w:r>
    </w:p>
    <w:tbl>
      <w:tblPr>
        <w:tblStyle w:val="TableGrid"/>
        <w:tblW w:w="0" w:type="auto"/>
        <w:tblLook w:val="04A0" w:firstRow="1" w:lastRow="0" w:firstColumn="1" w:lastColumn="0" w:noHBand="0" w:noVBand="1"/>
      </w:tblPr>
      <w:tblGrid>
        <w:gridCol w:w="4675"/>
        <w:gridCol w:w="4675"/>
      </w:tblGrid>
      <w:tr w:rsidR="0032243F" w:rsidRPr="0032243F" w14:paraId="211BFD87" w14:textId="77777777" w:rsidTr="0032243F">
        <w:tc>
          <w:tcPr>
            <w:tcW w:w="4675" w:type="dxa"/>
          </w:tcPr>
          <w:p w14:paraId="5D4D112A"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Project</w:t>
            </w:r>
          </w:p>
        </w:tc>
        <w:tc>
          <w:tcPr>
            <w:tcW w:w="4675" w:type="dxa"/>
          </w:tcPr>
          <w:p w14:paraId="70986307"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ARR</w:t>
            </w:r>
          </w:p>
        </w:tc>
      </w:tr>
      <w:tr w:rsidR="0032243F" w:rsidRPr="0032243F" w14:paraId="57558580" w14:textId="77777777" w:rsidTr="0032243F">
        <w:tc>
          <w:tcPr>
            <w:tcW w:w="4675" w:type="dxa"/>
          </w:tcPr>
          <w:p w14:paraId="49D9F2CB"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A</w:t>
            </w:r>
          </w:p>
        </w:tc>
        <w:tc>
          <w:tcPr>
            <w:tcW w:w="4675" w:type="dxa"/>
          </w:tcPr>
          <w:p w14:paraId="49442BEA"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1.6%</w:t>
            </w:r>
          </w:p>
        </w:tc>
      </w:tr>
      <w:tr w:rsidR="0032243F" w:rsidRPr="0032243F" w14:paraId="691B4913" w14:textId="77777777" w:rsidTr="0032243F">
        <w:tc>
          <w:tcPr>
            <w:tcW w:w="4675" w:type="dxa"/>
          </w:tcPr>
          <w:p w14:paraId="06EF6302"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B</w:t>
            </w:r>
          </w:p>
        </w:tc>
        <w:tc>
          <w:tcPr>
            <w:tcW w:w="4675" w:type="dxa"/>
          </w:tcPr>
          <w:p w14:paraId="28B5FF99"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w:t>
            </w:r>
          </w:p>
        </w:tc>
      </w:tr>
      <w:tr w:rsidR="0032243F" w:rsidRPr="0032243F" w14:paraId="5A37457A" w14:textId="77777777" w:rsidTr="0032243F">
        <w:tc>
          <w:tcPr>
            <w:tcW w:w="4675" w:type="dxa"/>
          </w:tcPr>
          <w:p w14:paraId="56CF5C7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C</w:t>
            </w:r>
          </w:p>
        </w:tc>
        <w:tc>
          <w:tcPr>
            <w:tcW w:w="4675" w:type="dxa"/>
          </w:tcPr>
          <w:p w14:paraId="6C1AC653"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6%</w:t>
            </w:r>
          </w:p>
        </w:tc>
      </w:tr>
    </w:tbl>
    <w:p w14:paraId="67B03263" w14:textId="5BA66D76"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Table C3: NPV Calculations (10%)</w:t>
      </w:r>
    </w:p>
    <w:tbl>
      <w:tblPr>
        <w:tblStyle w:val="TableGrid"/>
        <w:tblW w:w="0" w:type="auto"/>
        <w:tblLook w:val="04A0" w:firstRow="1" w:lastRow="0" w:firstColumn="1" w:lastColumn="0" w:noHBand="0" w:noVBand="1"/>
      </w:tblPr>
      <w:tblGrid>
        <w:gridCol w:w="1870"/>
        <w:gridCol w:w="1870"/>
        <w:gridCol w:w="1870"/>
        <w:gridCol w:w="1870"/>
        <w:gridCol w:w="1870"/>
      </w:tblGrid>
      <w:tr w:rsidR="0032243F" w:rsidRPr="0032243F" w14:paraId="2B60507B" w14:textId="77777777" w:rsidTr="0032243F">
        <w:tc>
          <w:tcPr>
            <w:tcW w:w="1870" w:type="dxa"/>
          </w:tcPr>
          <w:p w14:paraId="4195224E"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Year</w:t>
            </w:r>
          </w:p>
        </w:tc>
        <w:tc>
          <w:tcPr>
            <w:tcW w:w="1870" w:type="dxa"/>
          </w:tcPr>
          <w:p w14:paraId="1151DBDC"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DF</w:t>
            </w:r>
          </w:p>
        </w:tc>
        <w:tc>
          <w:tcPr>
            <w:tcW w:w="1870" w:type="dxa"/>
          </w:tcPr>
          <w:p w14:paraId="0C6C5261"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A (£m)</w:t>
            </w:r>
          </w:p>
        </w:tc>
        <w:tc>
          <w:tcPr>
            <w:tcW w:w="1870" w:type="dxa"/>
          </w:tcPr>
          <w:p w14:paraId="32A10358"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B (£m)</w:t>
            </w:r>
          </w:p>
        </w:tc>
        <w:tc>
          <w:tcPr>
            <w:tcW w:w="1870" w:type="dxa"/>
          </w:tcPr>
          <w:p w14:paraId="660A11F8"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C (£m)</w:t>
            </w:r>
          </w:p>
        </w:tc>
      </w:tr>
      <w:tr w:rsidR="0032243F" w:rsidRPr="0032243F" w14:paraId="478B6A81" w14:textId="77777777" w:rsidTr="0032243F">
        <w:tc>
          <w:tcPr>
            <w:tcW w:w="1870" w:type="dxa"/>
          </w:tcPr>
          <w:p w14:paraId="28FC3C0D"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w:t>
            </w:r>
          </w:p>
        </w:tc>
        <w:tc>
          <w:tcPr>
            <w:tcW w:w="1870" w:type="dxa"/>
          </w:tcPr>
          <w:p w14:paraId="6F988F7E"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0.909</w:t>
            </w:r>
          </w:p>
        </w:tc>
        <w:tc>
          <w:tcPr>
            <w:tcW w:w="1870" w:type="dxa"/>
          </w:tcPr>
          <w:p w14:paraId="4AC5CDA2"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9.09</w:t>
            </w:r>
          </w:p>
        </w:tc>
        <w:tc>
          <w:tcPr>
            <w:tcW w:w="1870" w:type="dxa"/>
          </w:tcPr>
          <w:p w14:paraId="216E993E"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9.99</w:t>
            </w:r>
          </w:p>
        </w:tc>
        <w:tc>
          <w:tcPr>
            <w:tcW w:w="1870" w:type="dxa"/>
          </w:tcPr>
          <w:p w14:paraId="2AF9ADC0"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4.55</w:t>
            </w:r>
          </w:p>
        </w:tc>
      </w:tr>
      <w:tr w:rsidR="0032243F" w:rsidRPr="0032243F" w14:paraId="11A261F5" w14:textId="77777777" w:rsidTr="0032243F">
        <w:tc>
          <w:tcPr>
            <w:tcW w:w="1870" w:type="dxa"/>
          </w:tcPr>
          <w:p w14:paraId="4A81A2D7"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2</w:t>
            </w:r>
          </w:p>
        </w:tc>
        <w:tc>
          <w:tcPr>
            <w:tcW w:w="1870" w:type="dxa"/>
          </w:tcPr>
          <w:p w14:paraId="6A50F2FC"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0.826</w:t>
            </w:r>
          </w:p>
        </w:tc>
        <w:tc>
          <w:tcPr>
            <w:tcW w:w="1870" w:type="dxa"/>
          </w:tcPr>
          <w:p w14:paraId="3E86A86E"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9.91</w:t>
            </w:r>
          </w:p>
        </w:tc>
        <w:tc>
          <w:tcPr>
            <w:tcW w:w="1870" w:type="dxa"/>
          </w:tcPr>
          <w:p w14:paraId="4EF8599A"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9.09</w:t>
            </w:r>
          </w:p>
        </w:tc>
        <w:tc>
          <w:tcPr>
            <w:tcW w:w="1870" w:type="dxa"/>
          </w:tcPr>
          <w:p w14:paraId="28925A63"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8.26</w:t>
            </w:r>
          </w:p>
        </w:tc>
      </w:tr>
      <w:tr w:rsidR="0032243F" w:rsidRPr="0032243F" w14:paraId="1EE24975" w14:textId="77777777" w:rsidTr="0032243F">
        <w:tc>
          <w:tcPr>
            <w:tcW w:w="1870" w:type="dxa"/>
          </w:tcPr>
          <w:p w14:paraId="1D94AD40"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3</w:t>
            </w:r>
          </w:p>
        </w:tc>
        <w:tc>
          <w:tcPr>
            <w:tcW w:w="1870" w:type="dxa"/>
          </w:tcPr>
          <w:p w14:paraId="6BC7416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0.751</w:t>
            </w:r>
          </w:p>
        </w:tc>
        <w:tc>
          <w:tcPr>
            <w:tcW w:w="1870" w:type="dxa"/>
          </w:tcPr>
          <w:p w14:paraId="5624B507"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10.51</w:t>
            </w:r>
          </w:p>
        </w:tc>
        <w:tc>
          <w:tcPr>
            <w:tcW w:w="1870" w:type="dxa"/>
          </w:tcPr>
          <w:p w14:paraId="5941B8C4"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8.26</w:t>
            </w:r>
          </w:p>
        </w:tc>
        <w:tc>
          <w:tcPr>
            <w:tcW w:w="1870" w:type="dxa"/>
          </w:tcPr>
          <w:p w14:paraId="495A0E4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15.02</w:t>
            </w:r>
          </w:p>
        </w:tc>
      </w:tr>
      <w:tr w:rsidR="0032243F" w:rsidRPr="0032243F" w14:paraId="18D4DA07" w14:textId="77777777" w:rsidTr="0032243F">
        <w:tc>
          <w:tcPr>
            <w:tcW w:w="1870" w:type="dxa"/>
          </w:tcPr>
          <w:p w14:paraId="6A28BF8E"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4</w:t>
            </w:r>
          </w:p>
        </w:tc>
        <w:tc>
          <w:tcPr>
            <w:tcW w:w="1870" w:type="dxa"/>
          </w:tcPr>
          <w:p w14:paraId="38499150"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0.683</w:t>
            </w:r>
          </w:p>
        </w:tc>
        <w:tc>
          <w:tcPr>
            <w:tcW w:w="1870" w:type="dxa"/>
          </w:tcPr>
          <w:p w14:paraId="79588506"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6.83</w:t>
            </w:r>
          </w:p>
        </w:tc>
        <w:tc>
          <w:tcPr>
            <w:tcW w:w="1870" w:type="dxa"/>
          </w:tcPr>
          <w:p w14:paraId="53F424A6"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7.51</w:t>
            </w:r>
          </w:p>
        </w:tc>
        <w:tc>
          <w:tcPr>
            <w:tcW w:w="1870" w:type="dxa"/>
          </w:tcPr>
          <w:p w14:paraId="582EDCAE"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17.08</w:t>
            </w:r>
          </w:p>
        </w:tc>
      </w:tr>
      <w:tr w:rsidR="0032243F" w:rsidRPr="0032243F" w14:paraId="68C58C85" w14:textId="77777777" w:rsidTr="0032243F">
        <w:tc>
          <w:tcPr>
            <w:tcW w:w="1870" w:type="dxa"/>
          </w:tcPr>
          <w:p w14:paraId="38BCF7B7"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5</w:t>
            </w:r>
          </w:p>
        </w:tc>
        <w:tc>
          <w:tcPr>
            <w:tcW w:w="1870" w:type="dxa"/>
          </w:tcPr>
          <w:p w14:paraId="4477F1A9"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0.621</w:t>
            </w:r>
          </w:p>
        </w:tc>
        <w:tc>
          <w:tcPr>
            <w:tcW w:w="1870" w:type="dxa"/>
          </w:tcPr>
          <w:p w14:paraId="487EB37D"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4.97</w:t>
            </w:r>
          </w:p>
        </w:tc>
        <w:tc>
          <w:tcPr>
            <w:tcW w:w="1870" w:type="dxa"/>
          </w:tcPr>
          <w:p w14:paraId="3FB8AD1C"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6.83</w:t>
            </w:r>
          </w:p>
        </w:tc>
        <w:tc>
          <w:tcPr>
            <w:tcW w:w="1870" w:type="dxa"/>
          </w:tcPr>
          <w:p w14:paraId="2AD5D7D3"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3.11</w:t>
            </w:r>
          </w:p>
        </w:tc>
      </w:tr>
      <w:tr w:rsidR="0032243F" w:rsidRPr="0032243F" w14:paraId="40E10130" w14:textId="77777777" w:rsidTr="0032243F">
        <w:tc>
          <w:tcPr>
            <w:tcW w:w="1870" w:type="dxa"/>
          </w:tcPr>
          <w:p w14:paraId="7DACC678"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Total PV</w:t>
            </w:r>
          </w:p>
        </w:tc>
        <w:tc>
          <w:tcPr>
            <w:tcW w:w="1870" w:type="dxa"/>
          </w:tcPr>
          <w:p w14:paraId="6846E8F8" w14:textId="77777777" w:rsidR="0032243F" w:rsidRPr="0032243F" w:rsidRDefault="0032243F" w:rsidP="0032243F">
            <w:pPr>
              <w:spacing w:line="360" w:lineRule="auto"/>
              <w:jc w:val="both"/>
              <w:rPr>
                <w:rFonts w:ascii="Times New Roman" w:hAnsi="Times New Roman" w:cs="Times New Roman"/>
                <w:sz w:val="24"/>
                <w:szCs w:val="24"/>
              </w:rPr>
            </w:pPr>
          </w:p>
        </w:tc>
        <w:tc>
          <w:tcPr>
            <w:tcW w:w="1870" w:type="dxa"/>
          </w:tcPr>
          <w:p w14:paraId="03646A3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41.31</w:t>
            </w:r>
          </w:p>
        </w:tc>
        <w:tc>
          <w:tcPr>
            <w:tcW w:w="1870" w:type="dxa"/>
          </w:tcPr>
          <w:p w14:paraId="3E4B2D40"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41.69</w:t>
            </w:r>
          </w:p>
        </w:tc>
        <w:tc>
          <w:tcPr>
            <w:tcW w:w="1870" w:type="dxa"/>
          </w:tcPr>
          <w:p w14:paraId="6513BA5A"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48.02</w:t>
            </w:r>
          </w:p>
        </w:tc>
      </w:tr>
      <w:tr w:rsidR="0032243F" w:rsidRPr="0032243F" w14:paraId="67910070" w14:textId="77777777" w:rsidTr="0032243F">
        <w:tc>
          <w:tcPr>
            <w:tcW w:w="1870" w:type="dxa"/>
          </w:tcPr>
          <w:p w14:paraId="12F756E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NPV</w:t>
            </w:r>
          </w:p>
        </w:tc>
        <w:tc>
          <w:tcPr>
            <w:tcW w:w="1870" w:type="dxa"/>
          </w:tcPr>
          <w:p w14:paraId="35CD5B78" w14:textId="77777777" w:rsidR="0032243F" w:rsidRPr="0032243F" w:rsidRDefault="0032243F" w:rsidP="0032243F">
            <w:pPr>
              <w:spacing w:line="360" w:lineRule="auto"/>
              <w:jc w:val="both"/>
              <w:rPr>
                <w:rFonts w:ascii="Times New Roman" w:hAnsi="Times New Roman" w:cs="Times New Roman"/>
                <w:sz w:val="24"/>
                <w:szCs w:val="24"/>
              </w:rPr>
            </w:pPr>
          </w:p>
        </w:tc>
        <w:tc>
          <w:tcPr>
            <w:tcW w:w="1870" w:type="dxa"/>
          </w:tcPr>
          <w:p w14:paraId="223AE0FD"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-8.69</w:t>
            </w:r>
          </w:p>
        </w:tc>
        <w:tc>
          <w:tcPr>
            <w:tcW w:w="1870" w:type="dxa"/>
          </w:tcPr>
          <w:p w14:paraId="47D60DF2"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-8.31</w:t>
            </w:r>
          </w:p>
        </w:tc>
        <w:tc>
          <w:tcPr>
            <w:tcW w:w="1870" w:type="dxa"/>
          </w:tcPr>
          <w:p w14:paraId="79E1D40D"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-1.98</w:t>
            </w:r>
          </w:p>
        </w:tc>
      </w:tr>
    </w:tbl>
    <w:p w14:paraId="2643F8D8" w14:textId="6BC03662"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Table C4: Profitability Index</w:t>
      </w:r>
    </w:p>
    <w:tbl>
      <w:tblPr>
        <w:tblStyle w:val="TableGrid"/>
        <w:tblW w:w="0" w:type="auto"/>
        <w:tblLook w:val="04A0" w:firstRow="1" w:lastRow="0" w:firstColumn="1" w:lastColumn="0" w:noHBand="0" w:noVBand="1"/>
      </w:tblPr>
      <w:tblGrid>
        <w:gridCol w:w="4675"/>
        <w:gridCol w:w="4675"/>
      </w:tblGrid>
      <w:tr w:rsidR="0032243F" w:rsidRPr="0032243F" w14:paraId="63B945A7" w14:textId="77777777" w:rsidTr="0032243F">
        <w:tc>
          <w:tcPr>
            <w:tcW w:w="4675" w:type="dxa"/>
          </w:tcPr>
          <w:p w14:paraId="2CA7B854"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Project</w:t>
            </w:r>
          </w:p>
        </w:tc>
        <w:tc>
          <w:tcPr>
            <w:tcW w:w="4675" w:type="dxa"/>
          </w:tcPr>
          <w:p w14:paraId="3957432F"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PI</w:t>
            </w:r>
          </w:p>
        </w:tc>
      </w:tr>
      <w:tr w:rsidR="0032243F" w:rsidRPr="0032243F" w14:paraId="0638F189" w14:textId="77777777" w:rsidTr="0032243F">
        <w:tc>
          <w:tcPr>
            <w:tcW w:w="4675" w:type="dxa"/>
          </w:tcPr>
          <w:p w14:paraId="55B200DE"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A</w:t>
            </w:r>
          </w:p>
        </w:tc>
        <w:tc>
          <w:tcPr>
            <w:tcW w:w="4675" w:type="dxa"/>
          </w:tcPr>
          <w:p w14:paraId="28D81F63"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0.83</w:t>
            </w:r>
          </w:p>
        </w:tc>
      </w:tr>
      <w:tr w:rsidR="0032243F" w:rsidRPr="0032243F" w14:paraId="02B3962E" w14:textId="77777777" w:rsidTr="0032243F">
        <w:tc>
          <w:tcPr>
            <w:tcW w:w="4675" w:type="dxa"/>
          </w:tcPr>
          <w:p w14:paraId="5196BCB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B</w:t>
            </w:r>
          </w:p>
        </w:tc>
        <w:tc>
          <w:tcPr>
            <w:tcW w:w="4675" w:type="dxa"/>
          </w:tcPr>
          <w:p w14:paraId="1ED23E7A"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0.83</w:t>
            </w:r>
          </w:p>
        </w:tc>
      </w:tr>
      <w:tr w:rsidR="0032243F" w:rsidRPr="0032243F" w14:paraId="2D4F72BE" w14:textId="77777777" w:rsidTr="0032243F">
        <w:tc>
          <w:tcPr>
            <w:tcW w:w="4675" w:type="dxa"/>
          </w:tcPr>
          <w:p w14:paraId="3E951D9B"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C</w:t>
            </w:r>
          </w:p>
        </w:tc>
        <w:tc>
          <w:tcPr>
            <w:tcW w:w="4675" w:type="dxa"/>
          </w:tcPr>
          <w:p w14:paraId="799D944E"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0.96</w:t>
            </w:r>
          </w:p>
        </w:tc>
      </w:tr>
    </w:tbl>
    <w:p w14:paraId="48BEF9BC" w14:textId="26D5B46F"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Table C5: IRR (Approx.)</w:t>
      </w:r>
    </w:p>
    <w:tbl>
      <w:tblPr>
        <w:tblStyle w:val="TableGrid"/>
        <w:tblW w:w="0" w:type="auto"/>
        <w:tblLook w:val="04A0" w:firstRow="1" w:lastRow="0" w:firstColumn="1" w:lastColumn="0" w:noHBand="0" w:noVBand="1"/>
      </w:tblPr>
      <w:tblGrid>
        <w:gridCol w:w="4675"/>
        <w:gridCol w:w="4675"/>
      </w:tblGrid>
      <w:tr w:rsidR="0032243F" w:rsidRPr="0032243F" w14:paraId="7A6D1084" w14:textId="77777777" w:rsidTr="0032243F">
        <w:tc>
          <w:tcPr>
            <w:tcW w:w="4675" w:type="dxa"/>
          </w:tcPr>
          <w:p w14:paraId="3E5EE200"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Project</w:t>
            </w:r>
          </w:p>
        </w:tc>
        <w:tc>
          <w:tcPr>
            <w:tcW w:w="4675" w:type="dxa"/>
          </w:tcPr>
          <w:p w14:paraId="5910F3FD"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IRR</w:t>
            </w:r>
          </w:p>
        </w:tc>
      </w:tr>
      <w:tr w:rsidR="0032243F" w:rsidRPr="0032243F" w14:paraId="44EB70D5" w14:textId="77777777" w:rsidTr="0032243F">
        <w:tc>
          <w:tcPr>
            <w:tcW w:w="4675" w:type="dxa"/>
          </w:tcPr>
          <w:p w14:paraId="451F8F77"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A</w:t>
            </w:r>
          </w:p>
        </w:tc>
        <w:tc>
          <w:tcPr>
            <w:tcW w:w="4675" w:type="dxa"/>
          </w:tcPr>
          <w:p w14:paraId="66CF9747"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~6–7%</w:t>
            </w:r>
          </w:p>
        </w:tc>
      </w:tr>
      <w:tr w:rsidR="0032243F" w:rsidRPr="0032243F" w14:paraId="5AD3B842" w14:textId="77777777" w:rsidTr="0032243F">
        <w:tc>
          <w:tcPr>
            <w:tcW w:w="4675" w:type="dxa"/>
          </w:tcPr>
          <w:p w14:paraId="175486C1"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B</w:t>
            </w:r>
          </w:p>
        </w:tc>
        <w:tc>
          <w:tcPr>
            <w:tcW w:w="4675" w:type="dxa"/>
          </w:tcPr>
          <w:p w14:paraId="20C258C1"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~7%</w:t>
            </w:r>
          </w:p>
        </w:tc>
      </w:tr>
      <w:tr w:rsidR="0032243F" w:rsidRPr="008F4248" w14:paraId="0E2AC1F5" w14:textId="77777777" w:rsidTr="0032243F">
        <w:tc>
          <w:tcPr>
            <w:tcW w:w="4675" w:type="dxa"/>
          </w:tcPr>
          <w:p w14:paraId="07509525"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lastRenderedPageBreak/>
              <w:t>C</w:t>
            </w:r>
          </w:p>
        </w:tc>
        <w:tc>
          <w:tcPr>
            <w:tcW w:w="4675" w:type="dxa"/>
          </w:tcPr>
          <w:p w14:paraId="397665C3" w14:textId="77777777" w:rsidR="0032243F" w:rsidRPr="008F4248"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~9–10%</w:t>
            </w:r>
          </w:p>
        </w:tc>
      </w:tr>
    </w:tbl>
    <w:p w14:paraId="367F4C86" w14:textId="3797EEA7" w:rsidR="0032243F" w:rsidRDefault="0032243F" w:rsidP="0032243F">
      <w:pPr>
        <w:spacing w:line="360" w:lineRule="auto"/>
        <w:jc w:val="both"/>
        <w:rPr>
          <w:rFonts w:ascii="Times New Roman" w:hAnsi="Times New Roman" w:cs="Times New Roman"/>
          <w:sz w:val="24"/>
          <w:szCs w:val="24"/>
        </w:rPr>
      </w:pPr>
    </w:p>
    <w:p w14:paraId="5DA5ACF0"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Appendix D: Capital Rationing</w:t>
      </w:r>
    </w:p>
    <w:tbl>
      <w:tblPr>
        <w:tblStyle w:val="TableGrid"/>
        <w:tblW w:w="0" w:type="auto"/>
        <w:tblLook w:val="04A0" w:firstRow="1" w:lastRow="0" w:firstColumn="1" w:lastColumn="0" w:noHBand="0" w:noVBand="1"/>
      </w:tblPr>
      <w:tblGrid>
        <w:gridCol w:w="3116"/>
        <w:gridCol w:w="3117"/>
        <w:gridCol w:w="3117"/>
      </w:tblGrid>
      <w:tr w:rsidR="0032243F" w:rsidRPr="0032243F" w14:paraId="13AA5504" w14:textId="77777777" w:rsidTr="0032243F">
        <w:tc>
          <w:tcPr>
            <w:tcW w:w="3116" w:type="dxa"/>
          </w:tcPr>
          <w:p w14:paraId="3C03CF50"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Combination</w:t>
            </w:r>
          </w:p>
        </w:tc>
        <w:tc>
          <w:tcPr>
            <w:tcW w:w="3117" w:type="dxa"/>
          </w:tcPr>
          <w:p w14:paraId="7934F212"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Total Investment (£m)</w:t>
            </w:r>
          </w:p>
        </w:tc>
        <w:tc>
          <w:tcPr>
            <w:tcW w:w="3117" w:type="dxa"/>
          </w:tcPr>
          <w:p w14:paraId="7F379DB6"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Total NPV</w:t>
            </w:r>
          </w:p>
        </w:tc>
      </w:tr>
      <w:tr w:rsidR="0032243F" w:rsidRPr="0032243F" w14:paraId="72954EE3" w14:textId="77777777" w:rsidTr="0032243F">
        <w:tc>
          <w:tcPr>
            <w:tcW w:w="3116" w:type="dxa"/>
          </w:tcPr>
          <w:p w14:paraId="088C44B6"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A + B</w:t>
            </w:r>
          </w:p>
        </w:tc>
        <w:tc>
          <w:tcPr>
            <w:tcW w:w="3117" w:type="dxa"/>
          </w:tcPr>
          <w:p w14:paraId="0834ADD2"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100</w:t>
            </w:r>
          </w:p>
        </w:tc>
        <w:tc>
          <w:tcPr>
            <w:tcW w:w="3117" w:type="dxa"/>
          </w:tcPr>
          <w:p w14:paraId="67FD1180"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-17.0</w:t>
            </w:r>
          </w:p>
        </w:tc>
      </w:tr>
      <w:tr w:rsidR="0032243F" w:rsidRPr="0032243F" w14:paraId="75802671" w14:textId="77777777" w:rsidTr="0032243F">
        <w:tc>
          <w:tcPr>
            <w:tcW w:w="3116" w:type="dxa"/>
          </w:tcPr>
          <w:p w14:paraId="6500502D"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A + C</w:t>
            </w:r>
          </w:p>
        </w:tc>
        <w:tc>
          <w:tcPr>
            <w:tcW w:w="3117" w:type="dxa"/>
          </w:tcPr>
          <w:p w14:paraId="5810B5F9"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100</w:t>
            </w:r>
          </w:p>
        </w:tc>
        <w:tc>
          <w:tcPr>
            <w:tcW w:w="3117" w:type="dxa"/>
          </w:tcPr>
          <w:p w14:paraId="1421F351"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-10.67</w:t>
            </w:r>
          </w:p>
        </w:tc>
      </w:tr>
      <w:tr w:rsidR="0032243F" w:rsidRPr="0032243F" w14:paraId="65F4915A" w14:textId="77777777" w:rsidTr="0032243F">
        <w:tc>
          <w:tcPr>
            <w:tcW w:w="3116" w:type="dxa"/>
          </w:tcPr>
          <w:p w14:paraId="504FA9D9"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B + C</w:t>
            </w:r>
          </w:p>
        </w:tc>
        <w:tc>
          <w:tcPr>
            <w:tcW w:w="3117" w:type="dxa"/>
          </w:tcPr>
          <w:p w14:paraId="1B33B9C8"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100</w:t>
            </w:r>
          </w:p>
        </w:tc>
        <w:tc>
          <w:tcPr>
            <w:tcW w:w="3117" w:type="dxa"/>
          </w:tcPr>
          <w:p w14:paraId="2A6B003B" w14:textId="77777777" w:rsidR="0032243F" w:rsidRP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-10.29</w:t>
            </w:r>
          </w:p>
        </w:tc>
      </w:tr>
    </w:tbl>
    <w:p w14:paraId="5AAB48A5" w14:textId="263D0854" w:rsidR="0032243F" w:rsidRDefault="0032243F" w:rsidP="0032243F">
      <w:pPr>
        <w:spacing w:line="360" w:lineRule="auto"/>
        <w:jc w:val="both"/>
        <w:rPr>
          <w:rFonts w:ascii="Times New Roman" w:hAnsi="Times New Roman" w:cs="Times New Roman"/>
          <w:sz w:val="24"/>
          <w:szCs w:val="24"/>
        </w:rPr>
      </w:pPr>
      <w:r w:rsidRPr="0032243F">
        <w:rPr>
          <w:rFonts w:ascii="Times New Roman" w:hAnsi="Times New Roman" w:cs="Times New Roman"/>
          <w:sz w:val="24"/>
          <w:szCs w:val="24"/>
        </w:rPr>
        <w:t>Best combination: Project B + Project C</w:t>
      </w:r>
    </w:p>
    <w:p w14:paraId="0E7549AC" w14:textId="77777777" w:rsidR="0032243F" w:rsidRPr="008F4248" w:rsidRDefault="0032243F" w:rsidP="0032243F">
      <w:pPr>
        <w:spacing w:line="360" w:lineRule="auto"/>
        <w:jc w:val="both"/>
        <w:rPr>
          <w:rFonts w:ascii="Times New Roman" w:hAnsi="Times New Roman" w:cs="Times New Roman"/>
          <w:sz w:val="24"/>
          <w:szCs w:val="24"/>
        </w:rPr>
      </w:pPr>
    </w:p>
    <w:sectPr w:rsidR="0032243F" w:rsidRPr="008F42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2DD9D" w14:textId="77777777" w:rsidR="006A0D17" w:rsidRDefault="006A0D17" w:rsidP="003E7F85">
      <w:pPr>
        <w:spacing w:after="0" w:line="240" w:lineRule="auto"/>
      </w:pPr>
      <w:r>
        <w:separator/>
      </w:r>
    </w:p>
  </w:endnote>
  <w:endnote w:type="continuationSeparator" w:id="0">
    <w:p w14:paraId="0F467664" w14:textId="77777777" w:rsidR="006A0D17" w:rsidRDefault="006A0D17" w:rsidP="003E7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D2FD8" w14:textId="77777777" w:rsidR="006A0D17" w:rsidRDefault="006A0D17" w:rsidP="003E7F85">
      <w:pPr>
        <w:spacing w:after="0" w:line="240" w:lineRule="auto"/>
      </w:pPr>
      <w:r>
        <w:separator/>
      </w:r>
    </w:p>
  </w:footnote>
  <w:footnote w:type="continuationSeparator" w:id="0">
    <w:p w14:paraId="08B047D2" w14:textId="77777777" w:rsidR="006A0D17" w:rsidRDefault="006A0D17" w:rsidP="003E7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74D"/>
    <w:multiLevelType w:val="hybridMultilevel"/>
    <w:tmpl w:val="D1A42D26"/>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55A05"/>
    <w:multiLevelType w:val="hybridMultilevel"/>
    <w:tmpl w:val="8A3A716A"/>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83DCA"/>
    <w:multiLevelType w:val="hybridMultilevel"/>
    <w:tmpl w:val="691AA80A"/>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D22EC4"/>
    <w:multiLevelType w:val="hybridMultilevel"/>
    <w:tmpl w:val="B4B8ACBA"/>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CF1650"/>
    <w:multiLevelType w:val="hybridMultilevel"/>
    <w:tmpl w:val="54E8AE1C"/>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1C05A1"/>
    <w:multiLevelType w:val="hybridMultilevel"/>
    <w:tmpl w:val="2C8C8322"/>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140C56"/>
    <w:multiLevelType w:val="hybridMultilevel"/>
    <w:tmpl w:val="E5687602"/>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9432E"/>
    <w:multiLevelType w:val="hybridMultilevel"/>
    <w:tmpl w:val="0CAA2EF2"/>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A672A0"/>
    <w:multiLevelType w:val="hybridMultilevel"/>
    <w:tmpl w:val="79F41DAA"/>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DF656F"/>
    <w:multiLevelType w:val="hybridMultilevel"/>
    <w:tmpl w:val="4D60F5D0"/>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3B42CD"/>
    <w:multiLevelType w:val="hybridMultilevel"/>
    <w:tmpl w:val="1A684C66"/>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8A5658"/>
    <w:multiLevelType w:val="hybridMultilevel"/>
    <w:tmpl w:val="89FCFF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772260B"/>
    <w:multiLevelType w:val="hybridMultilevel"/>
    <w:tmpl w:val="489E56FE"/>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6C2905"/>
    <w:multiLevelType w:val="hybridMultilevel"/>
    <w:tmpl w:val="ABB00D9C"/>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7D773A"/>
    <w:multiLevelType w:val="hybridMultilevel"/>
    <w:tmpl w:val="99BEB940"/>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1D07BB"/>
    <w:multiLevelType w:val="hybridMultilevel"/>
    <w:tmpl w:val="66BEE1FA"/>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266456"/>
    <w:multiLevelType w:val="hybridMultilevel"/>
    <w:tmpl w:val="E15AD51E"/>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5671BD"/>
    <w:multiLevelType w:val="hybridMultilevel"/>
    <w:tmpl w:val="438E0054"/>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C0279D"/>
    <w:multiLevelType w:val="hybridMultilevel"/>
    <w:tmpl w:val="BAB4FCE0"/>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740F34"/>
    <w:multiLevelType w:val="hybridMultilevel"/>
    <w:tmpl w:val="E7506A9E"/>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3E4D9F"/>
    <w:multiLevelType w:val="hybridMultilevel"/>
    <w:tmpl w:val="4DD0926E"/>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0E4F38"/>
    <w:multiLevelType w:val="hybridMultilevel"/>
    <w:tmpl w:val="BA68C380"/>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35304A"/>
    <w:multiLevelType w:val="hybridMultilevel"/>
    <w:tmpl w:val="75662412"/>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A2E6824"/>
    <w:multiLevelType w:val="hybridMultilevel"/>
    <w:tmpl w:val="02061B4C"/>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031FF8"/>
    <w:multiLevelType w:val="hybridMultilevel"/>
    <w:tmpl w:val="6FDCAF22"/>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D47D7C"/>
    <w:multiLevelType w:val="hybridMultilevel"/>
    <w:tmpl w:val="A24476A4"/>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731601"/>
    <w:multiLevelType w:val="hybridMultilevel"/>
    <w:tmpl w:val="BD6E9A74"/>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FE3DFA"/>
    <w:multiLevelType w:val="hybridMultilevel"/>
    <w:tmpl w:val="9F62F202"/>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4B3769"/>
    <w:multiLevelType w:val="hybridMultilevel"/>
    <w:tmpl w:val="CD2492D6"/>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EE10B3E"/>
    <w:multiLevelType w:val="hybridMultilevel"/>
    <w:tmpl w:val="DCEA9022"/>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912AE9"/>
    <w:multiLevelType w:val="hybridMultilevel"/>
    <w:tmpl w:val="EB7A2470"/>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BE4DCE"/>
    <w:multiLevelType w:val="hybridMultilevel"/>
    <w:tmpl w:val="4F90CD00"/>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21C5EC6"/>
    <w:multiLevelType w:val="hybridMultilevel"/>
    <w:tmpl w:val="35D48DD6"/>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2A97FEC"/>
    <w:multiLevelType w:val="hybridMultilevel"/>
    <w:tmpl w:val="8D4045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458A7564"/>
    <w:multiLevelType w:val="hybridMultilevel"/>
    <w:tmpl w:val="98F46546"/>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6A4548A"/>
    <w:multiLevelType w:val="hybridMultilevel"/>
    <w:tmpl w:val="A2E2279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49161F69"/>
    <w:multiLevelType w:val="hybridMultilevel"/>
    <w:tmpl w:val="586EEA66"/>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C6073E"/>
    <w:multiLevelType w:val="hybridMultilevel"/>
    <w:tmpl w:val="FD6243E6"/>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A11347B"/>
    <w:multiLevelType w:val="hybridMultilevel"/>
    <w:tmpl w:val="3F668BDE"/>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D57DDE"/>
    <w:multiLevelType w:val="hybridMultilevel"/>
    <w:tmpl w:val="00368558"/>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F1B7484"/>
    <w:multiLevelType w:val="hybridMultilevel"/>
    <w:tmpl w:val="765046D2"/>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0550B2E"/>
    <w:multiLevelType w:val="hybridMultilevel"/>
    <w:tmpl w:val="16A65AAA"/>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21F2F42"/>
    <w:multiLevelType w:val="hybridMultilevel"/>
    <w:tmpl w:val="7ECE4CAE"/>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2321FB9"/>
    <w:multiLevelType w:val="hybridMultilevel"/>
    <w:tmpl w:val="7586166E"/>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2B77907"/>
    <w:multiLevelType w:val="hybridMultilevel"/>
    <w:tmpl w:val="A7C0DD78"/>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34F4921"/>
    <w:multiLevelType w:val="hybridMultilevel"/>
    <w:tmpl w:val="796486AE"/>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AC44DCB"/>
    <w:multiLevelType w:val="hybridMultilevel"/>
    <w:tmpl w:val="7AE6519A"/>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D9A3793"/>
    <w:multiLevelType w:val="hybridMultilevel"/>
    <w:tmpl w:val="9E6AD10A"/>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092E67"/>
    <w:multiLevelType w:val="hybridMultilevel"/>
    <w:tmpl w:val="DBBE9874"/>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36B4607"/>
    <w:multiLevelType w:val="hybridMultilevel"/>
    <w:tmpl w:val="7036338E"/>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4014BDA"/>
    <w:multiLevelType w:val="hybridMultilevel"/>
    <w:tmpl w:val="843460B6"/>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4FD1ABF"/>
    <w:multiLevelType w:val="hybridMultilevel"/>
    <w:tmpl w:val="817A9210"/>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5106CCA"/>
    <w:multiLevelType w:val="hybridMultilevel"/>
    <w:tmpl w:val="9AF65378"/>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939094E"/>
    <w:multiLevelType w:val="hybridMultilevel"/>
    <w:tmpl w:val="3A0E806A"/>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B0C6E8D"/>
    <w:multiLevelType w:val="hybridMultilevel"/>
    <w:tmpl w:val="E2881738"/>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C1B0E94"/>
    <w:multiLevelType w:val="hybridMultilevel"/>
    <w:tmpl w:val="081C748C"/>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F3F0DBC"/>
    <w:multiLevelType w:val="hybridMultilevel"/>
    <w:tmpl w:val="530C8664"/>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0292BC2"/>
    <w:multiLevelType w:val="hybridMultilevel"/>
    <w:tmpl w:val="BB5C6D30"/>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17A2021"/>
    <w:multiLevelType w:val="hybridMultilevel"/>
    <w:tmpl w:val="82045A2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9" w15:restartNumberingAfterBreak="0">
    <w:nsid w:val="73C8003B"/>
    <w:multiLevelType w:val="hybridMultilevel"/>
    <w:tmpl w:val="123CCC00"/>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AD45C11"/>
    <w:multiLevelType w:val="hybridMultilevel"/>
    <w:tmpl w:val="8EBA1472"/>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BA96221"/>
    <w:multiLevelType w:val="hybridMultilevel"/>
    <w:tmpl w:val="9C329472"/>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CFA5C2B"/>
    <w:multiLevelType w:val="hybridMultilevel"/>
    <w:tmpl w:val="61124FF8"/>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D3A77B4"/>
    <w:multiLevelType w:val="hybridMultilevel"/>
    <w:tmpl w:val="F4D04FAA"/>
    <w:lvl w:ilvl="0" w:tplc="542A56C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F301C31"/>
    <w:multiLevelType w:val="hybridMultilevel"/>
    <w:tmpl w:val="575E2BFA"/>
    <w:lvl w:ilvl="0" w:tplc="60064284">
      <w:start w:val="1"/>
      <w:numFmt w:val="bullet"/>
      <w:lvlText w:val=""/>
      <w:lvlJc w:val="left"/>
      <w:pPr>
        <w:ind w:left="720" w:hanging="360"/>
      </w:pPr>
      <w:rPr>
        <w:rFonts w:ascii="Wingdings" w:eastAsiaTheme="minorHAnsi" w:hAnsi="Wingding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68573195">
    <w:abstractNumId w:val="20"/>
  </w:num>
  <w:num w:numId="2" w16cid:durableId="1914271722">
    <w:abstractNumId w:val="22"/>
  </w:num>
  <w:num w:numId="3" w16cid:durableId="612786050">
    <w:abstractNumId w:val="31"/>
  </w:num>
  <w:num w:numId="4" w16cid:durableId="668143911">
    <w:abstractNumId w:val="28"/>
  </w:num>
  <w:num w:numId="5" w16cid:durableId="1366449172">
    <w:abstractNumId w:val="47"/>
  </w:num>
  <w:num w:numId="6" w16cid:durableId="2031298963">
    <w:abstractNumId w:val="34"/>
  </w:num>
  <w:num w:numId="7" w16cid:durableId="1395078123">
    <w:abstractNumId w:val="24"/>
  </w:num>
  <w:num w:numId="8" w16cid:durableId="1800371889">
    <w:abstractNumId w:val="4"/>
  </w:num>
  <w:num w:numId="9" w16cid:durableId="1827430333">
    <w:abstractNumId w:val="15"/>
  </w:num>
  <w:num w:numId="10" w16cid:durableId="696194297">
    <w:abstractNumId w:val="19"/>
  </w:num>
  <w:num w:numId="11" w16cid:durableId="564071089">
    <w:abstractNumId w:val="37"/>
  </w:num>
  <w:num w:numId="12" w16cid:durableId="127667623">
    <w:abstractNumId w:val="25"/>
  </w:num>
  <w:num w:numId="13" w16cid:durableId="1198548081">
    <w:abstractNumId w:val="52"/>
  </w:num>
  <w:num w:numId="14" w16cid:durableId="363286701">
    <w:abstractNumId w:val="36"/>
  </w:num>
  <w:num w:numId="15" w16cid:durableId="490681116">
    <w:abstractNumId w:val="50"/>
  </w:num>
  <w:num w:numId="16" w16cid:durableId="1555508349">
    <w:abstractNumId w:val="42"/>
  </w:num>
  <w:num w:numId="17" w16cid:durableId="120155376">
    <w:abstractNumId w:val="61"/>
  </w:num>
  <w:num w:numId="18" w16cid:durableId="978076979">
    <w:abstractNumId w:val="56"/>
  </w:num>
  <w:num w:numId="19" w16cid:durableId="61948269">
    <w:abstractNumId w:val="48"/>
  </w:num>
  <w:num w:numId="20" w16cid:durableId="1022054891">
    <w:abstractNumId w:val="40"/>
  </w:num>
  <w:num w:numId="21" w16cid:durableId="1429277916">
    <w:abstractNumId w:val="39"/>
  </w:num>
  <w:num w:numId="22" w16cid:durableId="2011369810">
    <w:abstractNumId w:val="43"/>
  </w:num>
  <w:num w:numId="23" w16cid:durableId="1936477149">
    <w:abstractNumId w:val="6"/>
  </w:num>
  <w:num w:numId="24" w16cid:durableId="2021614457">
    <w:abstractNumId w:val="7"/>
  </w:num>
  <w:num w:numId="25" w16cid:durableId="1439250166">
    <w:abstractNumId w:val="18"/>
  </w:num>
  <w:num w:numId="26" w16cid:durableId="1121338228">
    <w:abstractNumId w:val="54"/>
  </w:num>
  <w:num w:numId="27" w16cid:durableId="1687707878">
    <w:abstractNumId w:val="8"/>
  </w:num>
  <w:num w:numId="28" w16cid:durableId="734744328">
    <w:abstractNumId w:val="32"/>
  </w:num>
  <w:num w:numId="29" w16cid:durableId="1256279884">
    <w:abstractNumId w:val="12"/>
  </w:num>
  <w:num w:numId="30" w16cid:durableId="984159494">
    <w:abstractNumId w:val="5"/>
  </w:num>
  <w:num w:numId="31" w16cid:durableId="1531146333">
    <w:abstractNumId w:val="59"/>
  </w:num>
  <w:num w:numId="32" w16cid:durableId="938638962">
    <w:abstractNumId w:val="14"/>
  </w:num>
  <w:num w:numId="33" w16cid:durableId="480578187">
    <w:abstractNumId w:val="17"/>
  </w:num>
  <w:num w:numId="34" w16cid:durableId="1475295130">
    <w:abstractNumId w:val="63"/>
  </w:num>
  <w:num w:numId="35" w16cid:durableId="1385760296">
    <w:abstractNumId w:val="30"/>
  </w:num>
  <w:num w:numId="36" w16cid:durableId="1869677086">
    <w:abstractNumId w:val="38"/>
  </w:num>
  <w:num w:numId="37" w16cid:durableId="533540002">
    <w:abstractNumId w:val="57"/>
  </w:num>
  <w:num w:numId="38" w16cid:durableId="396173728">
    <w:abstractNumId w:val="3"/>
  </w:num>
  <w:num w:numId="39" w16cid:durableId="1437097526">
    <w:abstractNumId w:val="9"/>
  </w:num>
  <w:num w:numId="40" w16cid:durableId="1307512205">
    <w:abstractNumId w:val="0"/>
  </w:num>
  <w:num w:numId="41" w16cid:durableId="1520242259">
    <w:abstractNumId w:val="49"/>
  </w:num>
  <w:num w:numId="42" w16cid:durableId="656108793">
    <w:abstractNumId w:val="53"/>
  </w:num>
  <w:num w:numId="43" w16cid:durableId="1730106364">
    <w:abstractNumId w:val="62"/>
  </w:num>
  <w:num w:numId="44" w16cid:durableId="287055969">
    <w:abstractNumId w:val="13"/>
  </w:num>
  <w:num w:numId="45" w16cid:durableId="22560742">
    <w:abstractNumId w:val="29"/>
  </w:num>
  <w:num w:numId="46" w16cid:durableId="275451997">
    <w:abstractNumId w:val="51"/>
  </w:num>
  <w:num w:numId="47" w16cid:durableId="439909288">
    <w:abstractNumId w:val="27"/>
  </w:num>
  <w:num w:numId="48" w16cid:durableId="125977223">
    <w:abstractNumId w:val="44"/>
  </w:num>
  <w:num w:numId="49" w16cid:durableId="457653221">
    <w:abstractNumId w:val="2"/>
  </w:num>
  <w:num w:numId="50" w16cid:durableId="1783957618">
    <w:abstractNumId w:val="23"/>
  </w:num>
  <w:num w:numId="51" w16cid:durableId="196041565">
    <w:abstractNumId w:val="60"/>
  </w:num>
  <w:num w:numId="52" w16cid:durableId="1352340467">
    <w:abstractNumId w:val="16"/>
  </w:num>
  <w:num w:numId="53" w16cid:durableId="1203594437">
    <w:abstractNumId w:val="26"/>
  </w:num>
  <w:num w:numId="54" w16cid:durableId="1093742767">
    <w:abstractNumId w:val="41"/>
  </w:num>
  <w:num w:numId="55" w16cid:durableId="2043287028">
    <w:abstractNumId w:val="46"/>
  </w:num>
  <w:num w:numId="56" w16cid:durableId="1995260140">
    <w:abstractNumId w:val="21"/>
  </w:num>
  <w:num w:numId="57" w16cid:durableId="243346956">
    <w:abstractNumId w:val="45"/>
  </w:num>
  <w:num w:numId="58" w16cid:durableId="1872112931">
    <w:abstractNumId w:val="1"/>
  </w:num>
  <w:num w:numId="59" w16cid:durableId="600841893">
    <w:abstractNumId w:val="10"/>
  </w:num>
  <w:num w:numId="60" w16cid:durableId="1118331749">
    <w:abstractNumId w:val="55"/>
  </w:num>
  <w:num w:numId="61" w16cid:durableId="814562979">
    <w:abstractNumId w:val="58"/>
  </w:num>
  <w:num w:numId="62" w16cid:durableId="357201315">
    <w:abstractNumId w:val="35"/>
  </w:num>
  <w:num w:numId="63" w16cid:durableId="1420978528">
    <w:abstractNumId w:val="11"/>
  </w:num>
  <w:num w:numId="64" w16cid:durableId="1812400516">
    <w:abstractNumId w:val="64"/>
  </w:num>
  <w:num w:numId="65" w16cid:durableId="1173566341">
    <w:abstractNumId w:val="3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7C5"/>
    <w:rsid w:val="00017A12"/>
    <w:rsid w:val="0003390C"/>
    <w:rsid w:val="00033D5E"/>
    <w:rsid w:val="000425E4"/>
    <w:rsid w:val="000751B4"/>
    <w:rsid w:val="00076D1A"/>
    <w:rsid w:val="00080D10"/>
    <w:rsid w:val="00085308"/>
    <w:rsid w:val="00085849"/>
    <w:rsid w:val="000B1862"/>
    <w:rsid w:val="000C61CF"/>
    <w:rsid w:val="000C79F9"/>
    <w:rsid w:val="000D4C19"/>
    <w:rsid w:val="000E37E3"/>
    <w:rsid w:val="000E45CB"/>
    <w:rsid w:val="000F58A4"/>
    <w:rsid w:val="00112920"/>
    <w:rsid w:val="0016005E"/>
    <w:rsid w:val="001B2A00"/>
    <w:rsid w:val="001C4893"/>
    <w:rsid w:val="001E1BC0"/>
    <w:rsid w:val="001E3D4C"/>
    <w:rsid w:val="001F044E"/>
    <w:rsid w:val="0020356A"/>
    <w:rsid w:val="0023112E"/>
    <w:rsid w:val="00231FCD"/>
    <w:rsid w:val="00236A25"/>
    <w:rsid w:val="002403A3"/>
    <w:rsid w:val="002639E8"/>
    <w:rsid w:val="00266FC0"/>
    <w:rsid w:val="002877C5"/>
    <w:rsid w:val="002A60BA"/>
    <w:rsid w:val="002B1A5E"/>
    <w:rsid w:val="002B5CE4"/>
    <w:rsid w:val="002D1FE9"/>
    <w:rsid w:val="002E19D7"/>
    <w:rsid w:val="002E449A"/>
    <w:rsid w:val="0032050B"/>
    <w:rsid w:val="0032243F"/>
    <w:rsid w:val="003269C1"/>
    <w:rsid w:val="00351A99"/>
    <w:rsid w:val="003568D2"/>
    <w:rsid w:val="003B048F"/>
    <w:rsid w:val="003E1CCE"/>
    <w:rsid w:val="003E7F85"/>
    <w:rsid w:val="003F04E8"/>
    <w:rsid w:val="003F1C9D"/>
    <w:rsid w:val="003F4EA4"/>
    <w:rsid w:val="003F5741"/>
    <w:rsid w:val="00416357"/>
    <w:rsid w:val="004215E5"/>
    <w:rsid w:val="004340C1"/>
    <w:rsid w:val="00434A4B"/>
    <w:rsid w:val="00435D94"/>
    <w:rsid w:val="00440F84"/>
    <w:rsid w:val="0049210C"/>
    <w:rsid w:val="0049742A"/>
    <w:rsid w:val="004F35F2"/>
    <w:rsid w:val="00592403"/>
    <w:rsid w:val="00601E3C"/>
    <w:rsid w:val="0062781F"/>
    <w:rsid w:val="00692B3C"/>
    <w:rsid w:val="00694DBE"/>
    <w:rsid w:val="0069537B"/>
    <w:rsid w:val="006A0D17"/>
    <w:rsid w:val="006A1FF6"/>
    <w:rsid w:val="006C42EA"/>
    <w:rsid w:val="006E167E"/>
    <w:rsid w:val="007154EA"/>
    <w:rsid w:val="00715910"/>
    <w:rsid w:val="00731926"/>
    <w:rsid w:val="0075544C"/>
    <w:rsid w:val="007B5C01"/>
    <w:rsid w:val="007E34CB"/>
    <w:rsid w:val="007E709B"/>
    <w:rsid w:val="007F251B"/>
    <w:rsid w:val="00842624"/>
    <w:rsid w:val="0086612A"/>
    <w:rsid w:val="008732AE"/>
    <w:rsid w:val="008D4A3F"/>
    <w:rsid w:val="008D4EBE"/>
    <w:rsid w:val="008F4248"/>
    <w:rsid w:val="00944AB0"/>
    <w:rsid w:val="00953E49"/>
    <w:rsid w:val="00966828"/>
    <w:rsid w:val="009913CE"/>
    <w:rsid w:val="00993E60"/>
    <w:rsid w:val="009A412C"/>
    <w:rsid w:val="009A5F55"/>
    <w:rsid w:val="009C7442"/>
    <w:rsid w:val="009F470B"/>
    <w:rsid w:val="00A12427"/>
    <w:rsid w:val="00A26688"/>
    <w:rsid w:val="00A270DA"/>
    <w:rsid w:val="00A53674"/>
    <w:rsid w:val="00A57CD4"/>
    <w:rsid w:val="00A728E0"/>
    <w:rsid w:val="00A815AD"/>
    <w:rsid w:val="00AA3DF7"/>
    <w:rsid w:val="00AA6AAB"/>
    <w:rsid w:val="00AB2622"/>
    <w:rsid w:val="00AC0070"/>
    <w:rsid w:val="00AD172F"/>
    <w:rsid w:val="00AD28E3"/>
    <w:rsid w:val="00AE077E"/>
    <w:rsid w:val="00B014E9"/>
    <w:rsid w:val="00B14270"/>
    <w:rsid w:val="00B22467"/>
    <w:rsid w:val="00B36AB2"/>
    <w:rsid w:val="00B50F72"/>
    <w:rsid w:val="00B5255F"/>
    <w:rsid w:val="00B81EAB"/>
    <w:rsid w:val="00BA3367"/>
    <w:rsid w:val="00BB447B"/>
    <w:rsid w:val="00BC37F1"/>
    <w:rsid w:val="00BC3C1D"/>
    <w:rsid w:val="00BF6A51"/>
    <w:rsid w:val="00C032A8"/>
    <w:rsid w:val="00C12679"/>
    <w:rsid w:val="00C51941"/>
    <w:rsid w:val="00C83381"/>
    <w:rsid w:val="00CD138A"/>
    <w:rsid w:val="00CE71A5"/>
    <w:rsid w:val="00D37577"/>
    <w:rsid w:val="00D37A42"/>
    <w:rsid w:val="00D41A99"/>
    <w:rsid w:val="00D50717"/>
    <w:rsid w:val="00D51159"/>
    <w:rsid w:val="00D53B62"/>
    <w:rsid w:val="00D653E8"/>
    <w:rsid w:val="00DA54B5"/>
    <w:rsid w:val="00DA77B8"/>
    <w:rsid w:val="00E13F34"/>
    <w:rsid w:val="00E14E8A"/>
    <w:rsid w:val="00E350E3"/>
    <w:rsid w:val="00EA7B69"/>
    <w:rsid w:val="00F2156A"/>
    <w:rsid w:val="00F82CA5"/>
    <w:rsid w:val="00FA068D"/>
    <w:rsid w:val="00FC6F7F"/>
    <w:rsid w:val="00FE7624"/>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DBF21"/>
  <w15:chartTrackingRefBased/>
  <w15:docId w15:val="{11B9ABC1-1AD3-464B-8A93-6ED0BC379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D1A"/>
  </w:style>
  <w:style w:type="paragraph" w:styleId="Heading1">
    <w:name w:val="heading 1"/>
    <w:basedOn w:val="Normal"/>
    <w:link w:val="Heading1Char"/>
    <w:uiPriority w:val="9"/>
    <w:qFormat/>
    <w:rsid w:val="002877C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877C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877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7C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877C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877C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877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877C5"/>
    <w:rPr>
      <w:b/>
      <w:bCs/>
    </w:rPr>
  </w:style>
  <w:style w:type="character" w:styleId="Hyperlink">
    <w:name w:val="Hyperlink"/>
    <w:basedOn w:val="DefaultParagraphFont"/>
    <w:uiPriority w:val="99"/>
    <w:unhideWhenUsed/>
    <w:rsid w:val="002877C5"/>
    <w:rPr>
      <w:color w:val="0563C1" w:themeColor="hyperlink"/>
      <w:u w:val="single"/>
    </w:rPr>
  </w:style>
  <w:style w:type="character" w:styleId="UnresolvedMention">
    <w:name w:val="Unresolved Mention"/>
    <w:basedOn w:val="DefaultParagraphFont"/>
    <w:uiPriority w:val="99"/>
    <w:semiHidden/>
    <w:unhideWhenUsed/>
    <w:rsid w:val="002877C5"/>
    <w:rPr>
      <w:color w:val="605E5C"/>
      <w:shd w:val="clear" w:color="auto" w:fill="E1DFDD"/>
    </w:rPr>
  </w:style>
  <w:style w:type="paragraph" w:styleId="Header">
    <w:name w:val="header"/>
    <w:basedOn w:val="Normal"/>
    <w:link w:val="HeaderChar"/>
    <w:uiPriority w:val="99"/>
    <w:unhideWhenUsed/>
    <w:rsid w:val="003E7F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F85"/>
  </w:style>
  <w:style w:type="paragraph" w:styleId="Footer">
    <w:name w:val="footer"/>
    <w:basedOn w:val="Normal"/>
    <w:link w:val="FooterChar"/>
    <w:uiPriority w:val="99"/>
    <w:unhideWhenUsed/>
    <w:rsid w:val="003E7F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F85"/>
  </w:style>
  <w:style w:type="paragraph" w:styleId="ListParagraph">
    <w:name w:val="List Paragraph"/>
    <w:basedOn w:val="Normal"/>
    <w:uiPriority w:val="34"/>
    <w:qFormat/>
    <w:rsid w:val="001B2A00"/>
    <w:pPr>
      <w:ind w:left="720"/>
      <w:contextualSpacing/>
    </w:pPr>
  </w:style>
  <w:style w:type="table" w:styleId="TableGrid">
    <w:name w:val="Table Grid"/>
    <w:basedOn w:val="TableNormal"/>
    <w:uiPriority w:val="39"/>
    <w:rsid w:val="00A26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356A"/>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440F84"/>
    <w:pPr>
      <w:tabs>
        <w:tab w:val="right" w:leader="dot" w:pos="9350"/>
      </w:tabs>
      <w:spacing w:after="100" w:line="360" w:lineRule="auto"/>
    </w:pPr>
    <w:rPr>
      <w:rFonts w:ascii="Times New Roman" w:hAnsi="Times New Roman" w:cs="Times New Roman"/>
    </w:rPr>
  </w:style>
  <w:style w:type="paragraph" w:styleId="TOC2">
    <w:name w:val="toc 2"/>
    <w:basedOn w:val="Normal"/>
    <w:next w:val="Normal"/>
    <w:autoRedefine/>
    <w:uiPriority w:val="39"/>
    <w:unhideWhenUsed/>
    <w:rsid w:val="0020356A"/>
    <w:pPr>
      <w:spacing w:after="100"/>
      <w:ind w:left="220"/>
    </w:pPr>
  </w:style>
  <w:style w:type="paragraph" w:styleId="TOC3">
    <w:name w:val="toc 3"/>
    <w:basedOn w:val="Normal"/>
    <w:next w:val="Normal"/>
    <w:autoRedefine/>
    <w:uiPriority w:val="39"/>
    <w:unhideWhenUsed/>
    <w:rsid w:val="0020356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269020">
      <w:bodyDiv w:val="1"/>
      <w:marLeft w:val="0"/>
      <w:marRight w:val="0"/>
      <w:marTop w:val="0"/>
      <w:marBottom w:val="0"/>
      <w:divBdr>
        <w:top w:val="none" w:sz="0" w:space="0" w:color="auto"/>
        <w:left w:val="none" w:sz="0" w:space="0" w:color="auto"/>
        <w:bottom w:val="none" w:sz="0" w:space="0" w:color="auto"/>
        <w:right w:val="none" w:sz="0" w:space="0" w:color="auto"/>
      </w:divBdr>
      <w:divsChild>
        <w:div w:id="1799688197">
          <w:marLeft w:val="0"/>
          <w:marRight w:val="0"/>
          <w:marTop w:val="0"/>
          <w:marBottom w:val="0"/>
          <w:divBdr>
            <w:top w:val="none" w:sz="0" w:space="0" w:color="auto"/>
            <w:left w:val="none" w:sz="0" w:space="0" w:color="auto"/>
            <w:bottom w:val="none" w:sz="0" w:space="0" w:color="auto"/>
            <w:right w:val="none" w:sz="0" w:space="0" w:color="auto"/>
          </w:divBdr>
          <w:divsChild>
            <w:div w:id="94242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1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www.gurufocus.com/term/cash-conversion-cycle/TSLA" TargetMode="External"/><Relationship Id="rId26" Type="http://schemas.openxmlformats.org/officeDocument/2006/relationships/hyperlink" Target="https://www.stock-analysis-on.net/NASDAQ/Company/Tesla-Inc/Ratios/Short-term-Operating-Activity" TargetMode="External"/><Relationship Id="rId3" Type="http://schemas.openxmlformats.org/officeDocument/2006/relationships/styles" Target="styles.xml"/><Relationship Id="rId21" Type="http://schemas.openxmlformats.org/officeDocument/2006/relationships/hyperlink" Target="https://www.macrotrends.net/stocks/charts/TSLA/tesla/free-cash-flow" TargetMode="External"/><Relationship Id="rId34" Type="http://schemas.openxmlformats.org/officeDocument/2006/relationships/hyperlink" Target="https://www.wsj.com/business/autos/teslas-global-vehicle-deliveries-fell-in-2024-for-the-first-time-in-years-03887c5e"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www.gurufocus.com/term/cash-conversion-cycle/TSLA" TargetMode="External"/><Relationship Id="rId25" Type="http://schemas.openxmlformats.org/officeDocument/2006/relationships/hyperlink" Target="https://www.reuters.com/legal/transactional/musk-scorned-shady-loopholes-yet-offshore-tax-tricks-likely-saved-tesla-hundreds-2026-04-20" TargetMode="External"/><Relationship Id="rId33" Type="http://schemas.openxmlformats.org/officeDocument/2006/relationships/hyperlink" Target="https://assets-ir.tesla.com/tesla-contents/IR/TSLA-Q4-2025-Update.pdf" TargetMode="External"/><Relationship Id="rId2" Type="http://schemas.openxmlformats.org/officeDocument/2006/relationships/numbering" Target="numbering.xml"/><Relationship Id="rId16" Type="http://schemas.openxmlformats.org/officeDocument/2006/relationships/hyperlink" Target="https://www.mheducation.com/highered/product/principles-corporate-finance-brealey-myers/M9781260013900.html" TargetMode="External"/><Relationship Id="rId20" Type="http://schemas.openxmlformats.org/officeDocument/2006/relationships/hyperlink" Target="https://ph.investing.com/equities/tesla-motors-financial-summary" TargetMode="External"/><Relationship Id="rId29" Type="http://schemas.openxmlformats.org/officeDocument/2006/relationships/hyperlink" Target="https://www.sec.gov/Archives/edgar/data/1318605/000162828024032662/tsla-2024063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reuters.com/business/autos-transportation/tesla-revenue-misses-estimates-demand-weakens-2026-04-22" TargetMode="External"/><Relationship Id="rId32" Type="http://schemas.openxmlformats.org/officeDocument/2006/relationships/hyperlink" Target="https://www.macrotrends.net/stocks/charts/TSLA/tesla/revenue" TargetMode="External"/><Relationship Id="rId5" Type="http://schemas.openxmlformats.org/officeDocument/2006/relationships/webSettings" Target="webSettings.xml"/><Relationship Id="rId15" Type="http://schemas.openxmlformats.org/officeDocument/2006/relationships/hyperlink" Target="https://bfiinsights.com/analysis/tesla/" TargetMode="External"/><Relationship Id="rId23" Type="http://schemas.openxmlformats.org/officeDocument/2006/relationships/hyperlink" Target="https://medium.com/@nambos3rd/tesla-full-year-2024-analysis-a-review-of-actual-performance-my-financial-forecast-41ee70091b5a" TargetMode="External"/><Relationship Id="rId28" Type="http://schemas.openxmlformats.org/officeDocument/2006/relationships/hyperlink" Target="https://taulia.com/glossary/what-is-the-cash-conversion-cycle-ccc" TargetMode="External"/><Relationship Id="rId36"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www.gurufocus.com/term/days-sales-outstanding/TSLA" TargetMode="External"/><Relationship Id="rId31" Type="http://schemas.openxmlformats.org/officeDocument/2006/relationships/hyperlink" Target="https://www.sec.gov/Archives/edgar/data/1318605/000162828025045861/exhibit991.htm"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4cassociates.com/2024/03/04/money-in-one-hand-money-out-the-other-cash-choreography/" TargetMode="External"/><Relationship Id="rId22" Type="http://schemas.openxmlformats.org/officeDocument/2006/relationships/hyperlink" Target="https://www.marketwatch.com/story/tesla-is-headed-down-a-path-of-runaway-unsustainable-spending-analysts-warn-60f16c6c" TargetMode="External"/><Relationship Id="rId27" Type="http://schemas.openxmlformats.org/officeDocument/2006/relationships/hyperlink" Target="https://www.sec.gov/Archives/edgar/data/1318605/000162828025003063/tsla-20241231.htm" TargetMode="External"/><Relationship Id="rId30" Type="http://schemas.openxmlformats.org/officeDocument/2006/relationships/hyperlink" Target="https://www.sec.gov/Archives/edgar/data/1318605/000162828026003952/tsla-20251231.htm" TargetMode="External"/><Relationship Id="rId35" Type="http://schemas.openxmlformats.org/officeDocument/2006/relationships/fontTable" Target="fontTable.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TANISHA%20JAISWAL\Downloads\Tesla_Appendix_Figure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TANISHA%20JAISWAL\Downloads\Tesla_Appendix_Figure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TANISHA%20JAISWAL\Downloads\Tesla_Appendix_Figure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TANISHA%20JAISWAL\Downloads\Tesla_Appendix_Figures.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C:\Users\TANISHA%20JAISWAL\Downloads\Tesla_Appendix_Figure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Revenue Trend (2020–2024)</a:t>
            </a:r>
          </a:p>
        </c:rich>
      </c:tx>
      <c:overlay val="1"/>
    </c:title>
    <c:autoTitleDeleted val="0"/>
    <c:plotArea>
      <c:layout/>
      <c:lineChart>
        <c:grouping val="standard"/>
        <c:varyColors val="1"/>
        <c:ser>
          <c:idx val="0"/>
          <c:order val="0"/>
          <c:tx>
            <c:strRef>
              <c:f>Revenue!$B$1</c:f>
              <c:strCache>
                <c:ptCount val="1"/>
                <c:pt idx="0">
                  <c:v>Revenue ($bn)</c:v>
                </c:pt>
              </c:strCache>
            </c:strRef>
          </c:tx>
          <c:spPr>
            <a:ln>
              <a:prstDash val="solid"/>
            </a:ln>
          </c:spPr>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Revenue!$A$2:$A$6</c:f>
              <c:numCache>
                <c:formatCode>General</c:formatCode>
                <c:ptCount val="5"/>
                <c:pt idx="0">
                  <c:v>2020</c:v>
                </c:pt>
                <c:pt idx="1">
                  <c:v>2021</c:v>
                </c:pt>
                <c:pt idx="2">
                  <c:v>2022</c:v>
                </c:pt>
                <c:pt idx="3">
                  <c:v>2023</c:v>
                </c:pt>
                <c:pt idx="4">
                  <c:v>2024</c:v>
                </c:pt>
              </c:numCache>
            </c:numRef>
          </c:cat>
          <c:val>
            <c:numRef>
              <c:f>Revenue!$B$2:$B$6</c:f>
              <c:numCache>
                <c:formatCode>General</c:formatCode>
                <c:ptCount val="5"/>
                <c:pt idx="0">
                  <c:v>31.5</c:v>
                </c:pt>
                <c:pt idx="1">
                  <c:v>53.8</c:v>
                </c:pt>
                <c:pt idx="2">
                  <c:v>81.5</c:v>
                </c:pt>
                <c:pt idx="3">
                  <c:v>96.8</c:v>
                </c:pt>
                <c:pt idx="4">
                  <c:v>97.7</c:v>
                </c:pt>
              </c:numCache>
            </c:numRef>
          </c:val>
          <c:smooth val="1"/>
          <c:extLst>
            <c:ext xmlns:c16="http://schemas.microsoft.com/office/drawing/2014/chart" uri="{C3380CC4-5D6E-409C-BE32-E72D297353CC}">
              <c16:uniqueId val="{00000000-0D93-4DE3-B1DA-AEAC899E5096}"/>
            </c:ext>
          </c:extLst>
        </c:ser>
        <c:dLbls>
          <c:dLblPos val="t"/>
          <c:showLegendKey val="0"/>
          <c:showVal val="1"/>
          <c:showCatName val="0"/>
          <c:showSerName val="0"/>
          <c:showPercent val="0"/>
          <c:showBubbleSize val="0"/>
        </c:dLbls>
        <c:smooth val="0"/>
        <c:axId val="10"/>
        <c:axId val="100"/>
      </c:lineChart>
      <c:catAx>
        <c:axId val="10"/>
        <c:scaling>
          <c:orientation val="minMax"/>
        </c:scaling>
        <c:delete val="0"/>
        <c:axPos val="b"/>
        <c:numFmt formatCode="General" sourceLinked="1"/>
        <c:majorTickMark val="out"/>
        <c:minorTickMark val="none"/>
        <c:tickLblPos val="nextTo"/>
        <c:crossAx val="100"/>
        <c:crosses val="autoZero"/>
        <c:auto val="1"/>
        <c:lblAlgn val="ctr"/>
        <c:lblOffset val="100"/>
        <c:noMultiLvlLbl val="1"/>
      </c:catAx>
      <c:valAx>
        <c:axId val="100"/>
        <c:scaling>
          <c:orientation val="minMax"/>
        </c:scaling>
        <c:delete val="0"/>
        <c:axPos val="l"/>
        <c:majorGridlines/>
        <c:numFmt formatCode="General" sourceLinked="1"/>
        <c:majorTickMark val="out"/>
        <c:minorTickMark val="none"/>
        <c:tickLblPos val="nextTo"/>
        <c:crossAx val="10"/>
        <c:crosses val="autoZero"/>
        <c:crossBetween val="between"/>
      </c:valAx>
    </c:plotArea>
    <c:legend>
      <c:legendPos val="r"/>
      <c:overlay val="0"/>
    </c:legend>
    <c:plotVisOnly val="1"/>
    <c:dispBlanksAs val="gap"/>
    <c:showDLblsOverMax val="1"/>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Net Profit Trend (2020–2024)</a:t>
            </a:r>
          </a:p>
        </c:rich>
      </c:tx>
      <c:overlay val="1"/>
    </c:title>
    <c:autoTitleDeleted val="0"/>
    <c:plotArea>
      <c:layout/>
      <c:lineChart>
        <c:grouping val="standard"/>
        <c:varyColors val="1"/>
        <c:ser>
          <c:idx val="0"/>
          <c:order val="0"/>
          <c:tx>
            <c:strRef>
              <c:f>'Net Profit'!$B$1</c:f>
              <c:strCache>
                <c:ptCount val="1"/>
                <c:pt idx="0">
                  <c:v>Net Profit ($bn)</c:v>
                </c:pt>
              </c:strCache>
            </c:strRef>
          </c:tx>
          <c:spPr>
            <a:ln>
              <a:prstDash val="solid"/>
            </a:ln>
          </c:spPr>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'Net Profit'!$A$2:$A$6</c:f>
              <c:numCache>
                <c:formatCode>General</c:formatCode>
                <c:ptCount val="5"/>
                <c:pt idx="0">
                  <c:v>2020</c:v>
                </c:pt>
                <c:pt idx="1">
                  <c:v>2021</c:v>
                </c:pt>
                <c:pt idx="2">
                  <c:v>2022</c:v>
                </c:pt>
                <c:pt idx="3">
                  <c:v>2023</c:v>
                </c:pt>
                <c:pt idx="4">
                  <c:v>2024</c:v>
                </c:pt>
              </c:numCache>
            </c:numRef>
          </c:cat>
          <c:val>
            <c:numRef>
              <c:f>'Net Profit'!$B$2:$B$6</c:f>
              <c:numCache>
                <c:formatCode>General</c:formatCode>
                <c:ptCount val="5"/>
                <c:pt idx="0">
                  <c:v>0.72</c:v>
                </c:pt>
                <c:pt idx="1">
                  <c:v>5.52</c:v>
                </c:pt>
                <c:pt idx="2">
                  <c:v>12.6</c:v>
                </c:pt>
                <c:pt idx="3">
                  <c:v>15</c:v>
                </c:pt>
                <c:pt idx="4">
                  <c:v>7.1</c:v>
                </c:pt>
              </c:numCache>
            </c:numRef>
          </c:val>
          <c:smooth val="1"/>
          <c:extLst>
            <c:ext xmlns:c16="http://schemas.microsoft.com/office/drawing/2014/chart" uri="{C3380CC4-5D6E-409C-BE32-E72D297353CC}">
              <c16:uniqueId val="{00000000-FFFA-4619-9754-D924D36A9499}"/>
            </c:ext>
          </c:extLst>
        </c:ser>
        <c:dLbls>
          <c:dLblPos val="t"/>
          <c:showLegendKey val="0"/>
          <c:showVal val="1"/>
          <c:showCatName val="0"/>
          <c:showSerName val="0"/>
          <c:showPercent val="0"/>
          <c:showBubbleSize val="0"/>
        </c:dLbls>
        <c:smooth val="0"/>
        <c:axId val="10"/>
        <c:axId val="100"/>
      </c:lineChart>
      <c:catAx>
        <c:axId val="10"/>
        <c:scaling>
          <c:orientation val="minMax"/>
        </c:scaling>
        <c:delete val="0"/>
        <c:axPos val="b"/>
        <c:numFmt formatCode="General" sourceLinked="1"/>
        <c:majorTickMark val="out"/>
        <c:minorTickMark val="none"/>
        <c:tickLblPos val="nextTo"/>
        <c:crossAx val="100"/>
        <c:crosses val="autoZero"/>
        <c:auto val="1"/>
        <c:lblAlgn val="ctr"/>
        <c:lblOffset val="100"/>
        <c:noMultiLvlLbl val="1"/>
      </c:catAx>
      <c:valAx>
        <c:axId val="100"/>
        <c:scaling>
          <c:orientation val="minMax"/>
        </c:scaling>
        <c:delete val="0"/>
        <c:axPos val="l"/>
        <c:majorGridlines/>
        <c:numFmt formatCode="General" sourceLinked="1"/>
        <c:majorTickMark val="out"/>
        <c:minorTickMark val="none"/>
        <c:tickLblPos val="nextTo"/>
        <c:crossAx val="10"/>
        <c:crosses val="autoZero"/>
        <c:crossBetween val="between"/>
      </c:valAx>
    </c:plotArea>
    <c:legend>
      <c:legendPos val="r"/>
      <c:overlay val="0"/>
    </c:legend>
    <c:plotVisOnly val="1"/>
    <c:dispBlanksAs val="gap"/>
    <c:showDLblsOverMax val="1"/>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latin typeface="Times New Roman" panose="02020603050405020304" pitchFamily="18" charset="0"/>
                <a:cs typeface="Times New Roman" panose="02020603050405020304" pitchFamily="18" charset="0"/>
              </a:defRPr>
            </a:pPr>
            <a:r>
              <a:rPr lang="en-US" sz="1400">
                <a:latin typeface="Times New Roman" panose="02020603050405020304" pitchFamily="18" charset="0"/>
                <a:cs typeface="Times New Roman" panose="02020603050405020304" pitchFamily="18" charset="0"/>
              </a:rPr>
              <a:t>Profitability &amp; Liquidity Ratios</a:t>
            </a:r>
          </a:p>
        </c:rich>
      </c:tx>
      <c:overlay val="1"/>
    </c:title>
    <c:autoTitleDeleted val="0"/>
    <c:plotArea>
      <c:layout/>
      <c:lineChart>
        <c:grouping val="standard"/>
        <c:varyColors val="1"/>
        <c:ser>
          <c:idx val="0"/>
          <c:order val="0"/>
          <c:tx>
            <c:strRef>
              <c:f>Ratios!$B$1</c:f>
              <c:strCache>
                <c:ptCount val="1"/>
                <c:pt idx="0">
                  <c:v>Net Profit Margin (%)</c:v>
                </c:pt>
              </c:strCache>
            </c:strRef>
          </c:tx>
          <c:spPr>
            <a:ln>
              <a:prstDash val="solid"/>
            </a:ln>
          </c:spPr>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Ratios!$A$2:$A$6</c:f>
              <c:numCache>
                <c:formatCode>General</c:formatCode>
                <c:ptCount val="5"/>
                <c:pt idx="0">
                  <c:v>2020</c:v>
                </c:pt>
                <c:pt idx="1">
                  <c:v>2021</c:v>
                </c:pt>
                <c:pt idx="2">
                  <c:v>2022</c:v>
                </c:pt>
                <c:pt idx="3">
                  <c:v>2023</c:v>
                </c:pt>
                <c:pt idx="4">
                  <c:v>2024</c:v>
                </c:pt>
              </c:numCache>
            </c:numRef>
          </c:cat>
          <c:val>
            <c:numRef>
              <c:f>Ratios!$B$2:$B$6</c:f>
              <c:numCache>
                <c:formatCode>General</c:formatCode>
                <c:ptCount val="5"/>
                <c:pt idx="0">
                  <c:v>2.2999999999999998</c:v>
                </c:pt>
                <c:pt idx="1">
                  <c:v>10.3</c:v>
                </c:pt>
                <c:pt idx="2">
                  <c:v>15.4</c:v>
                </c:pt>
                <c:pt idx="3">
                  <c:v>15.5</c:v>
                </c:pt>
                <c:pt idx="4">
                  <c:v>7.3</c:v>
                </c:pt>
              </c:numCache>
            </c:numRef>
          </c:val>
          <c:smooth val="1"/>
          <c:extLst>
            <c:ext xmlns:c16="http://schemas.microsoft.com/office/drawing/2014/chart" uri="{C3380CC4-5D6E-409C-BE32-E72D297353CC}">
              <c16:uniqueId val="{00000000-5060-4CAD-BFC5-BC4C7307B496}"/>
            </c:ext>
          </c:extLst>
        </c:ser>
        <c:ser>
          <c:idx val="1"/>
          <c:order val="1"/>
          <c:tx>
            <c:strRef>
              <c:f>Ratios!$C$1</c:f>
              <c:strCache>
                <c:ptCount val="1"/>
                <c:pt idx="0">
                  <c:v>Current Ratio</c:v>
                </c:pt>
              </c:strCache>
            </c:strRef>
          </c:tx>
          <c:spPr>
            <a:ln>
              <a:prstDash val="solid"/>
            </a:ln>
          </c:spPr>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Ratios!$A$2:$A$6</c:f>
              <c:numCache>
                <c:formatCode>General</c:formatCode>
                <c:ptCount val="5"/>
                <c:pt idx="0">
                  <c:v>2020</c:v>
                </c:pt>
                <c:pt idx="1">
                  <c:v>2021</c:v>
                </c:pt>
                <c:pt idx="2">
                  <c:v>2022</c:v>
                </c:pt>
                <c:pt idx="3">
                  <c:v>2023</c:v>
                </c:pt>
                <c:pt idx="4">
                  <c:v>2024</c:v>
                </c:pt>
              </c:numCache>
            </c:numRef>
          </c:cat>
          <c:val>
            <c:numRef>
              <c:f>Ratios!$C$2:$C$6</c:f>
              <c:numCache>
                <c:formatCode>General</c:formatCode>
                <c:ptCount val="5"/>
                <c:pt idx="0">
                  <c:v>1.88</c:v>
                </c:pt>
                <c:pt idx="1">
                  <c:v>2.02</c:v>
                </c:pt>
                <c:pt idx="2">
                  <c:v>2.16</c:v>
                </c:pt>
                <c:pt idx="3">
                  <c:v>1.73</c:v>
                </c:pt>
                <c:pt idx="4">
                  <c:v>1.53</c:v>
                </c:pt>
              </c:numCache>
            </c:numRef>
          </c:val>
          <c:smooth val="1"/>
          <c:extLst>
            <c:ext xmlns:c16="http://schemas.microsoft.com/office/drawing/2014/chart" uri="{C3380CC4-5D6E-409C-BE32-E72D297353CC}">
              <c16:uniqueId val="{00000001-5060-4CAD-BFC5-BC4C7307B496}"/>
            </c:ext>
          </c:extLst>
        </c:ser>
        <c:ser>
          <c:idx val="2"/>
          <c:order val="2"/>
          <c:tx>
            <c:strRef>
              <c:f>Ratios!$D$1</c:f>
              <c:strCache>
                <c:ptCount val="1"/>
                <c:pt idx="0">
                  <c:v>Quick Ratio</c:v>
                </c:pt>
              </c:strCache>
            </c:strRef>
          </c:tx>
          <c:spPr>
            <a:ln>
              <a:prstDash val="solid"/>
            </a:ln>
          </c:spPr>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Ratios!$A$2:$A$6</c:f>
              <c:numCache>
                <c:formatCode>General</c:formatCode>
                <c:ptCount val="5"/>
                <c:pt idx="0">
                  <c:v>2020</c:v>
                </c:pt>
                <c:pt idx="1">
                  <c:v>2021</c:v>
                </c:pt>
                <c:pt idx="2">
                  <c:v>2022</c:v>
                </c:pt>
                <c:pt idx="3">
                  <c:v>2023</c:v>
                </c:pt>
                <c:pt idx="4">
                  <c:v>2024</c:v>
                </c:pt>
              </c:numCache>
            </c:numRef>
          </c:cat>
          <c:val>
            <c:numRef>
              <c:f>Ratios!$D$2:$D$6</c:f>
              <c:numCache>
                <c:formatCode>General</c:formatCode>
                <c:ptCount val="5"/>
                <c:pt idx="0">
                  <c:v>1.49</c:v>
                </c:pt>
                <c:pt idx="1">
                  <c:v>1.42</c:v>
                </c:pt>
                <c:pt idx="2">
                  <c:v>1.53</c:v>
                </c:pt>
                <c:pt idx="3">
                  <c:v>1.1299999999999999</c:v>
                </c:pt>
                <c:pt idx="4">
                  <c:v>0.94</c:v>
                </c:pt>
              </c:numCache>
            </c:numRef>
          </c:val>
          <c:smooth val="1"/>
          <c:extLst>
            <c:ext xmlns:c16="http://schemas.microsoft.com/office/drawing/2014/chart" uri="{C3380CC4-5D6E-409C-BE32-E72D297353CC}">
              <c16:uniqueId val="{00000002-5060-4CAD-BFC5-BC4C7307B496}"/>
            </c:ext>
          </c:extLst>
        </c:ser>
        <c:dLbls>
          <c:dLblPos val="t"/>
          <c:showLegendKey val="0"/>
          <c:showVal val="1"/>
          <c:showCatName val="0"/>
          <c:showSerName val="0"/>
          <c:showPercent val="0"/>
          <c:showBubbleSize val="0"/>
        </c:dLbls>
        <c:smooth val="0"/>
        <c:axId val="10"/>
        <c:axId val="100"/>
      </c:lineChart>
      <c:catAx>
        <c:axId val="10"/>
        <c:scaling>
          <c:orientation val="minMax"/>
        </c:scaling>
        <c:delete val="0"/>
        <c:axPos val="b"/>
        <c:numFmt formatCode="General" sourceLinked="1"/>
        <c:majorTickMark val="out"/>
        <c:minorTickMark val="none"/>
        <c:tickLblPos val="nextTo"/>
        <c:crossAx val="100"/>
        <c:crosses val="autoZero"/>
        <c:auto val="1"/>
        <c:lblAlgn val="ctr"/>
        <c:lblOffset val="100"/>
        <c:noMultiLvlLbl val="1"/>
      </c:catAx>
      <c:valAx>
        <c:axId val="100"/>
        <c:scaling>
          <c:orientation val="minMax"/>
        </c:scaling>
        <c:delete val="0"/>
        <c:axPos val="l"/>
        <c:majorGridlines/>
        <c:numFmt formatCode="General" sourceLinked="1"/>
        <c:majorTickMark val="out"/>
        <c:minorTickMark val="none"/>
        <c:tickLblPos val="nextTo"/>
        <c:crossAx val="10"/>
        <c:crosses val="autoZero"/>
        <c:crossBetween val="between"/>
      </c:valAx>
    </c:plotArea>
    <c:legend>
      <c:legendPos val="r"/>
      <c:overlay val="1"/>
    </c:legend>
    <c:plotVisOnly val="1"/>
    <c:dispBlanksAs val="gap"/>
    <c:showDLblsOverMax val="1"/>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00">
                <a:latin typeface="Times New Roman" panose="02020603050405020304" pitchFamily="18" charset="0"/>
                <a:cs typeface="Times New Roman" panose="02020603050405020304" pitchFamily="18" charset="0"/>
              </a:defRPr>
            </a:pPr>
            <a:r>
              <a:rPr lang="en-US" sz="1600">
                <a:latin typeface="Times New Roman" panose="02020603050405020304" pitchFamily="18" charset="0"/>
                <a:cs typeface="Times New Roman" panose="02020603050405020304" pitchFamily="18" charset="0"/>
              </a:rPr>
              <a:t>Cash Conversion Cycle</a:t>
            </a:r>
          </a:p>
        </c:rich>
      </c:tx>
      <c:overlay val="1"/>
    </c:title>
    <c:autoTitleDeleted val="0"/>
    <c:plotArea>
      <c:layout/>
      <c:barChart>
        <c:barDir val="col"/>
        <c:grouping val="clustered"/>
        <c:varyColors val="1"/>
        <c:ser>
          <c:idx val="0"/>
          <c:order val="0"/>
          <c:tx>
            <c:strRef>
              <c:f>CCC!$B$1</c:f>
              <c:strCache>
                <c:ptCount val="1"/>
                <c:pt idx="0">
                  <c:v>Days</c:v>
                </c:pt>
              </c:strCache>
            </c:strRef>
          </c:tx>
          <c:spPr>
            <a:ln>
              <a:prstDash val="solid"/>
            </a:ln>
          </c:spPr>
          <c:invertIfNegative val="1"/>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CCC!$A$2:$A$5</c:f>
              <c:strCache>
                <c:ptCount val="4"/>
                <c:pt idx="0">
                  <c:v>Inventory Days</c:v>
                </c:pt>
                <c:pt idx="1">
                  <c:v>Receivable Days</c:v>
                </c:pt>
                <c:pt idx="2">
                  <c:v>Payable Days</c:v>
                </c:pt>
                <c:pt idx="3">
                  <c:v>Cash Conversion Cycle</c:v>
                </c:pt>
              </c:strCache>
            </c:strRef>
          </c:cat>
          <c:val>
            <c:numRef>
              <c:f>CCC!$B$2:$B$5</c:f>
              <c:numCache>
                <c:formatCode>General</c:formatCode>
                <c:ptCount val="4"/>
                <c:pt idx="0">
                  <c:v>56</c:v>
                </c:pt>
                <c:pt idx="1">
                  <c:v>17</c:v>
                </c:pt>
                <c:pt idx="2">
                  <c:v>60</c:v>
                </c:pt>
                <c:pt idx="3">
                  <c:v>13</c:v>
                </c:pt>
              </c:numCache>
            </c:numRef>
          </c:val>
          <c:extLst>
            <c:ext xmlns:c16="http://schemas.microsoft.com/office/drawing/2014/chart" uri="{C3380CC4-5D6E-409C-BE32-E72D297353CC}">
              <c16:uniqueId val="{00000000-36F7-438D-B270-AC538F3922CE}"/>
            </c:ext>
          </c:extLst>
        </c:ser>
        <c:dLbls>
          <c:dLblPos val="outEnd"/>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out"/>
        <c:minorTickMark val="none"/>
        <c:tickLblPos val="nextTo"/>
        <c:crossAx val="100"/>
        <c:crosses val="autoZero"/>
        <c:auto val="1"/>
        <c:lblAlgn val="ctr"/>
        <c:lblOffset val="100"/>
        <c:noMultiLvlLbl val="1"/>
      </c:catAx>
      <c:valAx>
        <c:axId val="100"/>
        <c:scaling>
          <c:orientation val="minMax"/>
        </c:scaling>
        <c:delete val="0"/>
        <c:axPos val="l"/>
        <c:majorGridlines/>
        <c:numFmt formatCode="General" sourceLinked="1"/>
        <c:majorTickMark val="out"/>
        <c:minorTickMark val="none"/>
        <c:tickLblPos val="nextTo"/>
        <c:crossAx val="10"/>
        <c:crosses val="autoZero"/>
        <c:crossBetween val="between"/>
      </c:valAx>
    </c:plotArea>
    <c:legend>
      <c:legendPos val="r"/>
      <c:overlay val="0"/>
    </c:legend>
    <c:plotVisOnly val="1"/>
    <c:dispBlanksAs val="gap"/>
    <c:showDLblsOverMax val="1"/>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1"/>
        <c:ser>
          <c:idx val="0"/>
          <c:order val="0"/>
          <c:tx>
            <c:strRef>
              <c:f>'Capital Rationing'!$B$1</c:f>
              <c:strCache>
                <c:ptCount val="1"/>
                <c:pt idx="0">
                  <c:v>Total NPV (£m)</c:v>
                </c:pt>
              </c:strCache>
            </c:strRef>
          </c:tx>
          <c:invertIfNegative val="1"/>
          <c:dPt>
            <c:idx val="0"/>
            <c:invertIfNegative val="1"/>
            <c:bubble3D val="0"/>
            <c:spPr>
              <a:pattFill prst="narHorz">
                <a:fgClr>
                  <a:schemeClr val="accent1"/>
                </a:fgClr>
                <a:bgClr>
                  <a:schemeClr val="accent1">
                    <a:lumMod val="20000"/>
                    <a:lumOff val="80000"/>
                  </a:schemeClr>
                </a:bgClr>
              </a:pattFill>
              <a:ln>
                <a:noFill/>
              </a:ln>
              <a:effectLst>
                <a:innerShdw blurRad="114300">
                  <a:schemeClr val="accent1"/>
                </a:innerShdw>
              </a:effectLst>
            </c:spPr>
            <c:extLst>
              <c:ext xmlns:c16="http://schemas.microsoft.com/office/drawing/2014/chart" uri="{C3380CC4-5D6E-409C-BE32-E72D297353CC}">
                <c16:uniqueId val="{00000001-E5EC-40DA-8862-6A54C1659B21}"/>
              </c:ext>
            </c:extLst>
          </c:dPt>
          <c:dPt>
            <c:idx val="1"/>
            <c:invertIfNegative val="1"/>
            <c:bubble3D val="0"/>
            <c:spPr>
              <a:pattFill prst="narHorz">
                <a:fgClr>
                  <a:schemeClr val="accent2"/>
                </a:fgClr>
                <a:bgClr>
                  <a:schemeClr val="accent2">
                    <a:lumMod val="20000"/>
                    <a:lumOff val="80000"/>
                  </a:schemeClr>
                </a:bgClr>
              </a:pattFill>
              <a:ln>
                <a:noFill/>
              </a:ln>
              <a:effectLst>
                <a:innerShdw blurRad="114300">
                  <a:schemeClr val="accent2"/>
                </a:innerShdw>
              </a:effectLst>
            </c:spPr>
            <c:extLst>
              <c:ext xmlns:c16="http://schemas.microsoft.com/office/drawing/2014/chart" uri="{C3380CC4-5D6E-409C-BE32-E72D297353CC}">
                <c16:uniqueId val="{00000003-E5EC-40DA-8862-6A54C1659B21}"/>
              </c:ext>
            </c:extLst>
          </c:dPt>
          <c:dPt>
            <c:idx val="2"/>
            <c:invertIfNegative val="1"/>
            <c:bubble3D val="0"/>
            <c:spPr>
              <a:pattFill prst="narHorz">
                <a:fgClr>
                  <a:schemeClr val="accent3"/>
                </a:fgClr>
                <a:bgClr>
                  <a:schemeClr val="accent3">
                    <a:lumMod val="20000"/>
                    <a:lumOff val="80000"/>
                  </a:schemeClr>
                </a:bgClr>
              </a:pattFill>
              <a:ln>
                <a:noFill/>
              </a:ln>
              <a:effectLst>
                <a:innerShdw blurRad="114300">
                  <a:schemeClr val="accent3"/>
                </a:innerShdw>
              </a:effectLst>
            </c:spPr>
            <c:extLst>
              <c:ext xmlns:c16="http://schemas.microsoft.com/office/drawing/2014/chart" uri="{C3380CC4-5D6E-409C-BE32-E72D297353CC}">
                <c16:uniqueId val="{00000005-E5EC-40DA-8862-6A54C1659B2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'Capital Rationing'!$A$2:$A$4</c:f>
              <c:strCache>
                <c:ptCount val="3"/>
                <c:pt idx="0">
                  <c:v>A + B</c:v>
                </c:pt>
                <c:pt idx="1">
                  <c:v>A + C</c:v>
                </c:pt>
                <c:pt idx="2">
                  <c:v>B + C</c:v>
                </c:pt>
              </c:strCache>
            </c:strRef>
          </c:cat>
          <c:val>
            <c:numRef>
              <c:f>'Capital Rationing'!$B$2:$B$4</c:f>
              <c:numCache>
                <c:formatCode>General</c:formatCode>
                <c:ptCount val="3"/>
                <c:pt idx="0">
                  <c:v>-17</c:v>
                </c:pt>
                <c:pt idx="1">
                  <c:v>-10.67</c:v>
                </c:pt>
                <c:pt idx="2">
                  <c:v>-10.29</c:v>
                </c:pt>
              </c:numCache>
            </c:numRef>
          </c:val>
          <c:extLst>
            <c:ext xmlns:c16="http://schemas.microsoft.com/office/drawing/2014/chart" uri="{C3380CC4-5D6E-409C-BE32-E72D297353CC}">
              <c16:uniqueId val="{00000006-E5EC-40DA-8862-6A54C1659B21}"/>
            </c:ext>
          </c:extLst>
        </c:ser>
        <c:dLbls>
          <c:dLblPos val="outEnd"/>
          <c:showLegendKey val="0"/>
          <c:showVal val="1"/>
          <c:showCatName val="0"/>
          <c:showSerName val="0"/>
          <c:showPercent val="0"/>
          <c:showBubbleSize val="0"/>
        </c:dLbls>
        <c:gapWidth val="164"/>
        <c:overlap val="-22"/>
        <c:axId val="10"/>
        <c:axId val="100"/>
      </c:barChart>
      <c:catAx>
        <c:axId val="1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t"/>
      <c:layout>
        <c:manualLayout>
          <c:xMode val="edge"/>
          <c:yMode val="edge"/>
          <c:x val="0.38867154412237981"/>
          <c:y val="1.8665422305179653E-2"/>
          <c:w val="0.22047707524297883"/>
          <c:h val="5.560777138042066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2F09181-A926-47DC-A66A-C54EFEBEE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38</Pages>
  <Words>6516</Words>
  <Characters>37143</Characters>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Lotiwan</dc:creator>
  <cp:keywords/>
  <dc:description/>
  <dcterms:created xsi:type="dcterms:W3CDTF">2026-04-26T05:25:00Z</dcterms:created>
  <dcterms:modified xsi:type="dcterms:W3CDTF">2026-04-27T12:55:00Z</dcterms:modified>
</cp:coreProperties>
</file>