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779F6A7">
      <w:pPr>
        <w:rPr>
          <w:rFonts w:hint="default" w:ascii="Arial" w:hAnsi="Arial" w:eastAsia="Arial" w:cs="Arial"/>
          <w:b w:val="0"/>
          <w:bCs w:val="0"/>
          <w:color w:val="000000" w:themeColor="text1"/>
          <w:sz w:val="24"/>
          <w:szCs w:val="24"/>
          <w:lang w:val="en-GB"/>
          <w14:textFill>
            <w14:solidFill>
              <w14:schemeClr w14:val="tx1"/>
            </w14:solidFill>
          </w14:textFill>
        </w:rPr>
      </w:pPr>
      <w:r>
        <w:rPr>
          <w:rFonts w:hint="default" w:ascii="Arial" w:hAnsi="Arial" w:eastAsia="Arial" w:cs="Arial"/>
          <w:b w:val="0"/>
          <w:bCs w:val="0"/>
          <w:color w:val="000000" w:themeColor="text1"/>
          <w:sz w:val="24"/>
          <w:szCs w:val="24"/>
          <w:lang w:val="en-GB"/>
          <w14:textFill>
            <w14:solidFill>
              <w14:schemeClr w14:val="tx1"/>
            </w14:solidFill>
          </w14:textFill>
        </w:rPr>
        <w:t>Shannon Fry</w:t>
      </w:r>
    </w:p>
    <w:p w14:paraId="1D29CCC2">
      <w:pPr>
        <w:rPr>
          <w:rFonts w:hint="default" w:ascii="Arial" w:hAnsi="Arial" w:eastAsia="Arial" w:cs="Arial"/>
          <w:b w:val="0"/>
          <w:bCs w:val="0"/>
          <w:color w:val="000000" w:themeColor="text1"/>
          <w:sz w:val="24"/>
          <w:szCs w:val="24"/>
          <w:lang w:val="en-GB"/>
          <w14:textFill>
            <w14:solidFill>
              <w14:schemeClr w14:val="tx1"/>
            </w14:solidFill>
          </w14:textFill>
        </w:rPr>
      </w:pPr>
      <w:r>
        <w:rPr>
          <w:rFonts w:hint="default" w:ascii="Arial" w:hAnsi="Arial" w:eastAsia="Arial" w:cs="Arial"/>
          <w:b w:val="0"/>
          <w:bCs w:val="0"/>
          <w:color w:val="000000" w:themeColor="text1"/>
          <w:sz w:val="24"/>
          <w:szCs w:val="24"/>
          <w:lang w:val="en-GB"/>
          <w14:textFill>
            <w14:solidFill>
              <w14:schemeClr w14:val="tx1"/>
            </w14:solidFill>
          </w14:textFill>
        </w:rPr>
        <w:t>2505762</w:t>
      </w:r>
    </w:p>
    <w:p w14:paraId="0F7E5F0E">
      <w:pPr>
        <w:widowControl/>
        <w:jc w:val="left"/>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pPr>
      <w:bookmarkStart w:id="0" w:name="_GoBack"/>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ECEY4010</w:t>
      </w: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 </w:t>
      </w:r>
      <w:bookmarkEnd w:id="0"/>
    </w:p>
    <w:p w14:paraId="47309B20">
      <w:pPr>
        <w:widowControl/>
        <w:jc w:val="left"/>
        <w:rPr>
          <w:rFonts w:hint="default" w:ascii="Arial" w:hAnsi="Arial" w:eastAsia="Arial" w:cs="Arial"/>
          <w:b w:val="0"/>
          <w:bCs w:val="0"/>
          <w:color w:val="000000" w:themeColor="text1"/>
          <w:sz w:val="24"/>
          <w:szCs w:val="24"/>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Multilingual practice in the early years</w:t>
      </w:r>
    </w:p>
    <w:p w14:paraId="738C26E9">
      <w:pPr>
        <w:rPr>
          <w:rFonts w:hint="default" w:ascii="Arial" w:hAnsi="Arial" w:eastAsia="Arial" w:cs="Arial"/>
          <w:b w:val="0"/>
          <w:bCs w:val="0"/>
          <w:color w:val="000000" w:themeColor="text1"/>
          <w:sz w:val="24"/>
          <w:szCs w:val="24"/>
          <w:lang w:val="en-GB"/>
          <w14:textFill>
            <w14:solidFill>
              <w14:schemeClr w14:val="tx1"/>
            </w14:solidFill>
          </w14:textFill>
        </w:rPr>
      </w:pPr>
    </w:p>
    <w:p w14:paraId="46967D59">
      <w:pPr>
        <w:rPr>
          <w:rFonts w:hint="default" w:ascii="Arial" w:hAnsi="Arial" w:eastAsia="Arial" w:cs="Arial"/>
          <w:b w:val="0"/>
          <w:bCs w:val="0"/>
          <w:color w:val="000000" w:themeColor="text1"/>
          <w:sz w:val="24"/>
          <w:szCs w:val="24"/>
          <w:lang w:val="en-GB"/>
          <w14:textFill>
            <w14:solidFill>
              <w14:schemeClr w14:val="tx1"/>
            </w14:solidFill>
          </w14:textFill>
        </w:rPr>
      </w:pPr>
    </w:p>
    <w:p w14:paraId="1ADCA931">
      <w:pPr>
        <w:rPr>
          <w:rFonts w:hint="default" w:ascii="Arial" w:hAnsi="Arial" w:eastAsia="Arial" w:cs="Arial"/>
          <w:b w:val="0"/>
          <w:bCs w:val="0"/>
          <w:color w:val="000000" w:themeColor="text1"/>
          <w:sz w:val="24"/>
          <w:szCs w:val="24"/>
          <w:lang w:val="en-GB"/>
          <w14:textFill>
            <w14:solidFill>
              <w14:schemeClr w14:val="tx1"/>
            </w14:solidFill>
          </w14:textFill>
        </w:rPr>
      </w:pPr>
    </w:p>
    <w:p w14:paraId="008088EB">
      <w:pPr>
        <w:rPr>
          <w:rFonts w:hint="default" w:ascii="Arial" w:hAnsi="Arial" w:eastAsia="Arial" w:cs="Arial"/>
          <w:b w:val="0"/>
          <w:bCs w:val="0"/>
          <w:color w:val="000000" w:themeColor="text1"/>
          <w:sz w:val="24"/>
          <w:szCs w:val="24"/>
          <w:lang w:val="en-GB"/>
          <w14:textFill>
            <w14:solidFill>
              <w14:schemeClr w14:val="tx1"/>
            </w14:solidFill>
          </w14:textFill>
        </w:rPr>
      </w:pPr>
    </w:p>
    <w:p w14:paraId="18419A32">
      <w:pPr>
        <w:rPr>
          <w:rFonts w:hint="default" w:ascii="Arial" w:hAnsi="Arial" w:eastAsia="Arial" w:cs="Arial"/>
          <w:b w:val="0"/>
          <w:bCs w:val="0"/>
          <w:color w:val="000000" w:themeColor="text1"/>
          <w:sz w:val="24"/>
          <w:szCs w:val="24"/>
          <w:lang w:val="en-GB"/>
          <w14:textFill>
            <w14:solidFill>
              <w14:schemeClr w14:val="tx1"/>
            </w14:solidFill>
          </w14:textFill>
        </w:rPr>
      </w:pPr>
    </w:p>
    <w:p w14:paraId="07A86235">
      <w:pPr>
        <w:rPr>
          <w:rFonts w:hint="default" w:ascii="Arial" w:hAnsi="Arial" w:eastAsia="Arial" w:cs="Arial"/>
          <w:b w:val="0"/>
          <w:bCs w:val="0"/>
          <w:color w:val="000000" w:themeColor="text1"/>
          <w:sz w:val="24"/>
          <w:szCs w:val="24"/>
          <w:lang w:val="en-GB"/>
          <w14:textFill>
            <w14:solidFill>
              <w14:schemeClr w14:val="tx1"/>
            </w14:solidFill>
          </w14:textFill>
        </w:rPr>
      </w:pPr>
    </w:p>
    <w:p w14:paraId="042348BA">
      <w:pPr>
        <w:rPr>
          <w:rFonts w:hint="default" w:ascii="Arial" w:hAnsi="Arial" w:eastAsia="Arial" w:cs="Arial"/>
          <w:b w:val="0"/>
          <w:bCs w:val="0"/>
          <w:color w:val="000000" w:themeColor="text1"/>
          <w:sz w:val="24"/>
          <w:szCs w:val="24"/>
          <w:lang w:val="en-GB"/>
          <w14:textFill>
            <w14:solidFill>
              <w14:schemeClr w14:val="tx1"/>
            </w14:solidFill>
          </w14:textFill>
        </w:rPr>
      </w:pPr>
    </w:p>
    <w:p w14:paraId="3B46D09A">
      <w:pPr>
        <w:rPr>
          <w:rFonts w:hint="default" w:ascii="Arial" w:hAnsi="Arial" w:eastAsia="Arial" w:cs="Arial"/>
          <w:b w:val="0"/>
          <w:bCs w:val="0"/>
          <w:color w:val="000000" w:themeColor="text1"/>
          <w:sz w:val="24"/>
          <w:szCs w:val="24"/>
          <w:lang w:val="en-GB"/>
          <w14:textFill>
            <w14:solidFill>
              <w14:schemeClr w14:val="tx1"/>
            </w14:solidFill>
          </w14:textFill>
        </w:rPr>
      </w:pPr>
    </w:p>
    <w:p w14:paraId="0FCFFE31">
      <w:pPr>
        <w:rPr>
          <w:rFonts w:hint="default" w:ascii="Arial" w:hAnsi="Arial" w:eastAsia="Arial" w:cs="Arial"/>
          <w:b w:val="0"/>
          <w:bCs w:val="0"/>
          <w:color w:val="000000" w:themeColor="text1"/>
          <w:sz w:val="24"/>
          <w:szCs w:val="24"/>
          <w:lang w:val="en-GB"/>
          <w14:textFill>
            <w14:solidFill>
              <w14:schemeClr w14:val="tx1"/>
            </w14:solidFill>
          </w14:textFill>
        </w:rPr>
      </w:pPr>
    </w:p>
    <w:p w14:paraId="530807DD">
      <w:pPr>
        <w:rPr>
          <w:rFonts w:hint="default" w:ascii="Arial" w:hAnsi="Arial" w:eastAsia="Arial" w:cs="Arial"/>
          <w:b w:val="0"/>
          <w:bCs w:val="0"/>
          <w:color w:val="000000" w:themeColor="text1"/>
          <w:sz w:val="24"/>
          <w:szCs w:val="24"/>
          <w:lang w:val="en-GB"/>
          <w14:textFill>
            <w14:solidFill>
              <w14:schemeClr w14:val="tx1"/>
            </w14:solidFill>
          </w14:textFill>
        </w:rPr>
      </w:pPr>
    </w:p>
    <w:p w14:paraId="3609B390">
      <w:pPr>
        <w:rPr>
          <w:rFonts w:hint="default" w:ascii="Arial" w:hAnsi="Arial" w:eastAsia="Arial" w:cs="Arial"/>
          <w:b w:val="0"/>
          <w:bCs w:val="0"/>
          <w:color w:val="000000" w:themeColor="text1"/>
          <w:sz w:val="24"/>
          <w:szCs w:val="24"/>
          <w:lang w:val="en-GB"/>
          <w14:textFill>
            <w14:solidFill>
              <w14:schemeClr w14:val="tx1"/>
            </w14:solidFill>
          </w14:textFill>
        </w:rPr>
      </w:pPr>
    </w:p>
    <w:p w14:paraId="71ED7056">
      <w:pPr>
        <w:rPr>
          <w:rFonts w:hint="default" w:ascii="Arial" w:hAnsi="Arial" w:eastAsia="Arial" w:cs="Arial"/>
          <w:b w:val="0"/>
          <w:bCs w:val="0"/>
          <w:color w:val="000000" w:themeColor="text1"/>
          <w:sz w:val="24"/>
          <w:szCs w:val="24"/>
          <w:lang w:val="en-GB"/>
          <w14:textFill>
            <w14:solidFill>
              <w14:schemeClr w14:val="tx1"/>
            </w14:solidFill>
          </w14:textFill>
        </w:rPr>
      </w:pPr>
    </w:p>
    <w:p w14:paraId="61021297">
      <w:pPr>
        <w:rPr>
          <w:rFonts w:hint="default" w:ascii="Arial" w:hAnsi="Arial" w:eastAsia="Arial" w:cs="Arial"/>
          <w:b w:val="0"/>
          <w:bCs w:val="0"/>
          <w:color w:val="000000" w:themeColor="text1"/>
          <w:sz w:val="24"/>
          <w:szCs w:val="24"/>
          <w:lang w:val="en-GB"/>
          <w14:textFill>
            <w14:solidFill>
              <w14:schemeClr w14:val="tx1"/>
            </w14:solidFill>
          </w14:textFill>
        </w:rPr>
      </w:pPr>
    </w:p>
    <w:p w14:paraId="216FCC2F">
      <w:pPr>
        <w:rPr>
          <w:rFonts w:hint="default" w:ascii="Arial" w:hAnsi="Arial" w:eastAsia="Arial" w:cs="Arial"/>
          <w:b w:val="0"/>
          <w:bCs w:val="0"/>
          <w:color w:val="000000" w:themeColor="text1"/>
          <w:sz w:val="24"/>
          <w:szCs w:val="24"/>
          <w:lang w:val="en-GB"/>
          <w14:textFill>
            <w14:solidFill>
              <w14:schemeClr w14:val="tx1"/>
            </w14:solidFill>
          </w14:textFill>
        </w:rPr>
      </w:pPr>
    </w:p>
    <w:p w14:paraId="52DE202C">
      <w:pPr>
        <w:rPr>
          <w:rFonts w:hint="default" w:ascii="Arial" w:hAnsi="Arial" w:eastAsia="Arial" w:cs="Arial"/>
          <w:b w:val="0"/>
          <w:bCs w:val="0"/>
          <w:color w:val="000000" w:themeColor="text1"/>
          <w:sz w:val="24"/>
          <w:szCs w:val="24"/>
          <w:lang w:val="en-GB"/>
          <w14:textFill>
            <w14:solidFill>
              <w14:schemeClr w14:val="tx1"/>
            </w14:solidFill>
          </w14:textFill>
        </w:rPr>
      </w:pPr>
    </w:p>
    <w:p w14:paraId="53E19A12">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br w:type="textWrapping"/>
      </w: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Bilingualism is commonly defined as the regular use of two languages, while multilingualism refers to the use of more than two (García and Wei, 2014). In early childhood, bilingual experiences support communication, cultural identity, and cognitive development, making them particularly valuable within Welsh early years settings where the Welsh language is a national priority (Welsh Government, 2022). The activity used for this assignment involved introducing a set of Colour Monster teddies to explore emotional vocabulary. Each emotion was first named in English and then repeated in Welsh, enabling children to associate two linguistic labels with a single emotional concept. The activity also incorporated opportunities for recall, as children were asked to remember which emotion each monster represented. This paper examines the benefits of bilingualism, support for WAL/EAL learners, links to brain development, the role of divergent thinking, and connections to early years frameworks, drawing on examples from the activity throughout.</w:t>
      </w:r>
    </w:p>
    <w:p w14:paraId="01D93FDD">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p>
    <w:p w14:paraId="27DFCE23">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A substantial body of research demonstrates that bilingualism provides cognitive, linguistic, and social advantages for young children. Bialystok (2017) argues that bilingual children develop enhanced cognitive flexibility and attentional control because they regularly switch between linguistic systems, strengthening executive functioning. This ability to shift between languages also supports metalinguistic awareness, enabling children to reflect on how language operates (De Houwer, 2021). In the Welsh context, bilingual experiences additionally support cultural identity and belonging, as the Welsh language forms a central part of national heritage and community life (Welsh Government, 2022). Emotional vocabulary is particularly important in early childhood, and learning feelings in more than one language can deepen children’s understanding and communication. The Colour Monster activity supports these benefits by presenting emotions in both English and Welsh, allowing children to associate two labels with one concept. The visual support of the teddies helps children connect meaning with language, while repetition reinforces vocabulary learning. Through this approach, the activity promotes emotional literacy and bilingual development in a natural and engaging way.</w:t>
      </w:r>
    </w:p>
    <w:p w14:paraId="35B9FE2A">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p>
    <w:p w14:paraId="0DD44638">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Children learning Welsh or English as an Additional Language (WAL/EAL) benefit from environments that provide clear modelling, visual support, and predictable routines (Kirsch, 2020). Effective bilingual practice helps reduce anxiety and supports inclusion by giving children multiple ways to access meaning. The Colour Monster activity aligns with these principles. The teddies act as visual cues that help children understand each emotion even if they are still developing English or Welsh. Emotional vocabulary is familiar and meaningful, making it accessible for learners at different stages. Repeating each emotion in Welsh provides structured exposure to new vocabulary, supporting language acquisition through modelling and reinforcement. Asking children to recall the emotions encourages active engagement and strengthens memory. The predictable pattern of the activity (“This is the colour monster. He feels… ) provides a linguistic scaffold that WAL/EAL learners can follow. This supports confidence, inclusion, and a sense of belonging within the learning environment.</w:t>
      </w:r>
    </w:p>
    <w:p w14:paraId="755F2C48">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p>
    <w:p w14:paraId="73351897">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Early childhood is a sensitive period for brain development, particularly in relation to language learning. Exposure to more than one language strengthens neural pathways associated with memory, attention, and executive functioning (Kovács and Mehler, 2019). Bilingual children often demonstrate enhanced working memory and improved ability to shift attention between tasks because they regularly manage two linguistic systems (Bialystok, 2017). Switching between languages activates cognitive flexibility, which contributes to broader learning skills. Repetition and recall also support neural consolidation, helping children retain new information. The Colour Monster activity supports these processes by encouraging children to listen, process two languages, and match vocabulary to visual representations of emotions. When children are asked to remember which emotion each monster represents, they engage working memory and retrieval processes. The combination of visual cues and bilingual vocabulary strengthens learning pathways and supports long‑term retention. Emotional vocabulary also contributes to self‑regulation, which is linked to the development of the prefrontal cortex. Through its bilingual and interactive structure, the activity provides meaningful opportunities for cognitive and linguistic development.</w:t>
      </w:r>
    </w:p>
    <w:p w14:paraId="2DF9EFBC">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p>
    <w:p w14:paraId="288A191D">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Divergent thinking refers to the ability to generate multiple ideas or perspectives, and it is closely linked to creativity and flexible thought. Research suggests that bilingual children often show enhanced divergent thinking because navigating between languages encourages mental flexibility (Kharkhurin, 2020). Learning that emotions can be expressed in more than one language helps children understand that concepts are not fixed and can be represented in different ways. The Colour Monster story itself promotes symbolic thinking by using colours to represent emotional states. The activity supports divergent thinking by presenting emotions through colour, language, and expression, giving children multiple ways to interpret feelings. When children are asked to recall the emotions associated with each monster, they must draw on memory and connect different forms of representation. The bilingual element encourages them to think beyond a single label and recognise that emotions can be named and understood in more than one language. This supports creativity, flexible thought, and the ability to make connections between ideas.</w:t>
      </w:r>
    </w:p>
    <w:p w14:paraId="51220DE7">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p>
    <w:p w14:paraId="2406547A">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The activity aligns closely with the Curriculum for Wales, which emphasises language, literacy, communication, personal development, well‑being, and cultural identity (Welsh Government, 2022). Welsh Government guidance encourages early exposure to the Welsh language through meaningful, play‑based learning experiences. The activity also reflects the rights outlined in the United Nations Convention on the Rights of the Child, particularly Article 30, which supports children’s right to use and develop their own language (United Nations, 1989). The Colour Monster activity contributes to these aims by promoting emotional literacy, supporting Welsh language development, and encouraging children to express their feelings in a safe and engaging way. The use of bilingual vocabulary aligns with national expectations for promoting the Welsh language and fostering inclusive practice. The activity also supports the Four Purposes of the Curriculum for Wales, particularly the aim of developing ethical, informed citizens who value language and culture. By combining emotional learning with bilingual exposure, the activity reflects the principles of early years frameworks and programmes.</w:t>
      </w:r>
    </w:p>
    <w:p w14:paraId="024CDD9E">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p>
    <w:p w14:paraId="53E4C4D7">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Conclusion</w:t>
      </w:r>
    </w:p>
    <w:p w14:paraId="668F0D84">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p>
    <w:p w14:paraId="01E2724D">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Bilingualism offers significant cognitive, social, and cultural benefits for young children, and early years settings play a key role in supporting these experiences. The Colour Monster activity demonstrates how bilingual practice can be embedded into everyday learning through simple, engaging interactions. Presenting emotions in both English and Welsh supports vocabulary development, emotional literacy, and inclusive practice for WAL/EAL learners. The activity also contributes to brain development by encouraging attention, memory, and cognitive flexibility, while promoting divergent thinking through multiple representations of emotions. It aligns closely with early years frameworks, particularly the Curriculum for Wales, which emphasises language development, well‑being, and cultural identity. Future practice could extend the activity through songs, creative tasks, or opportunities for children to repeat Welsh vocabulary. Overall, the activity provides a strong example of effective bilingual practice in the early years.</w:t>
      </w:r>
    </w:p>
    <w:p w14:paraId="02D54C0D">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p>
    <w:p w14:paraId="250CCB77">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References </w:t>
      </w:r>
    </w:p>
    <w:p w14:paraId="401B6247">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p>
    <w:p w14:paraId="15274755">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Bialystok, E. (2017) ‘The bilingual adaptation: How minds accommodate experience’, Child Development Perspectives, 11(3), pp. 135–140.</w:t>
      </w:r>
    </w:p>
    <w:p w14:paraId="30E93C14">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De Houwer, A. (2021) Bilingual development in childhood. Cambridge: Cambridge University Press.</w:t>
      </w:r>
    </w:p>
    <w:p w14:paraId="5A967EF7">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García, O. and Wei, L. (2014) Translanguaging: Language, bilingualism and education. London: Palgrave Macmillan.</w:t>
      </w:r>
    </w:p>
    <w:p w14:paraId="6C5166C0">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Kharkhurin, A. (2020) ‘Bilingualism and creativity: A review of research’, Journal of Creative Behavior, 54(1), pp. 1–14.</w:t>
      </w:r>
    </w:p>
    <w:p w14:paraId="2CF5AAE0">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Kirsch, C. (2020) Young children learning languages in Wales: Multilingual pedagogies in early years settings. Bristol: Multilingual Matters.</w:t>
      </w:r>
    </w:p>
    <w:p w14:paraId="24A989DA">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Kovács, Á. and Mehler, J. (2019) ‘Cognitive benefits of early bilingualism’, Developmental Science, 22(3), e12723.</w:t>
      </w:r>
    </w:p>
    <w:p w14:paraId="482DC9B5">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United Nations (1989) Convention on the Rights of the Child. New York: United Nations.</w:t>
      </w:r>
    </w:p>
    <w:p w14:paraId="589CDCA9">
      <w:pPr>
        <w:widowControl/>
        <w:ind w:left="0" w:firstLine="0"/>
        <w:jc w:val="left"/>
        <w:rPr>
          <w:rFonts w:hint="default" w:ascii="Arial" w:hAnsi="Arial" w:eastAsia="Arial" w:cs="Arial"/>
          <w:b w:val="0"/>
          <w:bCs w:val="0"/>
          <w:i w:val="0"/>
          <w:caps w:val="0"/>
          <w:color w:val="000000" w:themeColor="text1"/>
          <w:spacing w:val="0"/>
          <w:sz w:val="24"/>
          <w:szCs w:val="24"/>
          <w:u w:val="none"/>
          <w14:textFill>
            <w14:solidFill>
              <w14:schemeClr w14:val="tx1"/>
            </w14:solidFill>
          </w14:textFill>
        </w:rPr>
      </w:pPr>
      <w:r>
        <w:rPr>
          <w:rFonts w:hint="default" w:ascii="Arial" w:hAnsi="Arial" w:eastAsia="Arial" w:cs="Arial"/>
          <w:b w:val="0"/>
          <w:bCs w:val="0"/>
          <w:i w:val="0"/>
          <w:caps w:val="0"/>
          <w:color w:val="000000" w:themeColor="text1"/>
          <w:spacing w:val="0"/>
          <w:kern w:val="0"/>
          <w:sz w:val="24"/>
          <w:szCs w:val="24"/>
          <w:u w:val="none"/>
          <w:lang w:val="en-US" w:eastAsia="zh-CN" w:bidi="ar"/>
          <w14:textFill>
            <w14:solidFill>
              <w14:schemeClr w14:val="tx1"/>
            </w14:solidFill>
          </w14:textFill>
        </w:rPr>
        <w:t>Welsh Government (2022) Curriculum for Wales: Guidance. Cardiff: Welsh Government.</w:t>
      </w:r>
    </w:p>
    <w:p w14:paraId="35706C9A">
      <w:pPr>
        <w:widowControl/>
        <w:jc w:val="left"/>
        <w:rPr>
          <w:rFonts w:hint="default" w:ascii="Arial" w:hAnsi="Arial" w:eastAsia="Arial" w:cs="Arial"/>
          <w:b w:val="0"/>
          <w:bCs w:val="0"/>
          <w:color w:val="000000" w:themeColor="text1"/>
          <w:sz w:val="24"/>
          <w:szCs w:val="24"/>
          <w14:textFill>
            <w14:solidFill>
              <w14:schemeClr w14:val="tx1"/>
            </w14:solidFill>
          </w14:textFill>
        </w:rPr>
      </w:pPr>
    </w:p>
    <w:p w14:paraId="17442F2D">
      <w:pPr>
        <w:rPr>
          <w:rFonts w:hint="default" w:ascii="Arial" w:hAnsi="Arial" w:eastAsia="Arial" w:cs="Arial"/>
          <w:b w:val="0"/>
          <w:bCs w:val="0"/>
          <w:color w:val="000000" w:themeColor="text1"/>
          <w:sz w:val="24"/>
          <w:szCs w:val="24"/>
          <w:lang w:val="en-GB"/>
          <w14:textFill>
            <w14:solidFill>
              <w14:schemeClr w14:val="tx1"/>
            </w14:solidFill>
          </w14:textFill>
        </w:rPr>
      </w:pPr>
    </w:p>
    <w:p w14:paraId="329386ED">
      <w:pPr>
        <w:rPr>
          <w:rFonts w:hint="default" w:ascii="Arial" w:hAnsi="Arial" w:eastAsia="Arial" w:cs="Arial"/>
          <w:b w:val="0"/>
          <w:bCs w:val="0"/>
          <w:color w:val="000000" w:themeColor="text1"/>
          <w:sz w:val="24"/>
          <w:szCs w:val="24"/>
          <w:lang w:val="en-GB"/>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UICTFontTextStyleBody">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adjustLineHeightInTable/>
    <w:doNotBreakWrappedTables/>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2026-04-10T17:23:15Z</dcterms:created>
  <dc:creator>iPad</dc:creator>
  <cp:lastModifiedBy>iPad</cp:lastModifiedBy>
  <dcterms:modified xsi:type="dcterms:W3CDTF">2026-04-10T17:26:23Z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3081-11.37.40</vt:lpwstr>
  </property>
  <property fmtid="{D5CDD505-2E9C-101B-9397-08002B2CF9AE}" pid="3" name="ICV">
    <vt:lpwstr>178811F4D61CBE59F323D969CE2E7F73_31</vt:lpwstr>
  </property>
</Properties>
</file>