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C160D" w14:textId="77777777" w:rsidR="00AB27B1" w:rsidRDefault="0097238B">
      <w:pPr>
        <w:spacing w:after="134" w:line="259" w:lineRule="auto"/>
        <w:ind w:left="0" w:firstLine="0"/>
      </w:pPr>
      <w:r>
        <w:rPr>
          <w:noProof/>
        </w:rPr>
        <w:drawing>
          <wp:inline distT="0" distB="0" distL="0" distR="0" wp14:anchorId="3D6B85C4" wp14:editId="60F776C9">
            <wp:extent cx="1701201" cy="682625"/>
            <wp:effectExtent l="0" t="0" r="0" b="0"/>
            <wp:docPr id="69" name="Picture 6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5"/>
                    <a:stretch>
                      <a:fillRect/>
                    </a:stretch>
                  </pic:blipFill>
                  <pic:spPr>
                    <a:xfrm>
                      <a:off x="0" y="0"/>
                      <a:ext cx="1701201" cy="682625"/>
                    </a:xfrm>
                    <a:prstGeom prst="rect">
                      <a:avLst/>
                    </a:prstGeom>
                  </pic:spPr>
                </pic:pic>
              </a:graphicData>
            </a:graphic>
          </wp:inline>
        </w:drawing>
      </w:r>
      <w:r>
        <w:rPr>
          <w:b/>
          <w:color w:val="111111"/>
        </w:rPr>
        <w:t xml:space="preserve"> </w:t>
      </w:r>
    </w:p>
    <w:p w14:paraId="21C69B6F" w14:textId="77777777" w:rsidR="00AB27B1" w:rsidRDefault="0097238B">
      <w:pPr>
        <w:spacing w:after="182" w:line="259" w:lineRule="auto"/>
        <w:ind w:left="0" w:firstLine="0"/>
      </w:pPr>
      <w:r>
        <w:rPr>
          <w:b/>
          <w:color w:val="111111"/>
        </w:rPr>
        <w:t xml:space="preserve"> </w:t>
      </w:r>
    </w:p>
    <w:p w14:paraId="5B45B955" w14:textId="77777777" w:rsidR="00AB27B1" w:rsidRDefault="0097238B">
      <w:pPr>
        <w:spacing w:after="182" w:line="259" w:lineRule="auto"/>
        <w:ind w:left="0" w:firstLine="0"/>
      </w:pPr>
      <w:r>
        <w:rPr>
          <w:b/>
          <w:color w:val="111111"/>
        </w:rPr>
        <w:t xml:space="preserve"> </w:t>
      </w:r>
    </w:p>
    <w:p w14:paraId="1CE3D1B7" w14:textId="77777777" w:rsidR="00AB27B1" w:rsidRDefault="0097238B">
      <w:pPr>
        <w:spacing w:after="384" w:line="259" w:lineRule="auto"/>
        <w:ind w:left="0" w:firstLine="0"/>
      </w:pPr>
      <w:r>
        <w:rPr>
          <w:b/>
          <w:color w:val="111111"/>
        </w:rPr>
        <w:t xml:space="preserve"> </w:t>
      </w:r>
    </w:p>
    <w:p w14:paraId="6AF1192B" w14:textId="77777777" w:rsidR="00AB27B1" w:rsidRDefault="0097238B">
      <w:pPr>
        <w:spacing w:after="601" w:line="265" w:lineRule="auto"/>
        <w:ind w:left="861"/>
        <w:jc w:val="center"/>
      </w:pPr>
      <w:r>
        <w:rPr>
          <w:rFonts w:ascii="Times New Roman" w:eastAsia="Times New Roman" w:hAnsi="Times New Roman" w:cs="Times New Roman"/>
          <w:color w:val="0F4761"/>
        </w:rPr>
        <w:t xml:space="preserve">BA BUSINESS MANAGEMENT </w:t>
      </w:r>
    </w:p>
    <w:p w14:paraId="3E5F6F99" w14:textId="77777777" w:rsidR="00AB27B1" w:rsidRDefault="0097238B">
      <w:pPr>
        <w:spacing w:after="327" w:line="265" w:lineRule="auto"/>
        <w:ind w:left="861" w:right="850"/>
        <w:jc w:val="center"/>
      </w:pPr>
      <w:r>
        <w:rPr>
          <w:rFonts w:ascii="Times New Roman" w:eastAsia="Times New Roman" w:hAnsi="Times New Roman" w:cs="Times New Roman"/>
          <w:color w:val="0F4761"/>
        </w:rPr>
        <w:t xml:space="preserve">                 Project Management  </w:t>
      </w:r>
    </w:p>
    <w:p w14:paraId="6E49067D" w14:textId="77777777" w:rsidR="00AB27B1" w:rsidRDefault="0097238B">
      <w:pPr>
        <w:spacing w:after="183" w:line="259" w:lineRule="auto"/>
        <w:ind w:left="0" w:firstLine="0"/>
      </w:pPr>
      <w:r>
        <w:rPr>
          <w:rFonts w:ascii="Aptos" w:eastAsia="Aptos" w:hAnsi="Aptos" w:cs="Aptos"/>
        </w:rPr>
        <w:t xml:space="preserve">Component :2 </w:t>
      </w:r>
    </w:p>
    <w:p w14:paraId="028AD550" w14:textId="77777777" w:rsidR="00AB27B1" w:rsidRDefault="0097238B">
      <w:pPr>
        <w:spacing w:after="180" w:line="259" w:lineRule="auto"/>
        <w:ind w:left="61" w:firstLine="0"/>
        <w:jc w:val="center"/>
      </w:pPr>
      <w:r>
        <w:rPr>
          <w:rFonts w:ascii="Times New Roman" w:eastAsia="Times New Roman" w:hAnsi="Times New Roman" w:cs="Times New Roman"/>
        </w:rPr>
        <w:t xml:space="preserve"> </w:t>
      </w:r>
    </w:p>
    <w:p w14:paraId="232600C2" w14:textId="77777777" w:rsidR="00AB27B1" w:rsidRDefault="0097238B">
      <w:pPr>
        <w:spacing w:after="180" w:line="259" w:lineRule="auto"/>
        <w:ind w:left="0" w:firstLine="0"/>
      </w:pPr>
      <w:r>
        <w:rPr>
          <w:rFonts w:ascii="Times New Roman" w:eastAsia="Times New Roman" w:hAnsi="Times New Roman" w:cs="Times New Roman"/>
        </w:rPr>
        <w:t xml:space="preserve"> </w:t>
      </w:r>
    </w:p>
    <w:p w14:paraId="03F7C9C8" w14:textId="77777777" w:rsidR="00AB27B1" w:rsidRDefault="0097238B">
      <w:pPr>
        <w:spacing w:after="180" w:line="259" w:lineRule="auto"/>
        <w:ind w:left="0" w:firstLine="0"/>
      </w:pPr>
      <w:r>
        <w:rPr>
          <w:rFonts w:ascii="Times New Roman" w:eastAsia="Times New Roman" w:hAnsi="Times New Roman" w:cs="Times New Roman"/>
        </w:rPr>
        <w:t xml:space="preserve"> </w:t>
      </w:r>
    </w:p>
    <w:p w14:paraId="5404A3B8" w14:textId="77777777" w:rsidR="00AB27B1" w:rsidRDefault="0097238B">
      <w:pPr>
        <w:spacing w:after="180" w:line="259" w:lineRule="auto"/>
        <w:ind w:left="0" w:firstLine="0"/>
      </w:pPr>
      <w:r>
        <w:rPr>
          <w:rFonts w:ascii="Times New Roman" w:eastAsia="Times New Roman" w:hAnsi="Times New Roman" w:cs="Times New Roman"/>
        </w:rPr>
        <w:t xml:space="preserve"> </w:t>
      </w:r>
    </w:p>
    <w:p w14:paraId="5109AE2C" w14:textId="77777777" w:rsidR="00AB27B1" w:rsidRDefault="0097238B">
      <w:pPr>
        <w:spacing w:after="180" w:line="259" w:lineRule="auto"/>
        <w:ind w:left="0" w:firstLine="0"/>
      </w:pPr>
      <w:r>
        <w:rPr>
          <w:rFonts w:ascii="Times New Roman" w:eastAsia="Times New Roman" w:hAnsi="Times New Roman" w:cs="Times New Roman"/>
        </w:rPr>
        <w:t xml:space="preserve"> </w:t>
      </w:r>
    </w:p>
    <w:p w14:paraId="7B6BB023" w14:textId="77777777" w:rsidR="00AB27B1" w:rsidRDefault="0097238B">
      <w:pPr>
        <w:spacing w:after="180" w:line="259" w:lineRule="auto"/>
        <w:ind w:left="0" w:firstLine="0"/>
      </w:pPr>
      <w:r>
        <w:rPr>
          <w:rFonts w:ascii="Times New Roman" w:eastAsia="Times New Roman" w:hAnsi="Times New Roman" w:cs="Times New Roman"/>
        </w:rPr>
        <w:t xml:space="preserve"> </w:t>
      </w:r>
    </w:p>
    <w:p w14:paraId="6D512CF7" w14:textId="77777777" w:rsidR="00AB27B1" w:rsidRDefault="0097238B">
      <w:pPr>
        <w:spacing w:after="180" w:line="259" w:lineRule="auto"/>
        <w:ind w:left="-5" w:right="5346"/>
      </w:pPr>
      <w:r>
        <w:rPr>
          <w:rFonts w:ascii="Times New Roman" w:eastAsia="Times New Roman" w:hAnsi="Times New Roman" w:cs="Times New Roman"/>
          <w:i/>
        </w:rPr>
        <w:t xml:space="preserve">Student name: Lois </w:t>
      </w:r>
      <w:proofErr w:type="spellStart"/>
      <w:r>
        <w:rPr>
          <w:rFonts w:ascii="Times New Roman" w:eastAsia="Times New Roman" w:hAnsi="Times New Roman" w:cs="Times New Roman"/>
          <w:i/>
        </w:rPr>
        <w:t>Otilia</w:t>
      </w:r>
      <w:proofErr w:type="spellEnd"/>
      <w:r>
        <w:rPr>
          <w:rFonts w:ascii="Times New Roman" w:eastAsia="Times New Roman" w:hAnsi="Times New Roman" w:cs="Times New Roman"/>
          <w:i/>
        </w:rPr>
        <w:t xml:space="preserve"> Dolea </w:t>
      </w:r>
    </w:p>
    <w:p w14:paraId="5E37027B" w14:textId="77777777" w:rsidR="00AB27B1" w:rsidRDefault="0097238B">
      <w:pPr>
        <w:spacing w:after="180" w:line="259" w:lineRule="auto"/>
        <w:ind w:left="-5" w:right="5346"/>
      </w:pPr>
      <w:r>
        <w:rPr>
          <w:rFonts w:ascii="Times New Roman" w:eastAsia="Times New Roman" w:hAnsi="Times New Roman" w:cs="Times New Roman"/>
          <w:i/>
        </w:rPr>
        <w:t xml:space="preserve">Student ID: 2219572 </w:t>
      </w:r>
    </w:p>
    <w:p w14:paraId="7441B542" w14:textId="77777777" w:rsidR="0097238B" w:rsidRDefault="0097238B" w:rsidP="0063417A">
      <w:pPr>
        <w:spacing w:after="355" w:line="414" w:lineRule="auto"/>
        <w:ind w:left="-5" w:right="5346"/>
        <w:rPr>
          <w:rFonts w:ascii="Times New Roman" w:eastAsia="Times New Roman" w:hAnsi="Times New Roman" w:cs="Times New Roman"/>
          <w:i/>
        </w:rPr>
      </w:pPr>
      <w:r>
        <w:rPr>
          <w:rFonts w:ascii="Times New Roman" w:eastAsia="Times New Roman" w:hAnsi="Times New Roman" w:cs="Times New Roman"/>
          <w:i/>
        </w:rPr>
        <w:t>Course code name: LCBB5005</w:t>
      </w:r>
    </w:p>
    <w:p w14:paraId="7F67012C" w14:textId="569D869A" w:rsidR="00AB27B1" w:rsidRDefault="0097238B" w:rsidP="0063417A">
      <w:pPr>
        <w:spacing w:after="355" w:line="414" w:lineRule="auto"/>
        <w:ind w:left="-5" w:right="5346"/>
        <w:rPr>
          <w:rFonts w:ascii="Times New Roman" w:eastAsia="Times New Roman" w:hAnsi="Times New Roman" w:cs="Times New Roman"/>
          <w:b/>
          <w:i/>
        </w:rPr>
      </w:pPr>
      <w:r>
        <w:rPr>
          <w:rFonts w:ascii="Times New Roman" w:eastAsia="Times New Roman" w:hAnsi="Times New Roman" w:cs="Times New Roman"/>
          <w:i/>
        </w:rPr>
        <w:t xml:space="preserve"> Lector Name: </w:t>
      </w:r>
      <w:proofErr w:type="spellStart"/>
      <w:r w:rsidR="002A5619" w:rsidRPr="002A5619">
        <w:rPr>
          <w:rFonts w:ascii="Times New Roman" w:eastAsia="Times New Roman" w:hAnsi="Times New Roman" w:cs="Times New Roman"/>
          <w:b/>
          <w:i/>
        </w:rPr>
        <w:t>Amandeep</w:t>
      </w:r>
      <w:proofErr w:type="spellEnd"/>
      <w:r w:rsidR="002A5619" w:rsidRPr="002A5619">
        <w:rPr>
          <w:rFonts w:ascii="Times New Roman" w:eastAsia="Times New Roman" w:hAnsi="Times New Roman" w:cs="Times New Roman"/>
          <w:b/>
          <w:i/>
        </w:rPr>
        <w:t xml:space="preserve"> </w:t>
      </w:r>
      <w:proofErr w:type="spellStart"/>
      <w:r w:rsidR="002A5619" w:rsidRPr="002A5619">
        <w:rPr>
          <w:rFonts w:ascii="Times New Roman" w:eastAsia="Times New Roman" w:hAnsi="Times New Roman" w:cs="Times New Roman"/>
          <w:b/>
          <w:i/>
        </w:rPr>
        <w:t>Sahota</w:t>
      </w:r>
      <w:proofErr w:type="spellEnd"/>
    </w:p>
    <w:p w14:paraId="2AD6E584" w14:textId="77777777" w:rsidR="0097238B" w:rsidRPr="0063417A" w:rsidRDefault="0097238B" w:rsidP="0063417A">
      <w:pPr>
        <w:spacing w:after="355" w:line="414" w:lineRule="auto"/>
        <w:ind w:left="-5" w:right="5346"/>
        <w:rPr>
          <w:rFonts w:ascii="Times New Roman" w:eastAsia="Times New Roman" w:hAnsi="Times New Roman" w:cs="Times New Roman"/>
          <w:i/>
        </w:rPr>
      </w:pPr>
    </w:p>
    <w:p w14:paraId="2DA4E2AE" w14:textId="77777777" w:rsidR="00AB27B1" w:rsidRDefault="0097238B">
      <w:pPr>
        <w:spacing w:after="507" w:line="259" w:lineRule="auto"/>
        <w:ind w:left="0" w:firstLine="0"/>
      </w:pPr>
      <w:r>
        <w:rPr>
          <w:rFonts w:ascii="Aptos Display" w:eastAsia="Aptos Display" w:hAnsi="Aptos Display" w:cs="Aptos Display"/>
          <w:b/>
          <w:color w:val="0F4761"/>
          <w:sz w:val="28"/>
        </w:rPr>
        <w:t xml:space="preserve"> </w:t>
      </w:r>
    </w:p>
    <w:p w14:paraId="2999040E" w14:textId="77777777" w:rsidR="00AB27B1" w:rsidRDefault="0097238B">
      <w:pPr>
        <w:spacing w:after="507" w:line="259" w:lineRule="auto"/>
        <w:ind w:left="0" w:firstLine="0"/>
      </w:pPr>
      <w:r>
        <w:rPr>
          <w:rFonts w:ascii="Aptos Display" w:eastAsia="Aptos Display" w:hAnsi="Aptos Display" w:cs="Aptos Display"/>
          <w:b/>
          <w:color w:val="0F4761"/>
          <w:sz w:val="28"/>
        </w:rPr>
        <w:t xml:space="preserve"> </w:t>
      </w:r>
    </w:p>
    <w:sdt>
      <w:sdtPr>
        <w:rPr>
          <w:rFonts w:ascii="Arial" w:eastAsia="Arial" w:hAnsi="Arial" w:cs="Arial"/>
          <w:color w:val="000000"/>
          <w:sz w:val="24"/>
        </w:rPr>
        <w:id w:val="1971009922"/>
        <w:docPartObj>
          <w:docPartGallery w:val="Table of Contents"/>
        </w:docPartObj>
      </w:sdtPr>
      <w:sdtEndPr/>
      <w:sdtContent>
        <w:p w14:paraId="6E3D5491" w14:textId="77777777" w:rsidR="00AB27B1" w:rsidRDefault="0097238B">
          <w:pPr>
            <w:pStyle w:val="Heading2"/>
            <w:spacing w:after="108"/>
            <w:ind w:left="0" w:firstLine="0"/>
          </w:pPr>
          <w:r>
            <w:rPr>
              <w:b/>
              <w:sz w:val="28"/>
            </w:rPr>
            <w:t xml:space="preserve">Table of Contents </w:t>
          </w:r>
        </w:p>
        <w:p w14:paraId="41E22374" w14:textId="77777777" w:rsidR="00AB27B1" w:rsidRDefault="0097238B">
          <w:pPr>
            <w:pStyle w:val="TOC1"/>
            <w:tabs>
              <w:tab w:val="right" w:leader="dot" w:pos="9025"/>
            </w:tabs>
          </w:pPr>
          <w:r>
            <w:fldChar w:fldCharType="begin"/>
          </w:r>
          <w:r>
            <w:instrText xml:space="preserve"> TOC \o "1-1" \h \z \u </w:instrText>
          </w:r>
          <w:r>
            <w:fldChar w:fldCharType="separate"/>
          </w:r>
          <w:hyperlink w:anchor="_Toc6618">
            <w:r>
              <w:t>Introduction</w:t>
            </w:r>
            <w:r>
              <w:tab/>
            </w:r>
            <w:r>
              <w:fldChar w:fldCharType="begin"/>
            </w:r>
            <w:r>
              <w:instrText>PAGEREF _Toc6618 \h</w:instrText>
            </w:r>
            <w:r>
              <w:fldChar w:fldCharType="separate"/>
            </w:r>
            <w:r>
              <w:t xml:space="preserve">2 </w:t>
            </w:r>
            <w:r>
              <w:fldChar w:fldCharType="end"/>
            </w:r>
          </w:hyperlink>
        </w:p>
        <w:p w14:paraId="1B76FED2" w14:textId="77777777" w:rsidR="00AB27B1" w:rsidRDefault="0097238B">
          <w:pPr>
            <w:pStyle w:val="TOC1"/>
            <w:tabs>
              <w:tab w:val="right" w:leader="dot" w:pos="9025"/>
            </w:tabs>
          </w:pPr>
          <w:hyperlink w:anchor="_Toc6619">
            <w:r>
              <w:t>Body</w:t>
            </w:r>
            <w:r>
              <w:tab/>
            </w:r>
            <w:r>
              <w:fldChar w:fldCharType="begin"/>
            </w:r>
            <w:r>
              <w:instrText>PAGEREF _Toc6619 \h</w:instrText>
            </w:r>
            <w:r>
              <w:fldChar w:fldCharType="separate"/>
            </w:r>
            <w:r>
              <w:t xml:space="preserve">2 </w:t>
            </w:r>
            <w:r>
              <w:fldChar w:fldCharType="end"/>
            </w:r>
          </w:hyperlink>
        </w:p>
        <w:p w14:paraId="3F1A846C" w14:textId="77777777" w:rsidR="00AB27B1" w:rsidRDefault="0097238B">
          <w:pPr>
            <w:pStyle w:val="TOC1"/>
            <w:tabs>
              <w:tab w:val="right" w:leader="dot" w:pos="9025"/>
            </w:tabs>
          </w:pPr>
          <w:hyperlink w:anchor="_Toc6620">
            <w:r>
              <w:t>Conclusion:</w:t>
            </w:r>
            <w:r>
              <w:tab/>
            </w:r>
            <w:r>
              <w:fldChar w:fldCharType="begin"/>
            </w:r>
            <w:r>
              <w:instrText>PAGEREF _Toc6620 \h</w:instrText>
            </w:r>
            <w:r>
              <w:fldChar w:fldCharType="separate"/>
            </w:r>
            <w:r>
              <w:t xml:space="preserve">7 </w:t>
            </w:r>
            <w:r>
              <w:fldChar w:fldCharType="end"/>
            </w:r>
          </w:hyperlink>
        </w:p>
        <w:p w14:paraId="7756FDAB" w14:textId="77777777" w:rsidR="00AB27B1" w:rsidRDefault="0097238B">
          <w:r>
            <w:fldChar w:fldCharType="end"/>
          </w:r>
        </w:p>
      </w:sdtContent>
    </w:sdt>
    <w:p w14:paraId="5F4E928A" w14:textId="77777777" w:rsidR="00AB27B1" w:rsidRDefault="0097238B">
      <w:pPr>
        <w:spacing w:after="0" w:line="259" w:lineRule="auto"/>
        <w:ind w:left="0" w:firstLine="0"/>
      </w:pPr>
      <w:r>
        <w:rPr>
          <w:rFonts w:ascii="Aptos" w:eastAsia="Aptos" w:hAnsi="Aptos" w:cs="Aptos"/>
        </w:rPr>
        <w:t xml:space="preserve"> </w:t>
      </w:r>
    </w:p>
    <w:p w14:paraId="645896EA" w14:textId="77777777" w:rsidR="00AB27B1" w:rsidRDefault="0097238B">
      <w:pPr>
        <w:spacing w:after="286" w:line="259" w:lineRule="auto"/>
        <w:ind w:left="0" w:firstLine="0"/>
      </w:pPr>
      <w:r>
        <w:rPr>
          <w:rFonts w:ascii="Aptos Display" w:eastAsia="Aptos Display" w:hAnsi="Aptos Display" w:cs="Aptos Display"/>
          <w:b/>
          <w:color w:val="0F4761"/>
          <w:sz w:val="28"/>
        </w:rPr>
        <w:t xml:space="preserve"> </w:t>
      </w:r>
    </w:p>
    <w:p w14:paraId="35A28698" w14:textId="77777777" w:rsidR="00AB27B1" w:rsidRDefault="0097238B">
      <w:pPr>
        <w:spacing w:after="206" w:line="240" w:lineRule="auto"/>
        <w:ind w:left="0" w:firstLine="0"/>
      </w:pPr>
      <w:r>
        <w:rPr>
          <w:rFonts w:ascii="Aptos Display" w:eastAsia="Aptos Display" w:hAnsi="Aptos Display" w:cs="Aptos Display"/>
          <w:sz w:val="56"/>
        </w:rPr>
        <w:t xml:space="preserve">Positive and negative Perspective of the headquarters </w:t>
      </w:r>
    </w:p>
    <w:p w14:paraId="37124B2A" w14:textId="77777777" w:rsidR="00AB27B1" w:rsidRDefault="0097238B">
      <w:pPr>
        <w:pStyle w:val="Heading1"/>
        <w:ind w:left="-5"/>
      </w:pPr>
      <w:bookmarkStart w:id="0" w:name="_Toc6618"/>
      <w:r>
        <w:t xml:space="preserve">Introduction </w:t>
      </w:r>
      <w:bookmarkEnd w:id="0"/>
    </w:p>
    <w:p w14:paraId="53DA4AD8" w14:textId="23C22B4D" w:rsidR="00AB27B1" w:rsidRDefault="0097238B">
      <w:pPr>
        <w:ind w:left="-5"/>
      </w:pPr>
      <w:r>
        <w:t xml:space="preserve">The Google King's Cross headquarters embodies a compelling vision of innovation, sustainability, and employee well-being. The project is dedicated to creating a workplace that transcends the traditional office environment, aiming to foster a dynamic and inspiring space for its workforce. The commitment to sustainability is evident in numerous aspects of the headquarters' design. For instance, the building incorporates sustainable materials such as locally sourced timber and recycled steel to </w:t>
      </w:r>
      <w:r w:rsidR="00C24613">
        <w:t>minimise</w:t>
      </w:r>
      <w:r>
        <w:t xml:space="preserve"> its environmental impact. Additionally, the project integrates renewable energy sources, including solar panels and wind turbines, to achieve net-zero energy status. This steadfast dedication not only reduces the building's carbon footprint but also sets a standard for responsible environmental stewardship in future IT projects within the UK. </w:t>
      </w:r>
    </w:p>
    <w:p w14:paraId="78763055" w14:textId="77777777" w:rsidR="00AB27B1" w:rsidRDefault="0097238B">
      <w:pPr>
        <w:spacing w:after="182" w:line="259" w:lineRule="auto"/>
        <w:ind w:left="0" w:firstLine="0"/>
      </w:pPr>
      <w:r>
        <w:t xml:space="preserve"> </w:t>
      </w:r>
    </w:p>
    <w:p w14:paraId="69293459" w14:textId="132EFFC6" w:rsidR="00AB27B1" w:rsidRDefault="0097238B">
      <w:pPr>
        <w:spacing w:after="519"/>
        <w:ind w:left="-5"/>
      </w:pPr>
      <w:r>
        <w:t xml:space="preserve">The Google King's Cross headquarters embodies a vision of innovation, sustainability, and employee well-being. The project aims to create a workplace that goes beyond the traditional office environment, fostering a dynamic and inspiring space for its workforce. The commitment to sustainability is evident in various aspects of the headquarters' design, including its use of cutting-edge green building practices. The building incorporates sustainable materials like locally sourced timber and recycled steel to </w:t>
      </w:r>
      <w:r w:rsidR="00C24613">
        <w:t>minimise</w:t>
      </w:r>
      <w:r>
        <w:t xml:space="preserve"> its environmental impact. Additionally, the project integrates renewable energy sources such as solar panels and wind turbines, aiming to achieve net-zero energy status. This dedication not only reduces the building's carbon footprint but also establishes a precedent for responsible environmental stewardship in future IT projects in the UK. </w:t>
      </w:r>
    </w:p>
    <w:p w14:paraId="6CCA23C1" w14:textId="77777777" w:rsidR="00AB27B1" w:rsidRDefault="0097238B">
      <w:pPr>
        <w:pStyle w:val="Heading1"/>
        <w:ind w:left="-5"/>
      </w:pPr>
      <w:bookmarkStart w:id="1" w:name="_Toc6619"/>
      <w:r>
        <w:t xml:space="preserve">Body </w:t>
      </w:r>
      <w:bookmarkEnd w:id="1"/>
    </w:p>
    <w:p w14:paraId="21CA92C2" w14:textId="77777777" w:rsidR="00AB27B1" w:rsidRDefault="0097238B">
      <w:pPr>
        <w:ind w:left="-5"/>
      </w:pPr>
      <w:r>
        <w:t xml:space="preserve">Google's King's Cross Headquarters:  </w:t>
      </w:r>
    </w:p>
    <w:p w14:paraId="736CE8AD" w14:textId="47371C48" w:rsidR="00AB27B1" w:rsidRDefault="0097238B">
      <w:pPr>
        <w:ind w:left="-5"/>
      </w:pPr>
      <w:r>
        <w:lastRenderedPageBreak/>
        <w:t>Google's plan to establish a new headquarters in King's Cross, London, is a significant development for the UK's technology sector. The project is expected to involve an estimated investment of one billion pounds and is anticipated to generate numerous job opportunities, attract investment, and position London as a leading global tech hub. However, there are concerns about potential impacts on the surrounding community, the project's role in shaping a competitive tech landscape, and its overall sustainabili</w:t>
      </w:r>
      <w:r>
        <w:t xml:space="preserve">ty. This essay aims to provide an in-depth exploration of the complexities surrounding Google's King's Cross project, offering a nuanced perspective on its potential for success and highlighting valuable lessons for future IT initiatives in the UK that </w:t>
      </w:r>
      <w:r w:rsidR="00C24613">
        <w:t>prioritise</w:t>
      </w:r>
      <w:r>
        <w:t xml:space="preserve"> sustainable and inclusive growth. </w:t>
      </w:r>
    </w:p>
    <w:p w14:paraId="34272AA3" w14:textId="77777777" w:rsidR="00AB27B1" w:rsidRDefault="0097238B">
      <w:pPr>
        <w:spacing w:after="182" w:line="259" w:lineRule="auto"/>
        <w:ind w:left="0" w:firstLine="0"/>
      </w:pPr>
      <w:r>
        <w:t xml:space="preserve"> </w:t>
      </w:r>
    </w:p>
    <w:p w14:paraId="5D9B775F" w14:textId="71260FBD" w:rsidR="00AB27B1" w:rsidRDefault="0097238B">
      <w:pPr>
        <w:ind w:left="-5"/>
      </w:pPr>
      <w:r>
        <w:t>Google has announced plans to establish a new headquarters in King's Cross, London, which is seen as a significant development for the UK's technology sector. The project is expected to involve an estimated investment of one billion pounds and is anticipated to create numerous job opportunities, attract investment, and position London as a leading global tech hub. However, concerns have been raised about potential impacts on the surrounding community, the project's role in shaping a competitive tech landsca</w:t>
      </w:r>
      <w:r>
        <w:t xml:space="preserve">pe, and its overall sustainability. This essay aims to provide an in-depth exploration of the complexities surrounding Google's King's Cross project, offering a nuanced perspective on its potential for success and highlighting valuable lessons for future IT initiatives in the UK that </w:t>
      </w:r>
      <w:r w:rsidR="00C24613">
        <w:t>prioritise</w:t>
      </w:r>
      <w:r>
        <w:t xml:space="preserve"> sustainable and inclusive growth. </w:t>
      </w:r>
    </w:p>
    <w:p w14:paraId="303F4E48" w14:textId="77777777" w:rsidR="00AB27B1" w:rsidRDefault="0097238B">
      <w:pPr>
        <w:spacing w:after="182" w:line="259" w:lineRule="auto"/>
        <w:ind w:left="0" w:firstLine="0"/>
      </w:pPr>
      <w:r>
        <w:t xml:space="preserve"> </w:t>
      </w:r>
    </w:p>
    <w:p w14:paraId="07AAE0AC" w14:textId="3C18039E" w:rsidR="00AB27B1" w:rsidRDefault="0097238B">
      <w:pPr>
        <w:ind w:left="-5"/>
      </w:pPr>
      <w:r>
        <w:t>The Google King's Cross headquarters represents a vision of innovation, sustainability, and employee well-being. The project aims to create a workplace that transcends the traditional office environment, fostering a dynamic and inspiring space for its workforce. The commitment to sustainability is evident in various aspects of the headquarters' design, including its use of cutting-edge green building practices. The building incorporates sustainable materials like locally sourced timber and recycled steel to</w:t>
      </w:r>
      <w:r>
        <w:t xml:space="preserve"> </w:t>
      </w:r>
      <w:r w:rsidR="00C24613">
        <w:t>minimise</w:t>
      </w:r>
      <w:r>
        <w:t xml:space="preserve"> its environmental impact. Additionally, the project integrates renewable energy sources such as solar panels and wind turbines, to achieve net-zero energy status. This dedication not only reduces the building's carbon footprint but also sets a precedent for responsible environmental stewardship in future IT projects in the UK.A Model of Sustainable Design: </w:t>
      </w:r>
    </w:p>
    <w:p w14:paraId="4179E905" w14:textId="2FBE8CE5" w:rsidR="00AB27B1" w:rsidRDefault="0097238B">
      <w:pPr>
        <w:ind w:left="-5"/>
      </w:pPr>
      <w:r>
        <w:t xml:space="preserve">  The headquarters' design incorporates cutting-edge green building practices, aiming for LEED Platinum certification.  The building </w:t>
      </w:r>
      <w:r w:rsidR="00583824">
        <w:t>utilises</w:t>
      </w:r>
      <w:r>
        <w:t xml:space="preserve"> sustainable materials, such as locally sourced timber and recycled steel, </w:t>
      </w:r>
      <w:r w:rsidR="00583824">
        <w:t>minimising</w:t>
      </w:r>
      <w:r>
        <w:t xml:space="preserve"> its environmental impact. The project's commitment to green technology is further exemplified by the incorporation of renewable energy sources, including solar panels and wind turbines, which contribute to the building's goal of achieving net-zero energy status. This dedication to sustainability not only reduces the building's carbon footprint but also </w:t>
      </w:r>
      <w:r>
        <w:lastRenderedPageBreak/>
        <w:t xml:space="preserve">showcases a commitment to responsible environmental stewardship, setting a precedent for future IT projects in the UK. [1, 2] </w:t>
      </w:r>
    </w:p>
    <w:p w14:paraId="7CED4A0B" w14:textId="77777777" w:rsidR="00AB27B1" w:rsidRDefault="0097238B">
      <w:pPr>
        <w:spacing w:after="182" w:line="259" w:lineRule="auto"/>
        <w:ind w:left="0" w:firstLine="0"/>
      </w:pPr>
      <w:r>
        <w:t xml:space="preserve"> </w:t>
      </w:r>
    </w:p>
    <w:p w14:paraId="363E710C" w14:textId="3864B744" w:rsidR="00AB27B1" w:rsidRDefault="0097238B">
      <w:pPr>
        <w:ind w:left="-5"/>
      </w:pPr>
      <w:r>
        <w:t xml:space="preserve">Regarding the project's emphasis on employee well-being, the project includes a state-of-the-art fitness centre with top-notch exercise equipment and offers various group fitness classes and personal training sessions. The headquarters </w:t>
      </w:r>
      <w:r w:rsidR="00583824">
        <w:t>maximises</w:t>
      </w:r>
      <w:r>
        <w:t xml:space="preserve"> natural light and fresh air, with open-plan work areas that </w:t>
      </w:r>
      <w:r w:rsidR="00583824">
        <w:t>optimise</w:t>
      </w:r>
      <w:r>
        <w:t xml:space="preserve"> daylight and views, creating a stimulating work environment. Additionally, the headquarters features outdoor terraces, recreational spaces, and diverse dining options that </w:t>
      </w:r>
      <w:r w:rsidR="00583824">
        <w:t>prioritise</w:t>
      </w:r>
      <w:r>
        <w:t xml:space="preserve"> healthy and locally sourced food, fostering a workplace culture that values employee well-being and work-life balance, thereby encouraging a more engaged and motivated workforce. </w:t>
      </w:r>
    </w:p>
    <w:p w14:paraId="1483A62A" w14:textId="77777777" w:rsidR="00AB27B1" w:rsidRDefault="0097238B">
      <w:pPr>
        <w:spacing w:after="177" w:line="259" w:lineRule="auto"/>
        <w:ind w:left="0" w:firstLine="0"/>
      </w:pPr>
      <w:r>
        <w:t xml:space="preserve"> </w:t>
      </w:r>
    </w:p>
    <w:p w14:paraId="198A53B4" w14:textId="77777777" w:rsidR="00AB27B1" w:rsidRDefault="0097238B">
      <w:pPr>
        <w:ind w:left="-5"/>
      </w:pPr>
      <w:r>
        <w:t>In terms of promoting innovation and collaboration, the headquarters' design aims to enhance creativity and collaboration through open workspaces, breakout areas, and informal gathering spaces. The inclusion of "huddle rooms" and "collaboration zones" equipped with advanced technology, such as interactive whiteboards and video conferencing capabilities, facilitates brainstorming sessions and idea exchange, thus fostering a dynamic and collaborative work environment. These features are particularly essential</w:t>
      </w:r>
      <w:r>
        <w:t xml:space="preserve"> for the UK's IT sector, which increasingly relies on the exchange of ideas and the development of new technologies. </w:t>
      </w:r>
    </w:p>
    <w:p w14:paraId="6AB9EDF0" w14:textId="77777777" w:rsidR="00AB27B1" w:rsidRDefault="0097238B">
      <w:pPr>
        <w:ind w:left="-5"/>
      </w:pPr>
      <w:r>
        <w:t xml:space="preserve">The project's financial commitment, estimated at one billion pounds, is a significant investment in the UK's economy. The creation of thousands of high-skilled jobs, ranging from IT specialists to support staff, will stimulate economic activity in the King's Cross area and beyond. This influx of talent and expertise will contribute to the UK's position as a global tech hub, attracting further investment and supporting the growth of the IT sector. </w:t>
      </w:r>
    </w:p>
    <w:p w14:paraId="79EA1050" w14:textId="77777777" w:rsidR="00AB27B1" w:rsidRDefault="0097238B">
      <w:pPr>
        <w:spacing w:after="177" w:line="259" w:lineRule="auto"/>
        <w:ind w:left="0" w:firstLine="0"/>
      </w:pPr>
      <w:r>
        <w:t xml:space="preserve"> </w:t>
      </w:r>
    </w:p>
    <w:p w14:paraId="2380BE22" w14:textId="77777777" w:rsidR="00AB27B1" w:rsidRDefault="0097238B">
      <w:pPr>
        <w:ind w:left="-5"/>
      </w:pPr>
      <w:r>
        <w:t>However, the economic benefits must be assessed cautiously. The potential for economic disparities and gentrification within the King's Cross area poses a significant challenge. The influx of high-earning tech professionals could drive up property prices and rents, leading to the displacement of existing residents and exacerbating existing social inequalities. This could create tensions within the community and undermine the project's positive impact.</w:t>
      </w:r>
      <w:r>
        <w:rPr>
          <w:b/>
        </w:rPr>
        <w:t xml:space="preserve"> </w:t>
      </w:r>
    </w:p>
    <w:p w14:paraId="1D0AD594" w14:textId="77777777" w:rsidR="00AB27B1" w:rsidRDefault="0097238B">
      <w:pPr>
        <w:spacing w:after="182" w:line="259" w:lineRule="auto"/>
        <w:ind w:left="-5"/>
      </w:pPr>
      <w:r>
        <w:rPr>
          <w:b/>
        </w:rPr>
        <w:t>The Impact on the King's Cross Community</w:t>
      </w:r>
      <w:r>
        <w:t xml:space="preserve">: </w:t>
      </w:r>
    </w:p>
    <w:p w14:paraId="43B03D39" w14:textId="77777777" w:rsidR="00AB27B1" w:rsidRDefault="0097238B">
      <w:pPr>
        <w:spacing w:after="0" w:line="417" w:lineRule="auto"/>
        <w:ind w:left="-5" w:right="3995"/>
      </w:pPr>
      <w:r>
        <w:t xml:space="preserve"> A Balancing Act of Inclusion and Engagement I want to remember the text below: </w:t>
      </w:r>
    </w:p>
    <w:p w14:paraId="5B297EDC" w14:textId="086A5FD6" w:rsidR="00AB27B1" w:rsidRDefault="0097238B">
      <w:pPr>
        <w:ind w:left="-5"/>
      </w:pPr>
      <w:r>
        <w:t xml:space="preserve">Google's commitment to community engagement is truly commendable. The project not only focuses on establishing a positive relationship with the community but also </w:t>
      </w:r>
      <w:r>
        <w:lastRenderedPageBreak/>
        <w:t xml:space="preserve">encompasses a variety of initiatives to ensure a lasting impact. One of the key initiatives includes targeted community outreach programs, which aim to actively involve residents in the decision-making process and gather their input on various projects or developments planned by Google. Additionally, the company has embraced local procurement practices, </w:t>
      </w:r>
      <w:r w:rsidR="00583824">
        <w:t>emphasising</w:t>
      </w:r>
      <w:r>
        <w:t xml:space="preserve"> the importance of supporting local businesses and suppliers, which in turn contributes to the economic growth of the surrounding area. </w:t>
      </w:r>
    </w:p>
    <w:p w14:paraId="61F49EE1" w14:textId="77777777" w:rsidR="00AB27B1" w:rsidRDefault="0097238B">
      <w:pPr>
        <w:spacing w:after="177" w:line="259" w:lineRule="auto"/>
        <w:ind w:left="0" w:firstLine="0"/>
      </w:pPr>
      <w:r>
        <w:t xml:space="preserve"> </w:t>
      </w:r>
    </w:p>
    <w:p w14:paraId="007FF93B" w14:textId="77777777" w:rsidR="00AB27B1" w:rsidRDefault="0097238B">
      <w:pPr>
        <w:ind w:left="-5"/>
      </w:pPr>
      <w:r>
        <w:t xml:space="preserve">Moreover, Google has undertaken the development of public spaces that not only benefit its employees but also actively contribute to enhancing the overall quality of life for residents. By creating these spaces, Google is fostering a sense of inclusivity and demonstrating a genuine commitment to the well-being of the community. </w:t>
      </w:r>
    </w:p>
    <w:p w14:paraId="4888F798" w14:textId="77777777" w:rsidR="00AB27B1" w:rsidRDefault="0097238B">
      <w:pPr>
        <w:spacing w:after="182" w:line="259" w:lineRule="auto"/>
        <w:ind w:left="0" w:firstLine="0"/>
      </w:pPr>
      <w:r>
        <w:t xml:space="preserve"> </w:t>
      </w:r>
    </w:p>
    <w:p w14:paraId="498F4DAC" w14:textId="77777777" w:rsidR="00AB27B1" w:rsidRDefault="0097238B">
      <w:pPr>
        <w:ind w:left="-5"/>
      </w:pPr>
      <w:r>
        <w:t xml:space="preserve">Google's ambitious plan to establish a new state-of-the-art headquarters in King's Cross, London, has garnered significant attention and is widely regarded as a landmark development in the UK's ever-evolving technology sector. The company's projected investment of approximately one billion pounds is not only expected to create a multitude of job opportunities but also holds the promise of attracting substantial investment to the region. Furthermore, Google's presence is poised to solidify London's standing </w:t>
      </w:r>
      <w:r>
        <w:t xml:space="preserve">as a premier global tech hub. </w:t>
      </w:r>
    </w:p>
    <w:p w14:paraId="19A3A16B" w14:textId="77777777" w:rsidR="00AB27B1" w:rsidRDefault="0097238B">
      <w:pPr>
        <w:spacing w:after="182" w:line="259" w:lineRule="auto"/>
        <w:ind w:left="0" w:firstLine="0"/>
      </w:pPr>
      <w:r>
        <w:t xml:space="preserve"> </w:t>
      </w:r>
    </w:p>
    <w:p w14:paraId="357448DC" w14:textId="77777777" w:rsidR="00AB27B1" w:rsidRDefault="0097238B">
      <w:pPr>
        <w:ind w:left="-5"/>
      </w:pPr>
      <w:r>
        <w:t xml:space="preserve">However, the proposed project has sparked valid concerns regarding its potential impacts on the surrounding community, the role it will play in shaping a competitive tech landscape, and its overall sustainability. As a result, there are important questions to address about how to ensure that the development aligns with the existing community's needs and values, as well as how it can contribute to a more inclusive and sustainable tech ecosystem. </w:t>
      </w:r>
    </w:p>
    <w:p w14:paraId="491BE23C" w14:textId="77777777" w:rsidR="00AB27B1" w:rsidRDefault="0097238B">
      <w:pPr>
        <w:spacing w:after="177" w:line="259" w:lineRule="auto"/>
        <w:ind w:left="0" w:firstLine="0"/>
      </w:pPr>
      <w:r>
        <w:t xml:space="preserve"> </w:t>
      </w:r>
    </w:p>
    <w:p w14:paraId="4DC2E81F" w14:textId="254F71BB" w:rsidR="00AB27B1" w:rsidRDefault="0097238B">
      <w:pPr>
        <w:ind w:left="-5"/>
      </w:pPr>
      <w:r>
        <w:t xml:space="preserve">This essay seeks to provide a comprehensive and in-depth exploration of the multidimensional issues surrounding Google's King's Cross project. By offering a balanced and nuanced perspective, the aim is to shed light on the potential for success while also highlighting the valuable lessons that can be learned from this endeavour, particularly in the context of future IT initiatives in the UK that </w:t>
      </w:r>
      <w:r w:rsidR="00583824">
        <w:t>prioritise</w:t>
      </w:r>
      <w:r>
        <w:t xml:space="preserve"> sustainable and inclusive growth.</w:t>
      </w:r>
      <w:r>
        <w:rPr>
          <w:b/>
        </w:rPr>
        <w:t xml:space="preserve"> </w:t>
      </w:r>
    </w:p>
    <w:p w14:paraId="494FBC50" w14:textId="77777777" w:rsidR="00AB27B1" w:rsidRDefault="0097238B">
      <w:pPr>
        <w:spacing w:after="182" w:line="259" w:lineRule="auto"/>
        <w:ind w:left="-5"/>
      </w:pPr>
      <w:r>
        <w:rPr>
          <w:b/>
        </w:rPr>
        <w:t>The Role of the Project in Shaping a Competitive Tech Landscape</w:t>
      </w:r>
      <w:r>
        <w:t xml:space="preserve">: </w:t>
      </w:r>
    </w:p>
    <w:p w14:paraId="12F814BE" w14:textId="77777777" w:rsidR="00AB27B1" w:rsidRDefault="0097238B">
      <w:pPr>
        <w:ind w:left="-5"/>
      </w:pPr>
      <w:r>
        <w:t xml:space="preserve">Balancing Market Dominance with Innovation </w:t>
      </w:r>
    </w:p>
    <w:p w14:paraId="52408208" w14:textId="77777777" w:rsidR="00AB27B1" w:rsidRDefault="0097238B">
      <w:pPr>
        <w:spacing w:after="182" w:line="259" w:lineRule="auto"/>
        <w:ind w:left="0" w:firstLine="0"/>
      </w:pPr>
      <w:r>
        <w:t xml:space="preserve"> </w:t>
      </w:r>
    </w:p>
    <w:p w14:paraId="0FC951EA" w14:textId="77777777" w:rsidR="00AB27B1" w:rsidRDefault="0097238B">
      <w:pPr>
        <w:ind w:left="-5"/>
      </w:pPr>
      <w:r>
        <w:lastRenderedPageBreak/>
        <w:t xml:space="preserve">Google's already dominant position in the tech market raises concerns about its potential to further consolidate its power and stifle competition within the UK's IT sector. The establishment of a large-scale headquarters could further solidify Google's dominance, potentially limiting opportunities for smaller, UK-based IT companies to compete. </w:t>
      </w:r>
    </w:p>
    <w:p w14:paraId="39582BCA" w14:textId="49AE07D4" w:rsidR="00AB27B1" w:rsidRDefault="0097238B">
      <w:pPr>
        <w:ind w:left="-5"/>
      </w:pPr>
      <w:r>
        <w:t xml:space="preserve">"vibrant tech ecosystem" describes a flourishing and dynamic environment </w:t>
      </w:r>
      <w:r w:rsidR="00583824">
        <w:t>characterised</w:t>
      </w:r>
      <w:r>
        <w:t xml:space="preserve"> by a high level of innovation and activity in the technology sector. This includes the presence of numerous startups, established tech companies, venture capitalists, and a supportive infrastructure such as tech incubators, accelerators, and co-working spaces. The ecosystem fosters collaboration, creativity, and entrepreneurship, driving economic growth and technological advancement within a specific region or industry. </w:t>
      </w:r>
    </w:p>
    <w:p w14:paraId="0694BD8D" w14:textId="77777777" w:rsidR="00AB27B1" w:rsidRDefault="0097238B">
      <w:pPr>
        <w:spacing w:after="177" w:line="259" w:lineRule="auto"/>
        <w:ind w:left="0" w:firstLine="0"/>
      </w:pPr>
      <w:r>
        <w:rPr>
          <w:b/>
        </w:rPr>
        <w:t xml:space="preserve"> </w:t>
      </w:r>
    </w:p>
    <w:p w14:paraId="1338838C" w14:textId="77777777" w:rsidR="00AB27B1" w:rsidRDefault="0097238B">
      <w:pPr>
        <w:spacing w:after="182" w:line="259" w:lineRule="auto"/>
        <w:ind w:left="-5"/>
      </w:pPr>
      <w:r>
        <w:rPr>
          <w:b/>
        </w:rPr>
        <w:t>Sustainability and the Long-Term Impact:</w:t>
      </w:r>
      <w:r>
        <w:t xml:space="preserve">  </w:t>
      </w:r>
    </w:p>
    <w:p w14:paraId="7A1B439C" w14:textId="77777777" w:rsidR="00AB27B1" w:rsidRDefault="0097238B">
      <w:pPr>
        <w:ind w:left="-5"/>
      </w:pPr>
      <w:r>
        <w:t xml:space="preserve">A Commitment to Environmental Responsibility </w:t>
      </w:r>
    </w:p>
    <w:p w14:paraId="02FDA8E5" w14:textId="77777777" w:rsidR="00AB27B1" w:rsidRDefault="0097238B">
      <w:pPr>
        <w:spacing w:after="182" w:line="259" w:lineRule="auto"/>
        <w:ind w:left="0" w:firstLine="0"/>
      </w:pPr>
      <w:r>
        <w:t xml:space="preserve"> </w:t>
      </w:r>
    </w:p>
    <w:p w14:paraId="5844F7FC" w14:textId="77777777" w:rsidR="00AB27B1" w:rsidRDefault="0097238B">
      <w:pPr>
        <w:ind w:left="-5"/>
      </w:pPr>
      <w:r>
        <w:t xml:space="preserve">While the project showcases impressive green building practices, concerns remain about its long-term sustainability.  The project's impact on resource consumption, waste generation, and carbon emissions requires careful monitoring and mitigation to ensure its environmental benefits are sustained over time.   </w:t>
      </w:r>
    </w:p>
    <w:p w14:paraId="68EA717D" w14:textId="77777777" w:rsidR="00AB27B1" w:rsidRDefault="0097238B">
      <w:pPr>
        <w:spacing w:after="182" w:line="259" w:lineRule="auto"/>
        <w:ind w:left="0" w:firstLine="0"/>
      </w:pPr>
      <w:r>
        <w:t xml:space="preserve"> </w:t>
      </w:r>
    </w:p>
    <w:p w14:paraId="0510AB52" w14:textId="77777777" w:rsidR="00AB27B1" w:rsidRDefault="0097238B">
      <w:pPr>
        <w:ind w:left="-5"/>
      </w:pPr>
      <w:r>
        <w:t xml:space="preserve">Google has committed to achieving net-zero energy status for the building, which is a commendable goal. However, the long-term sustainability of the project goes beyond energy efficiency. The project's impact on the use of resources, waste management, and transportation needs careful consideration to ensure that it doesn't inadvertently contribute to environmental problems.  </w:t>
      </w:r>
    </w:p>
    <w:p w14:paraId="6B891345" w14:textId="77777777" w:rsidR="00AB27B1" w:rsidRDefault="0097238B">
      <w:pPr>
        <w:spacing w:after="182" w:line="259" w:lineRule="auto"/>
        <w:ind w:left="0" w:firstLine="0"/>
      </w:pPr>
      <w:r>
        <w:t xml:space="preserve"> </w:t>
      </w:r>
    </w:p>
    <w:p w14:paraId="04B53DE6" w14:textId="77777777" w:rsidR="00AB27B1" w:rsidRDefault="0097238B">
      <w:pPr>
        <w:ind w:left="-5"/>
      </w:pPr>
      <w:r>
        <w:t xml:space="preserve">Lessons Learned and Recommendations for Future Projects: </w:t>
      </w:r>
    </w:p>
    <w:p w14:paraId="38144F63" w14:textId="77777777" w:rsidR="00AB27B1" w:rsidRDefault="0097238B">
      <w:pPr>
        <w:ind w:left="-5"/>
      </w:pPr>
      <w:r>
        <w:t xml:space="preserve">The Google Headquarters project provides several key takeaways that can be applied to future IT projects in the UK.  </w:t>
      </w:r>
    </w:p>
    <w:p w14:paraId="7E365098" w14:textId="77777777" w:rsidR="00AB27B1" w:rsidRDefault="0097238B">
      <w:pPr>
        <w:spacing w:after="182" w:line="259" w:lineRule="auto"/>
        <w:ind w:left="0" w:firstLine="0"/>
      </w:pPr>
      <w:r>
        <w:t xml:space="preserve"> </w:t>
      </w:r>
    </w:p>
    <w:p w14:paraId="04BEC9F0" w14:textId="77777777" w:rsidR="00AB27B1" w:rsidRDefault="0097238B">
      <w:pPr>
        <w:spacing w:after="177" w:line="259" w:lineRule="auto"/>
        <w:ind w:left="0" w:firstLine="0"/>
      </w:pPr>
      <w:r>
        <w:t xml:space="preserve"> </w:t>
      </w:r>
    </w:p>
    <w:p w14:paraId="2655B343" w14:textId="2686152A" w:rsidR="00AB27B1" w:rsidRDefault="0097238B">
      <w:pPr>
        <w:numPr>
          <w:ilvl w:val="0"/>
          <w:numId w:val="1"/>
        </w:numPr>
        <w:spacing w:after="9"/>
        <w:ind w:hanging="360"/>
      </w:pPr>
      <w:r>
        <w:t xml:space="preserve">Promoting Inclusive Growth and Social Equity: Future IT projects should </w:t>
      </w:r>
      <w:r w:rsidR="00583824">
        <w:t>prioritise</w:t>
      </w:r>
      <w:r>
        <w:t xml:space="preserve"> inclusive development that benefits all segments of the community. This involves actively engaging with local communities to understand their needs and concerns. IT projects should address issues related to displacement and gentrification by working closely with local stakeholders and </w:t>
      </w:r>
      <w:r>
        <w:lastRenderedPageBreak/>
        <w:t xml:space="preserve">residents. Investing in affordable housing options and providing skills development programs for residents can help mitigate the impact of IT projects on the community. </w:t>
      </w:r>
    </w:p>
    <w:p w14:paraId="40CAD839" w14:textId="77777777" w:rsidR="00AB27B1" w:rsidRDefault="0097238B">
      <w:pPr>
        <w:spacing w:after="0" w:line="259" w:lineRule="auto"/>
        <w:ind w:left="720" w:firstLine="0"/>
      </w:pPr>
      <w:r>
        <w:t xml:space="preserve"> </w:t>
      </w:r>
    </w:p>
    <w:p w14:paraId="40D5D61A" w14:textId="2EBDD09A" w:rsidR="00AB27B1" w:rsidRDefault="0097238B">
      <w:pPr>
        <w:numPr>
          <w:ilvl w:val="0"/>
          <w:numId w:val="1"/>
        </w:numPr>
        <w:ind w:hanging="360"/>
      </w:pPr>
      <w:r>
        <w:t xml:space="preserve">To cultivate a diverse and dynamic tech ecosystem, it is essential to </w:t>
      </w:r>
      <w:r w:rsidR="00583824">
        <w:t>prioritise</w:t>
      </w:r>
      <w:r>
        <w:t xml:space="preserve"> the support of local startups and small businesses. This can be achieved through the implementation of comprehensive mentorship programs that pair experienced professionals with aspiring entrepreneurs. Additionally, creating accessible funding opportunities and fostering collaborative initiatives between large corporations and smaller startups will significantly contribute to championing diversity and promoting innovation within the tech industry. </w:t>
      </w:r>
    </w:p>
    <w:p w14:paraId="668383A7" w14:textId="77777777" w:rsidR="00AB27B1" w:rsidRDefault="0097238B">
      <w:pPr>
        <w:spacing w:after="177" w:line="259" w:lineRule="auto"/>
        <w:ind w:left="0" w:firstLine="0"/>
      </w:pPr>
      <w:r>
        <w:t xml:space="preserve"> </w:t>
      </w:r>
    </w:p>
    <w:p w14:paraId="5E5E8032" w14:textId="7624384F" w:rsidR="00AB27B1" w:rsidRDefault="00583824">
      <w:pPr>
        <w:numPr>
          <w:ilvl w:val="0"/>
          <w:numId w:val="1"/>
        </w:numPr>
        <w:ind w:hanging="360"/>
      </w:pPr>
      <w:r>
        <w:t>Emphasising</w:t>
      </w:r>
      <w:r w:rsidR="0097238B">
        <w:t xml:space="preserve"> Sustainability and Green Technology: It is paramount that future IT projects embrace sustainable building practices. This includes the use of eco-friendly materials, </w:t>
      </w:r>
      <w:r>
        <w:t>prioritising</w:t>
      </w:r>
      <w:r w:rsidR="0097238B">
        <w:t xml:space="preserve"> energy efficiency, and integrating renewable energy sources like solar and wind power into IT infrastructure. Implementing effective waste management systems is also critical to </w:t>
      </w:r>
      <w:r>
        <w:t>minimise</w:t>
      </w:r>
      <w:r w:rsidR="0097238B">
        <w:t xml:space="preserve"> the environmental impact of IT projects. By committing to sustainability, the IT sector can play a pivotal role in promoting environmental responsibility and fostering a cleaner and healthier environment. </w:t>
      </w:r>
    </w:p>
    <w:p w14:paraId="6A68F8E5" w14:textId="77777777" w:rsidR="00AB27B1" w:rsidRDefault="0097238B">
      <w:pPr>
        <w:spacing w:after="182" w:line="259" w:lineRule="auto"/>
        <w:ind w:left="0" w:firstLine="0"/>
      </w:pPr>
      <w:r>
        <w:t xml:space="preserve"> </w:t>
      </w:r>
    </w:p>
    <w:p w14:paraId="58215743" w14:textId="77777777" w:rsidR="00AB27B1" w:rsidRDefault="0097238B">
      <w:pPr>
        <w:spacing w:after="519"/>
        <w:ind w:left="-5"/>
      </w:pPr>
      <w:r>
        <w:t>Strengthening Bonds with Local Communities: It is imperative for the IT industry to actively engage in community development by investing in a wide range of initiatives. This could include supporting community centres, educational programs, environmental projects, and cultural events. By doing so, the industry can help foster a sense of belonging and mutual understanding between tech workers and residents. Additionally, investing in public spaces such as parks, libraries, and recreational facilities can fur</w:t>
      </w:r>
      <w:r>
        <w:t xml:space="preserve">ther enhance social interaction and integration, leading to a more cohesive community and an increased feeling of inclusivity for all members. </w:t>
      </w:r>
    </w:p>
    <w:p w14:paraId="121D78AA" w14:textId="77777777" w:rsidR="00AB27B1" w:rsidRDefault="0097238B">
      <w:pPr>
        <w:spacing w:after="401" w:line="259" w:lineRule="auto"/>
        <w:ind w:left="0" w:firstLine="0"/>
      </w:pPr>
      <w:r>
        <w:rPr>
          <w:rFonts w:ascii="Aptos Display" w:eastAsia="Aptos Display" w:hAnsi="Aptos Display" w:cs="Aptos Display"/>
          <w:color w:val="0F4761"/>
          <w:sz w:val="40"/>
        </w:rPr>
        <w:t xml:space="preserve"> </w:t>
      </w:r>
    </w:p>
    <w:p w14:paraId="0FAAC4A3" w14:textId="77777777" w:rsidR="00AB27B1" w:rsidRDefault="0097238B">
      <w:pPr>
        <w:pStyle w:val="Heading1"/>
        <w:ind w:left="-5"/>
      </w:pPr>
      <w:bookmarkStart w:id="2" w:name="_Toc6620"/>
      <w:r>
        <w:t xml:space="preserve">Conclusion: </w:t>
      </w:r>
      <w:bookmarkEnd w:id="2"/>
    </w:p>
    <w:p w14:paraId="25466181" w14:textId="77777777" w:rsidR="00AB27B1" w:rsidRDefault="0097238B">
      <w:pPr>
        <w:ind w:left="-5"/>
      </w:pPr>
      <w:r>
        <w:t xml:space="preserve">A Path Towards a Sustainable and Equitable Future </w:t>
      </w:r>
    </w:p>
    <w:p w14:paraId="181765DC" w14:textId="77777777" w:rsidR="00AB27B1" w:rsidRDefault="0097238B">
      <w:pPr>
        <w:spacing w:after="182" w:line="259" w:lineRule="auto"/>
        <w:ind w:left="0" w:firstLine="0"/>
      </w:pPr>
      <w:r>
        <w:t xml:space="preserve"> </w:t>
      </w:r>
    </w:p>
    <w:p w14:paraId="54AB7426" w14:textId="77777777" w:rsidR="00AB27B1" w:rsidRDefault="0097238B">
      <w:pPr>
        <w:ind w:left="-5"/>
      </w:pPr>
      <w:r>
        <w:t xml:space="preserve">The King's Cross headquarters project by Google is a significant and multifaceted initiative that has the potential to greatly impact the UK's IT sector and the local community. Through its incorporation of cutting-edge sustainability measures and focus on economic growth, the project serves as an exemplary model for future </w:t>
      </w:r>
      <w:r>
        <w:lastRenderedPageBreak/>
        <w:t xml:space="preserve">developments within the technology sector in the UK. However, the project also underscores the critical importance of comprehensive planning, inclusivity, and social responsibility in ensuring a positive impact on the community and environment. </w:t>
      </w:r>
    </w:p>
    <w:p w14:paraId="5093BDBB" w14:textId="77777777" w:rsidR="00AB27B1" w:rsidRDefault="0097238B">
      <w:pPr>
        <w:spacing w:after="177" w:line="259" w:lineRule="auto"/>
        <w:ind w:left="0" w:firstLine="0"/>
      </w:pPr>
      <w:r>
        <w:t xml:space="preserve"> </w:t>
      </w:r>
    </w:p>
    <w:p w14:paraId="4EE2864D" w14:textId="67E70683" w:rsidR="00AB27B1" w:rsidRDefault="0097238B">
      <w:pPr>
        <w:ind w:left="-5"/>
      </w:pPr>
      <w:r>
        <w:t xml:space="preserve">The project's successful implementation will be contingent upon its ability to effectively navigate and mitigate economic disparities, gentrification, and concerns related to market dominance. Its lasting influence will be defined by its ability to uplift the lives of both tech workers and the local community, while simultaneously fostering a more equitable and sustainable future for the UK's IT sector. By thoroughly </w:t>
      </w:r>
      <w:r w:rsidR="00583824">
        <w:t>analysing</w:t>
      </w:r>
      <w:r>
        <w:t xml:space="preserve"> the triumphs and obstacles encountered in this project, forthcoming IT initiatives in the UK can strive to adopt a more balanced and conscientious approach to development. This approach will help ensure that the benefits of technological progress are equitably distributed and that the UK's IT sector flourishes within a sustainable and inclusive environment. </w:t>
      </w:r>
    </w:p>
    <w:p w14:paraId="634709DE" w14:textId="77777777" w:rsidR="00AB27B1" w:rsidRDefault="0097238B">
      <w:pPr>
        <w:spacing w:after="182" w:line="259" w:lineRule="auto"/>
        <w:ind w:left="0" w:firstLine="0"/>
      </w:pPr>
      <w:r>
        <w:t xml:space="preserve"> </w:t>
      </w:r>
    </w:p>
    <w:p w14:paraId="375277F2" w14:textId="77777777" w:rsidR="00AB27B1" w:rsidRDefault="0097238B">
      <w:pPr>
        <w:spacing w:after="182" w:line="259" w:lineRule="auto"/>
        <w:ind w:left="0" w:firstLine="0"/>
      </w:pPr>
      <w:r>
        <w:t xml:space="preserve"> </w:t>
      </w:r>
    </w:p>
    <w:p w14:paraId="71D040C6" w14:textId="77777777" w:rsidR="00AB27B1" w:rsidRDefault="0097238B">
      <w:pPr>
        <w:spacing w:after="182" w:line="259" w:lineRule="auto"/>
        <w:ind w:left="0" w:firstLine="0"/>
      </w:pPr>
      <w:r>
        <w:t xml:space="preserve"> </w:t>
      </w:r>
    </w:p>
    <w:p w14:paraId="5D51DF2B" w14:textId="77777777" w:rsidR="00AB27B1" w:rsidRDefault="0097238B">
      <w:pPr>
        <w:ind w:left="-5"/>
      </w:pPr>
      <w:r>
        <w:t xml:space="preserve">References: </w:t>
      </w:r>
    </w:p>
    <w:p w14:paraId="28EB5C66" w14:textId="77777777" w:rsidR="00AB27B1" w:rsidRDefault="0097238B">
      <w:pPr>
        <w:spacing w:after="177" w:line="259" w:lineRule="auto"/>
        <w:ind w:left="0" w:firstLine="0"/>
      </w:pPr>
      <w:r>
        <w:t xml:space="preserve"> </w:t>
      </w:r>
    </w:p>
    <w:p w14:paraId="68447E7B" w14:textId="77777777" w:rsidR="00AB27B1" w:rsidRDefault="0097238B">
      <w:pPr>
        <w:numPr>
          <w:ilvl w:val="0"/>
          <w:numId w:val="2"/>
        </w:numPr>
        <w:ind w:hanging="334"/>
      </w:pPr>
      <w:proofErr w:type="spellStart"/>
      <w:r>
        <w:t>Benenson</w:t>
      </w:r>
      <w:proofErr w:type="spellEnd"/>
      <w:r>
        <w:t xml:space="preserve">, A., &amp; Campbell, M. (2019). Green Architecture: Advanced Principles. New York: Wiley. </w:t>
      </w:r>
    </w:p>
    <w:p w14:paraId="26B53530" w14:textId="77777777" w:rsidR="00AB27B1" w:rsidRDefault="0097238B">
      <w:pPr>
        <w:numPr>
          <w:ilvl w:val="0"/>
          <w:numId w:val="2"/>
        </w:numPr>
        <w:ind w:hanging="334"/>
      </w:pPr>
      <w:proofErr w:type="spellStart"/>
      <w:r>
        <w:t>Blowfield</w:t>
      </w:r>
      <w:proofErr w:type="spellEnd"/>
      <w:r>
        <w:t xml:space="preserve">, M., &amp; Murray, A. (2014). Corporate Social Responsibility: A Critical Introduction. Oxford: Oxford University Press. </w:t>
      </w:r>
    </w:p>
    <w:p w14:paraId="10C6399F" w14:textId="77777777" w:rsidR="00AB27B1" w:rsidRDefault="0097238B">
      <w:pPr>
        <w:numPr>
          <w:ilvl w:val="0"/>
          <w:numId w:val="2"/>
        </w:numPr>
        <w:ind w:hanging="334"/>
      </w:pPr>
      <w:r>
        <w:t xml:space="preserve">Baker, J., &amp; Davis, M. (2018). Designing Workspaces for the Future: EmployeeCentric Approaches. London: </w:t>
      </w:r>
      <w:proofErr w:type="spellStart"/>
      <w:r>
        <w:t>Routledge</w:t>
      </w:r>
      <w:proofErr w:type="spellEnd"/>
      <w:r>
        <w:t xml:space="preserve">. </w:t>
      </w:r>
    </w:p>
    <w:p w14:paraId="1F9D51AB" w14:textId="77777777" w:rsidR="00AB27B1" w:rsidRDefault="0097238B">
      <w:pPr>
        <w:numPr>
          <w:ilvl w:val="0"/>
          <w:numId w:val="2"/>
        </w:numPr>
        <w:spacing w:after="13"/>
        <w:ind w:hanging="334"/>
      </w:pPr>
      <w:proofErr w:type="spellStart"/>
      <w:r>
        <w:t>Daisey</w:t>
      </w:r>
      <w:proofErr w:type="spellEnd"/>
      <w:r>
        <w:t xml:space="preserve">, J. M., </w:t>
      </w:r>
      <w:proofErr w:type="spellStart"/>
      <w:r>
        <w:t>Angell</w:t>
      </w:r>
      <w:proofErr w:type="spellEnd"/>
      <w:r>
        <w:t xml:space="preserve">, W. J., &amp; </w:t>
      </w:r>
      <w:proofErr w:type="spellStart"/>
      <w:r>
        <w:t>Apte</w:t>
      </w:r>
      <w:proofErr w:type="spellEnd"/>
      <w:r>
        <w:t xml:space="preserve">, M. G. (2003). Indoor Air Quality in U.S. </w:t>
      </w:r>
    </w:p>
    <w:p w14:paraId="7152DCD8" w14:textId="77777777" w:rsidR="00AB27B1" w:rsidRDefault="0097238B">
      <w:pPr>
        <w:ind w:left="-5"/>
      </w:pPr>
      <w:r>
        <w:t xml:space="preserve">Commercial and Institutional Buildings: Results of the 1999-2001 BASE Study. Indoor Air, 13(2), 124-134. </w:t>
      </w:r>
    </w:p>
    <w:p w14:paraId="12EF2E80" w14:textId="77777777" w:rsidR="00AB27B1" w:rsidRDefault="0097238B">
      <w:pPr>
        <w:numPr>
          <w:ilvl w:val="0"/>
          <w:numId w:val="2"/>
        </w:numPr>
        <w:ind w:hanging="334"/>
      </w:pPr>
      <w:r>
        <w:t xml:space="preserve">Gillespie. "Google Headquarters - Projects." Retrieved from [source website].  </w:t>
      </w:r>
    </w:p>
    <w:p w14:paraId="7CD7AADB" w14:textId="77777777" w:rsidR="00AB27B1" w:rsidRDefault="0097238B">
      <w:pPr>
        <w:spacing w:after="182" w:line="259" w:lineRule="auto"/>
        <w:ind w:left="0" w:firstLine="0"/>
      </w:pPr>
      <w:r>
        <w:t xml:space="preserve"> </w:t>
      </w:r>
    </w:p>
    <w:p w14:paraId="78C282E6" w14:textId="77777777" w:rsidR="00AB27B1" w:rsidRDefault="0097238B">
      <w:pPr>
        <w:spacing w:after="182" w:line="259" w:lineRule="auto"/>
        <w:ind w:left="0" w:firstLine="0"/>
      </w:pPr>
      <w:r>
        <w:t xml:space="preserve"> </w:t>
      </w:r>
    </w:p>
    <w:p w14:paraId="5924AE9C" w14:textId="77777777" w:rsidR="00AB27B1" w:rsidRDefault="0097238B">
      <w:pPr>
        <w:spacing w:after="182" w:line="259" w:lineRule="auto"/>
        <w:ind w:left="0" w:firstLine="0"/>
      </w:pPr>
      <w:r>
        <w:t xml:space="preserve"> </w:t>
      </w:r>
    </w:p>
    <w:p w14:paraId="6F4B76A7" w14:textId="77777777" w:rsidR="00AB27B1" w:rsidRDefault="0097238B">
      <w:pPr>
        <w:spacing w:after="182" w:line="259" w:lineRule="auto"/>
        <w:ind w:left="0" w:firstLine="0"/>
      </w:pPr>
      <w:r>
        <w:t xml:space="preserve"> </w:t>
      </w:r>
    </w:p>
    <w:p w14:paraId="3D13D8A8" w14:textId="77777777" w:rsidR="00AB27B1" w:rsidRDefault="0097238B">
      <w:pPr>
        <w:spacing w:after="0" w:line="259" w:lineRule="auto"/>
        <w:ind w:left="0" w:firstLine="0"/>
      </w:pPr>
      <w:r>
        <w:t xml:space="preserve"> </w:t>
      </w:r>
    </w:p>
    <w:sectPr w:rsidR="00AB27B1">
      <w:pgSz w:w="11904" w:h="16838"/>
      <w:pgMar w:top="1440" w:right="1439" w:bottom="150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A23A2"/>
    <w:multiLevelType w:val="hybridMultilevel"/>
    <w:tmpl w:val="FFFFFFFF"/>
    <w:lvl w:ilvl="0" w:tplc="7BD8A88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40DEC2">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A5C043C">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EC1E8E">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743994">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5669D42">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DFE4296">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860100">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488C68">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0701146"/>
    <w:multiLevelType w:val="hybridMultilevel"/>
    <w:tmpl w:val="FFFFFFFF"/>
    <w:lvl w:ilvl="0" w:tplc="CD5261F2">
      <w:start w:val="1"/>
      <w:numFmt w:val="decimal"/>
      <w:lvlText w:val="%1."/>
      <w:lvlJc w:val="left"/>
      <w:pPr>
        <w:ind w:left="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1CA4B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336572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3C5C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6EA2A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0A028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4CE72E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42C8D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1EE55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62653857">
    <w:abstractNumId w:val="0"/>
  </w:num>
  <w:num w:numId="2" w16cid:durableId="1961523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7B1"/>
    <w:rsid w:val="00063768"/>
    <w:rsid w:val="002A5619"/>
    <w:rsid w:val="00336228"/>
    <w:rsid w:val="003C1AD8"/>
    <w:rsid w:val="00496E7A"/>
    <w:rsid w:val="00583824"/>
    <w:rsid w:val="0063417A"/>
    <w:rsid w:val="0097238B"/>
    <w:rsid w:val="00A0538C"/>
    <w:rsid w:val="00AB27B1"/>
    <w:rsid w:val="00C24613"/>
    <w:rsid w:val="00C31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5001B5"/>
  <w15:docId w15:val="{D0C14E06-EF2A-DC49-AC4C-8C8E1A1E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ptos Display" w:eastAsia="Aptos Display" w:hAnsi="Aptos Display" w:cs="Aptos Display"/>
      <w:color w:val="0F4761"/>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ptos Display" w:eastAsia="Aptos Display" w:hAnsi="Aptos Display" w:cs="Aptos Display"/>
      <w:color w:val="0F4761"/>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ptos Display" w:eastAsia="Aptos Display" w:hAnsi="Aptos Display" w:cs="Aptos Display"/>
      <w:color w:val="0F4761"/>
      <w:sz w:val="40"/>
    </w:rPr>
  </w:style>
  <w:style w:type="character" w:customStyle="1" w:styleId="Heading1Char">
    <w:name w:val="Heading 1 Char"/>
    <w:link w:val="Heading1"/>
    <w:rPr>
      <w:rFonts w:ascii="Aptos Display" w:eastAsia="Aptos Display" w:hAnsi="Aptos Display" w:cs="Aptos Display"/>
      <w:color w:val="0F4761"/>
      <w:sz w:val="40"/>
    </w:rPr>
  </w:style>
  <w:style w:type="paragraph" w:styleId="TOC1">
    <w:name w:val="toc 1"/>
    <w:hidden/>
    <w:pPr>
      <w:spacing w:after="142" w:line="259" w:lineRule="auto"/>
      <w:ind w:left="25" w:right="20" w:hanging="10"/>
    </w:pPr>
    <w:rPr>
      <w:rFonts w:ascii="Aptos" w:eastAsia="Aptos" w:hAnsi="Aptos" w:cs="Aptos"/>
      <w:b/>
      <w: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14176</Characters>
  <Application>Microsoft Office Word</Application>
  <DocSecurity>0</DocSecurity>
  <Lines>118</Lines>
  <Paragraphs>33</Paragraphs>
  <ScaleCrop>false</ScaleCrop>
  <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Valentin Vesa</cp:lastModifiedBy>
  <cp:revision>2</cp:revision>
  <dcterms:created xsi:type="dcterms:W3CDTF">2024-09-01T08:02:00Z</dcterms:created>
  <dcterms:modified xsi:type="dcterms:W3CDTF">2024-09-01T08:02:00Z</dcterms:modified>
</cp:coreProperties>
</file>