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0DBFDD" w14:textId="22F42CBA" w:rsidR="00601BBD" w:rsidRPr="0063329D" w:rsidRDefault="00000000" w:rsidP="00601BBD">
      <w:pPr>
        <w:spacing w:before="3960" w:after="4560" w:line="240" w:lineRule="auto"/>
        <w:jc w:val="center"/>
        <w:rPr>
          <w:rFonts w:ascii="Arial" w:hAnsi="Arial" w:cs="Arial"/>
          <w:b/>
          <w:bCs/>
          <w:color w:val="156082" w:themeColor="accent1"/>
          <w:sz w:val="40"/>
          <w:szCs w:val="40"/>
        </w:rPr>
      </w:pPr>
      <w:sdt>
        <w:sdtPr>
          <w:rPr>
            <w:rFonts w:ascii="Arial" w:hAnsi="Arial" w:cs="Arial"/>
            <w:b/>
            <w:bCs/>
            <w:color w:val="156082" w:themeColor="accent1"/>
            <w:sz w:val="40"/>
            <w:szCs w:val="40"/>
          </w:rPr>
          <w:id w:val="-1191146054"/>
          <w:docPartObj>
            <w:docPartGallery w:val="Cover Pages"/>
            <w:docPartUnique/>
          </w:docPartObj>
        </w:sdtPr>
        <w:sdtContent>
          <w:r w:rsidR="00601BBD" w:rsidRPr="0063329D">
            <w:rPr>
              <w:rFonts w:ascii="Arial" w:hAnsi="Arial" w:cs="Arial"/>
              <w:b/>
              <w:bCs/>
              <w:noProof/>
              <w:color w:val="156082" w:themeColor="accent1"/>
              <w:sz w:val="40"/>
              <w:szCs w:val="40"/>
            </w:rPr>
            <mc:AlternateContent>
              <mc:Choice Requires="wpg">
                <w:drawing>
                  <wp:anchor distT="0" distB="0" distL="114300" distR="114300" simplePos="0" relativeHeight="251662336" behindDoc="0" locked="0" layoutInCell="1" allowOverlap="1" wp14:anchorId="2B3B58C9" wp14:editId="1EC9E89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702E8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sdtContent>
      </w:sdt>
      <w:r w:rsidR="00601BBD" w:rsidRPr="0063329D">
        <w:rPr>
          <w:rFonts w:ascii="Times New Roman" w:eastAsia="Times New Roman" w:hAnsi="Times New Roman" w:cs="Times New Roman"/>
          <w:color w:val="156082" w:themeColor="accent1"/>
          <w:kern w:val="0"/>
          <w:lang w:val="en" w:eastAsia="en-GB"/>
          <w14:ligatures w14:val="none"/>
        </w:rPr>
        <w:t xml:space="preserve"> </w:t>
      </w:r>
      <w:r w:rsidR="0063329D" w:rsidRPr="0063329D">
        <w:rPr>
          <w:rFonts w:ascii="Arial" w:hAnsi="Arial" w:cs="Arial"/>
          <w:b/>
          <w:bCs/>
          <w:color w:val="156082" w:themeColor="accent1"/>
          <w:sz w:val="40"/>
          <w:szCs w:val="40"/>
          <w:lang w:val="en"/>
        </w:rPr>
        <w:t>The Role of Corporate Social Responsibility in Promoting Sustainability in the Hospitality Industry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4"/>
        <w:gridCol w:w="7342"/>
      </w:tblGrid>
      <w:tr w:rsidR="00601BBD" w14:paraId="737DD860" w14:textId="77777777" w:rsidTr="00601BBD">
        <w:tc>
          <w:tcPr>
            <w:tcW w:w="3114" w:type="dxa"/>
          </w:tcPr>
          <w:p w14:paraId="579D4BA6" w14:textId="73025605" w:rsidR="00601BBD" w:rsidRPr="00601BBD" w:rsidRDefault="00601BBD" w:rsidP="00601BBD">
            <w:pPr>
              <w:rPr>
                <w:rFonts w:ascii="Arial" w:hAnsi="Arial" w:cs="Arial"/>
                <w:b/>
                <w:bCs/>
                <w:color w:val="156082" w:themeColor="accent1"/>
                <w:sz w:val="32"/>
                <w:szCs w:val="32"/>
              </w:rPr>
            </w:pPr>
            <w:r w:rsidRPr="00601BBD">
              <w:rPr>
                <w:rFonts w:ascii="Arial" w:hAnsi="Arial" w:cs="Arial"/>
                <w:b/>
                <w:bCs/>
                <w:color w:val="156082" w:themeColor="accent1"/>
                <w:sz w:val="32"/>
                <w:szCs w:val="32"/>
              </w:rPr>
              <w:t>Student name:</w:t>
            </w:r>
          </w:p>
        </w:tc>
        <w:tc>
          <w:tcPr>
            <w:tcW w:w="7342" w:type="dxa"/>
          </w:tcPr>
          <w:p w14:paraId="486C080E" w14:textId="4F4BFE5C" w:rsidR="00601BBD" w:rsidRPr="00601BBD" w:rsidRDefault="00601BBD" w:rsidP="00601BBD">
            <w:pPr>
              <w:rPr>
                <w:rFonts w:ascii="Arial" w:hAnsi="Arial" w:cs="Arial"/>
                <w:sz w:val="32"/>
                <w:szCs w:val="32"/>
              </w:rPr>
            </w:pPr>
            <w:r w:rsidRPr="00601BBD">
              <w:rPr>
                <w:rFonts w:ascii="Arial" w:hAnsi="Arial" w:cs="Arial"/>
                <w:sz w:val="32"/>
                <w:szCs w:val="32"/>
              </w:rPr>
              <w:t>Fruzsina Valoczki</w:t>
            </w:r>
          </w:p>
        </w:tc>
      </w:tr>
      <w:tr w:rsidR="00601BBD" w14:paraId="07E00357" w14:textId="77777777" w:rsidTr="00601BBD">
        <w:tc>
          <w:tcPr>
            <w:tcW w:w="3114" w:type="dxa"/>
          </w:tcPr>
          <w:p w14:paraId="3DE2CC2B" w14:textId="3BAAF840" w:rsidR="00601BBD" w:rsidRPr="00601BBD" w:rsidRDefault="00601BBD" w:rsidP="00601BBD">
            <w:pPr>
              <w:rPr>
                <w:rFonts w:ascii="Arial" w:hAnsi="Arial" w:cs="Arial"/>
                <w:b/>
                <w:bCs/>
                <w:color w:val="156082" w:themeColor="accent1"/>
                <w:sz w:val="32"/>
                <w:szCs w:val="32"/>
              </w:rPr>
            </w:pPr>
            <w:r w:rsidRPr="00601BBD">
              <w:rPr>
                <w:rFonts w:ascii="Arial" w:hAnsi="Arial" w:cs="Arial"/>
                <w:b/>
                <w:bCs/>
                <w:color w:val="156082" w:themeColor="accent1"/>
                <w:sz w:val="32"/>
                <w:szCs w:val="32"/>
              </w:rPr>
              <w:t>Student number:</w:t>
            </w:r>
          </w:p>
        </w:tc>
        <w:tc>
          <w:tcPr>
            <w:tcW w:w="7342" w:type="dxa"/>
          </w:tcPr>
          <w:p w14:paraId="40BF59AC" w14:textId="49246EBE" w:rsidR="00601BBD" w:rsidRPr="00601BBD" w:rsidRDefault="00601BBD" w:rsidP="00601BBD">
            <w:pPr>
              <w:rPr>
                <w:rFonts w:ascii="Arial" w:hAnsi="Arial" w:cs="Arial"/>
                <w:sz w:val="32"/>
                <w:szCs w:val="32"/>
              </w:rPr>
            </w:pPr>
            <w:r w:rsidRPr="00601BBD">
              <w:rPr>
                <w:rFonts w:ascii="Arial" w:hAnsi="Arial" w:cs="Arial"/>
                <w:sz w:val="32"/>
                <w:szCs w:val="32"/>
              </w:rPr>
              <w:t>2223630</w:t>
            </w:r>
          </w:p>
        </w:tc>
      </w:tr>
      <w:tr w:rsidR="00601BBD" w14:paraId="755D7423" w14:textId="77777777" w:rsidTr="00601BBD">
        <w:tc>
          <w:tcPr>
            <w:tcW w:w="3114" w:type="dxa"/>
          </w:tcPr>
          <w:p w14:paraId="37ECCAA4" w14:textId="29028199" w:rsidR="00601BBD" w:rsidRPr="00601BBD" w:rsidRDefault="00601BBD" w:rsidP="00601BBD">
            <w:pPr>
              <w:rPr>
                <w:rFonts w:ascii="Arial" w:hAnsi="Arial" w:cs="Arial"/>
                <w:b/>
                <w:bCs/>
                <w:color w:val="156082" w:themeColor="accent1"/>
                <w:sz w:val="32"/>
                <w:szCs w:val="32"/>
              </w:rPr>
            </w:pPr>
            <w:r w:rsidRPr="00601BBD">
              <w:rPr>
                <w:rFonts w:ascii="Arial" w:hAnsi="Arial" w:cs="Arial"/>
                <w:b/>
                <w:bCs/>
                <w:color w:val="156082" w:themeColor="accent1"/>
                <w:sz w:val="32"/>
                <w:szCs w:val="32"/>
              </w:rPr>
              <w:t>Lecturer’s name:</w:t>
            </w:r>
          </w:p>
        </w:tc>
        <w:tc>
          <w:tcPr>
            <w:tcW w:w="7342" w:type="dxa"/>
          </w:tcPr>
          <w:p w14:paraId="1226CB99" w14:textId="25938943" w:rsidR="00601BBD" w:rsidRPr="00601BBD" w:rsidRDefault="0063329D" w:rsidP="00601BBD">
            <w:pPr>
              <w:rPr>
                <w:rFonts w:ascii="Arial" w:hAnsi="Arial" w:cs="Arial"/>
                <w:sz w:val="32"/>
                <w:szCs w:val="32"/>
              </w:rPr>
            </w:pPr>
            <w:r>
              <w:rPr>
                <w:rFonts w:ascii="Arial" w:hAnsi="Arial" w:cs="Arial"/>
                <w:sz w:val="32"/>
                <w:szCs w:val="32"/>
              </w:rPr>
              <w:t>Lisa Knight</w:t>
            </w:r>
          </w:p>
        </w:tc>
      </w:tr>
      <w:tr w:rsidR="00601BBD" w14:paraId="42C371D8" w14:textId="77777777" w:rsidTr="00601BBD">
        <w:tc>
          <w:tcPr>
            <w:tcW w:w="3114" w:type="dxa"/>
          </w:tcPr>
          <w:p w14:paraId="41840E9E" w14:textId="0FAFCDDF" w:rsidR="00601BBD" w:rsidRPr="00601BBD" w:rsidRDefault="00601BBD" w:rsidP="00601BBD">
            <w:pPr>
              <w:rPr>
                <w:rFonts w:ascii="Arial" w:hAnsi="Arial" w:cs="Arial"/>
                <w:b/>
                <w:bCs/>
                <w:color w:val="156082" w:themeColor="accent1"/>
                <w:sz w:val="32"/>
                <w:szCs w:val="32"/>
              </w:rPr>
            </w:pPr>
            <w:r w:rsidRPr="00601BBD">
              <w:rPr>
                <w:rFonts w:ascii="Arial" w:hAnsi="Arial" w:cs="Arial"/>
                <w:b/>
                <w:bCs/>
                <w:color w:val="156082" w:themeColor="accent1"/>
                <w:sz w:val="32"/>
                <w:szCs w:val="32"/>
              </w:rPr>
              <w:t>Module code:</w:t>
            </w:r>
          </w:p>
        </w:tc>
        <w:tc>
          <w:tcPr>
            <w:tcW w:w="7342" w:type="dxa"/>
          </w:tcPr>
          <w:p w14:paraId="0231923A" w14:textId="7907CB9C" w:rsidR="00601BBD" w:rsidRPr="00601BBD" w:rsidRDefault="00601BBD" w:rsidP="00601BBD">
            <w:pPr>
              <w:rPr>
                <w:rFonts w:ascii="Arial" w:hAnsi="Arial" w:cs="Arial"/>
                <w:sz w:val="32"/>
                <w:szCs w:val="32"/>
              </w:rPr>
            </w:pPr>
            <w:r w:rsidRPr="00601BBD">
              <w:rPr>
                <w:rFonts w:ascii="Arial" w:hAnsi="Arial" w:cs="Arial"/>
                <w:sz w:val="32"/>
                <w:szCs w:val="32"/>
              </w:rPr>
              <w:t>BMIH500</w:t>
            </w:r>
            <w:r w:rsidR="0063329D">
              <w:rPr>
                <w:rFonts w:ascii="Arial" w:hAnsi="Arial" w:cs="Arial"/>
                <w:sz w:val="32"/>
                <w:szCs w:val="32"/>
              </w:rPr>
              <w:t>6</w:t>
            </w:r>
          </w:p>
        </w:tc>
      </w:tr>
      <w:tr w:rsidR="00601BBD" w14:paraId="1450058E" w14:textId="77777777" w:rsidTr="00601BBD">
        <w:tc>
          <w:tcPr>
            <w:tcW w:w="3114" w:type="dxa"/>
          </w:tcPr>
          <w:p w14:paraId="5EF33CD7" w14:textId="66798CC5" w:rsidR="00601BBD" w:rsidRPr="00601BBD" w:rsidRDefault="00601BBD" w:rsidP="00601BBD">
            <w:pPr>
              <w:rPr>
                <w:rFonts w:ascii="Arial" w:hAnsi="Arial" w:cs="Arial"/>
                <w:b/>
                <w:bCs/>
                <w:color w:val="156082" w:themeColor="accent1"/>
                <w:sz w:val="32"/>
                <w:szCs w:val="32"/>
              </w:rPr>
            </w:pPr>
            <w:r w:rsidRPr="00601BBD">
              <w:rPr>
                <w:rFonts w:ascii="Arial" w:hAnsi="Arial" w:cs="Arial"/>
                <w:b/>
                <w:bCs/>
                <w:color w:val="156082" w:themeColor="accent1"/>
                <w:sz w:val="32"/>
                <w:szCs w:val="32"/>
              </w:rPr>
              <w:t>Module name:</w:t>
            </w:r>
          </w:p>
        </w:tc>
        <w:tc>
          <w:tcPr>
            <w:tcW w:w="7342" w:type="dxa"/>
          </w:tcPr>
          <w:p w14:paraId="3471FEFD" w14:textId="0F190425" w:rsidR="00601BBD" w:rsidRPr="00601BBD" w:rsidRDefault="0063329D" w:rsidP="00601BBD">
            <w:pPr>
              <w:rPr>
                <w:rFonts w:ascii="Arial" w:hAnsi="Arial" w:cs="Arial"/>
                <w:sz w:val="32"/>
                <w:szCs w:val="32"/>
              </w:rPr>
            </w:pPr>
            <w:r>
              <w:rPr>
                <w:rFonts w:ascii="Arial" w:hAnsi="Arial" w:cs="Arial"/>
                <w:sz w:val="32"/>
                <w:szCs w:val="32"/>
              </w:rPr>
              <w:t>Sustainable Hospitality &amp; Tourism Management</w:t>
            </w:r>
          </w:p>
        </w:tc>
      </w:tr>
      <w:tr w:rsidR="0056338C" w14:paraId="3D4B2E1D" w14:textId="77777777" w:rsidTr="00601BBD">
        <w:tc>
          <w:tcPr>
            <w:tcW w:w="3114" w:type="dxa"/>
          </w:tcPr>
          <w:p w14:paraId="0E40F5DE" w14:textId="3EC46A27" w:rsidR="0056338C" w:rsidRPr="00601BBD" w:rsidRDefault="0056338C" w:rsidP="00601BBD">
            <w:pPr>
              <w:rPr>
                <w:rFonts w:ascii="Arial" w:hAnsi="Arial" w:cs="Arial"/>
                <w:b/>
                <w:bCs/>
                <w:color w:val="156082" w:themeColor="accent1"/>
                <w:sz w:val="32"/>
                <w:szCs w:val="32"/>
              </w:rPr>
            </w:pPr>
            <w:r>
              <w:rPr>
                <w:rFonts w:ascii="Arial" w:hAnsi="Arial" w:cs="Arial"/>
                <w:b/>
                <w:bCs/>
                <w:color w:val="156082" w:themeColor="accent1"/>
                <w:sz w:val="32"/>
                <w:szCs w:val="32"/>
              </w:rPr>
              <w:t>Word Count</w:t>
            </w:r>
          </w:p>
        </w:tc>
        <w:tc>
          <w:tcPr>
            <w:tcW w:w="7342" w:type="dxa"/>
          </w:tcPr>
          <w:p w14:paraId="6D24F155" w14:textId="466950CC" w:rsidR="0056338C" w:rsidRPr="00601BBD" w:rsidRDefault="0056338C" w:rsidP="00601BBD">
            <w:pPr>
              <w:rPr>
                <w:rFonts w:ascii="Arial" w:hAnsi="Arial" w:cs="Arial"/>
                <w:sz w:val="32"/>
                <w:szCs w:val="32"/>
              </w:rPr>
            </w:pPr>
            <w:r>
              <w:rPr>
                <w:rFonts w:ascii="Arial" w:hAnsi="Arial" w:cs="Arial"/>
                <w:sz w:val="32"/>
                <w:szCs w:val="32"/>
              </w:rPr>
              <w:t>2</w:t>
            </w:r>
            <w:r w:rsidR="0058229E">
              <w:rPr>
                <w:rFonts w:ascii="Arial" w:hAnsi="Arial" w:cs="Arial"/>
                <w:sz w:val="32"/>
                <w:szCs w:val="32"/>
              </w:rPr>
              <w:t>0</w:t>
            </w:r>
            <w:r w:rsidR="006A0C0C">
              <w:rPr>
                <w:rFonts w:ascii="Arial" w:hAnsi="Arial" w:cs="Arial"/>
                <w:sz w:val="32"/>
                <w:szCs w:val="32"/>
              </w:rPr>
              <w:t>17</w:t>
            </w:r>
          </w:p>
        </w:tc>
      </w:tr>
      <w:tr w:rsidR="00E04542" w14:paraId="36F7E370" w14:textId="77777777" w:rsidTr="00601BBD">
        <w:tc>
          <w:tcPr>
            <w:tcW w:w="3114" w:type="dxa"/>
          </w:tcPr>
          <w:p w14:paraId="39CAB50E" w14:textId="05B000CA" w:rsidR="00E04542" w:rsidRPr="00601BBD" w:rsidRDefault="00E04542" w:rsidP="00601BBD">
            <w:pPr>
              <w:rPr>
                <w:rFonts w:ascii="Arial" w:hAnsi="Arial" w:cs="Arial"/>
                <w:b/>
                <w:bCs/>
                <w:color w:val="156082" w:themeColor="accent1"/>
                <w:sz w:val="32"/>
                <w:szCs w:val="32"/>
              </w:rPr>
            </w:pPr>
            <w:r>
              <w:rPr>
                <w:rFonts w:ascii="Arial" w:hAnsi="Arial" w:cs="Arial"/>
                <w:b/>
                <w:bCs/>
                <w:color w:val="156082" w:themeColor="accent1"/>
                <w:sz w:val="32"/>
                <w:szCs w:val="32"/>
              </w:rPr>
              <w:t>Submission date:</w:t>
            </w:r>
          </w:p>
        </w:tc>
        <w:tc>
          <w:tcPr>
            <w:tcW w:w="7342" w:type="dxa"/>
          </w:tcPr>
          <w:p w14:paraId="30909D86" w14:textId="349A9FFB" w:rsidR="00E04542" w:rsidRPr="00601BBD" w:rsidRDefault="0063329D" w:rsidP="00601BBD">
            <w:pPr>
              <w:rPr>
                <w:rFonts w:ascii="Arial" w:hAnsi="Arial" w:cs="Arial"/>
                <w:sz w:val="32"/>
                <w:szCs w:val="32"/>
              </w:rPr>
            </w:pPr>
            <w:r>
              <w:rPr>
                <w:rFonts w:ascii="Arial" w:hAnsi="Arial" w:cs="Arial"/>
                <w:sz w:val="32"/>
                <w:szCs w:val="32"/>
              </w:rPr>
              <w:t>21</w:t>
            </w:r>
            <w:r w:rsidR="00E04542">
              <w:rPr>
                <w:rFonts w:ascii="Arial" w:hAnsi="Arial" w:cs="Arial"/>
                <w:sz w:val="32"/>
                <w:szCs w:val="32"/>
              </w:rPr>
              <w:t>/10/2024</w:t>
            </w:r>
          </w:p>
        </w:tc>
      </w:tr>
    </w:tbl>
    <w:p w14:paraId="62C76670" w14:textId="77777777" w:rsidR="00E73E0A" w:rsidRDefault="00E73E0A">
      <w:pPr>
        <w:rPr>
          <w:rFonts w:ascii="Arial" w:hAnsi="Arial" w:cs="Arial"/>
          <w:b/>
          <w:bCs/>
          <w:sz w:val="40"/>
          <w:szCs w:val="40"/>
        </w:rPr>
      </w:pPr>
      <w:r>
        <w:rPr>
          <w:rFonts w:ascii="Arial" w:hAnsi="Arial" w:cs="Arial"/>
          <w:b/>
          <w:bCs/>
          <w:sz w:val="40"/>
          <w:szCs w:val="40"/>
        </w:rPr>
        <w:br w:type="page"/>
      </w:r>
    </w:p>
    <w:p w14:paraId="7D2112A6" w14:textId="4AEB9AE2" w:rsidR="00E73E0A" w:rsidRDefault="00E73E0A" w:rsidP="00E73E0A">
      <w:pPr>
        <w:spacing w:after="0" w:line="360" w:lineRule="auto"/>
        <w:jc w:val="both"/>
        <w:rPr>
          <w:rFonts w:ascii="Arial" w:hAnsi="Arial" w:cs="Arial"/>
        </w:rPr>
      </w:pPr>
      <w:r w:rsidRPr="00E73E0A">
        <w:rPr>
          <w:rFonts w:ascii="Arial" w:hAnsi="Arial" w:cs="Arial"/>
        </w:rPr>
        <w:lastRenderedPageBreak/>
        <w:t>I confirm that I have not presented any AI generated text as my own work. I confirm I</w:t>
      </w:r>
      <w:r>
        <w:rPr>
          <w:rFonts w:ascii="Arial" w:hAnsi="Arial" w:cs="Arial"/>
        </w:rPr>
        <w:t xml:space="preserve"> </w:t>
      </w:r>
      <w:r w:rsidRPr="00E73E0A">
        <w:rPr>
          <w:rFonts w:ascii="Arial" w:hAnsi="Arial" w:cs="Arial"/>
        </w:rPr>
        <w:t>have copies of my drafts, notes, and other resources I used before, and after the use of</w:t>
      </w:r>
      <w:r>
        <w:rPr>
          <w:rFonts w:ascii="Arial" w:hAnsi="Arial" w:cs="Arial"/>
        </w:rPr>
        <w:t xml:space="preserve"> </w:t>
      </w:r>
      <w:r w:rsidRPr="00E73E0A">
        <w:rPr>
          <w:rFonts w:ascii="Arial" w:hAnsi="Arial" w:cs="Arial"/>
        </w:rPr>
        <w:t>AI tools which I may be asked to provide in evidence.</w:t>
      </w:r>
    </w:p>
    <w:p w14:paraId="4BA1A5D2" w14:textId="77777777" w:rsidR="00E73E0A" w:rsidRDefault="00E73E0A">
      <w:pPr>
        <w:rPr>
          <w:rFonts w:ascii="Arial" w:hAnsi="Arial" w:cs="Arial"/>
        </w:rPr>
      </w:pPr>
      <w:r>
        <w:rPr>
          <w:rFonts w:ascii="Arial" w:hAnsi="Arial" w:cs="Arial"/>
        </w:rPr>
        <w:br w:type="page"/>
      </w:r>
    </w:p>
    <w:p w14:paraId="38C49A43" w14:textId="77777777" w:rsidR="0063329D" w:rsidRPr="002E1E48" w:rsidRDefault="0063329D" w:rsidP="0063329D">
      <w:pPr>
        <w:spacing w:line="360" w:lineRule="auto"/>
        <w:jc w:val="both"/>
        <w:rPr>
          <w:rFonts w:ascii="Arial" w:hAnsi="Arial" w:cs="Arial"/>
        </w:rPr>
      </w:pPr>
      <w:r w:rsidRPr="002E1E48">
        <w:rPr>
          <w:rFonts w:ascii="Arial" w:hAnsi="Arial" w:cs="Arial"/>
        </w:rPr>
        <w:lastRenderedPageBreak/>
        <w:t>The Sustainable Travel annual report by Booking.com revealed that 76% of travellers are seeking more sustainable travel options (Bennett, 2023). This indicates a growing awareness among guests regarding environmental concerns, which is essential for the success of the hotel industry. In today’s hospitality industry, hotels face the challenge of meeting guest needs while also working to reduce the green impact and support local communities (Goswami, 2023).</w:t>
      </w:r>
      <w:r>
        <w:rPr>
          <w:rFonts w:ascii="Arial" w:hAnsi="Arial" w:cs="Arial"/>
        </w:rPr>
        <w:t xml:space="preserve"> </w:t>
      </w:r>
      <w:r w:rsidRPr="002E1E48">
        <w:rPr>
          <w:rFonts w:ascii="Arial" w:hAnsi="Arial" w:cs="Arial"/>
        </w:rPr>
        <w:t>A company's commitment to ethical action that must consider how decisions may affect the ecology and society is referred to as corporate social responsibility (CSR). CSR is crucial to the hotel industry's eco-friendliness since it drives measures to lower waste, use less energy and water, and promote community involvement (Silva, 2024). It is crucial to recognise that companies are not solely focused on profits but are also committed to making a positive impact on the planet and addressing customers and residents’ expectations (Malhotra, 2024). This essay will identify how CSR supports sustainability in hotels, highlighting significant actions taken in this area. Furthermore, the essay will look at Alila Villas Uluwatu, recognised as one of Indonesia's top hotels for ecological practices, to illustrate the challenges and benefits of effective CSR. </w:t>
      </w:r>
    </w:p>
    <w:p w14:paraId="695EBDE6" w14:textId="0BB1DE7B" w:rsidR="0063329D" w:rsidRDefault="0063329D" w:rsidP="0063329D">
      <w:pPr>
        <w:spacing w:line="360" w:lineRule="auto"/>
        <w:jc w:val="both"/>
        <w:rPr>
          <w:rFonts w:ascii="Arial" w:hAnsi="Arial" w:cs="Arial"/>
        </w:rPr>
      </w:pPr>
      <w:r w:rsidRPr="002E1E48">
        <w:rPr>
          <w:rFonts w:ascii="Arial" w:hAnsi="Arial" w:cs="Arial"/>
        </w:rPr>
        <w:t xml:space="preserve">Alila Villas Uluwatu has incorporated sustainability into its business strategy since the initial design and construction phase. The hotel was built in compliance with the globally accepted Green Globes (GG21) criteria, which include energy efficiency, water management, and waste management (Bohdanowicz, Simanic </w:t>
      </w:r>
      <w:r w:rsidRPr="009970F6">
        <w:rPr>
          <w:rFonts w:ascii="Arial" w:hAnsi="Arial" w:cs="Arial"/>
        </w:rPr>
        <w:t>and</w:t>
      </w:r>
      <w:r w:rsidRPr="002E1E48">
        <w:rPr>
          <w:rFonts w:ascii="Arial" w:hAnsi="Arial" w:cs="Arial"/>
        </w:rPr>
        <w:t xml:space="preserve"> Martinac, 2005). To meet the standard's requirements, the hotel uses renewable energy sources, collects rainwater, and uses environmentally friendly building materials, achieving the highest rating for green sustainable development (Beciri, 2010). Alila Villas also boasts being the first hotel in Indonesia to receive EarthCheck's highest sustainability certification, which recognises its outstanding performance in energy and water consumption and waste reduction (Holden, 2023). To reduce water consumption, the hotel has installed low-flow showers and toilets and recycles greywater for irrigation, achieving a 2.5% water saving in the 2017-2018 period (Marbun, Raka Dalem </w:t>
      </w:r>
      <w:r w:rsidR="00727C48">
        <w:rPr>
          <w:rFonts w:ascii="Arial" w:hAnsi="Arial" w:cs="Arial"/>
        </w:rPr>
        <w:t>and</w:t>
      </w:r>
      <w:r w:rsidRPr="002E1E48">
        <w:rPr>
          <w:rFonts w:ascii="Arial" w:hAnsi="Arial" w:cs="Arial"/>
        </w:rPr>
        <w:t xml:space="preserve"> Muksin, 2022). A water bottling plant on the premises further reduces the use of plastic bottles. The hotel is outstanding not only in reducing water consumption but also in employing numerous strategies to optimise energy use. The villas feature roofs constructed from volcanic lava stone, which provides excellent thermal insulation, thereby reducing the need for heating and cooling energy. By optimising natural ventilation, the buildings' smart layout reduces the demand for air conditioning (Surana, 2022). It also employs energy-efficient lighting and renewable energy sources to decrease its green impact. These actions have produced notable improvements in the preservation of the ecology. Fuel consumption decreased from 3.86 kilolitres to 3.65 kilolitres between 2021 and 2023, representing a 5% decrease, and carbon dioxide emissions decreased from 2987 tons to 2340 tons, representing a 21% decrease (BUVA, 2024). </w:t>
      </w:r>
    </w:p>
    <w:p w14:paraId="72A81E48" w14:textId="77777777" w:rsidR="0063329D" w:rsidRDefault="0063329D" w:rsidP="0063329D">
      <w:pPr>
        <w:spacing w:line="360" w:lineRule="auto"/>
        <w:jc w:val="both"/>
        <w:rPr>
          <w:rFonts w:ascii="Arial" w:hAnsi="Arial" w:cs="Arial"/>
        </w:rPr>
      </w:pPr>
      <w:r w:rsidRPr="002E1E48">
        <w:rPr>
          <w:rFonts w:ascii="Arial" w:hAnsi="Arial" w:cs="Arial"/>
        </w:rPr>
        <w:t xml:space="preserve">Beyond energy efficiency, ecological protection also encompasses proper waste management, given its considerable ecological impact. The practice in this area is significantly influenced by the </w:t>
      </w:r>
      <w:r w:rsidRPr="002E1E48">
        <w:rPr>
          <w:rFonts w:ascii="Arial" w:hAnsi="Arial" w:cs="Arial"/>
        </w:rPr>
        <w:lastRenderedPageBreak/>
        <w:t xml:space="preserve">Indonesian legal environment, particularly Law No. 18/2008 on Waste Management, which mandates the reduction, treatment, and recycling of generated materials (ECOLEX, 2008). In compliance with the provisions of the law, Alila Villas has launched several actions to reduce its green impact. One such initiative, the World of Care program, aims to manage waste to prevent ocean pollution. As part of the 'zero waste' program, the hotel has set a goal of eliminating plastics by 2025 and processing 850 kg of recyclable materials per month (Jain and Miguel, 2022). The hotel recycles all excess materials and operates within a circular economy (Dong, 2023). One such example is the reuse of the plastic layers from visitor slippers as bean bag fillings and collaboration with local partners to transform cigarette butts into furniture. Glass is turned into drinking glasses, tires into coasters, and umbrellas into shopping bags. Organic materials are composted and used in the garden. </w:t>
      </w:r>
    </w:p>
    <w:p w14:paraId="369EA86B" w14:textId="77777777" w:rsidR="0063329D" w:rsidRPr="002E1E48" w:rsidRDefault="0063329D" w:rsidP="0063329D">
      <w:pPr>
        <w:spacing w:line="360" w:lineRule="auto"/>
        <w:jc w:val="both"/>
        <w:rPr>
          <w:rFonts w:ascii="Arial" w:hAnsi="Arial" w:cs="Arial"/>
        </w:rPr>
      </w:pPr>
      <w:r w:rsidRPr="002E1E48">
        <w:rPr>
          <w:rFonts w:ascii="Arial" w:hAnsi="Arial" w:cs="Arial"/>
        </w:rPr>
        <w:t>Although Alila Villas has implemented numerous successful eco-friendliness programs, it has also faced various challenges during implementation. The introduction of ecologically friendly technologies and solutions often requires significant financial investment, such as in the installation of solar energy systems or the purchase of water treatment equipment (Grzegorzek, Wartalska and Kaźmierczak, 2023). However, financial challenges are not exclusive to the implementation of environmentally sustainable technologies. The COVID-19 pandemic has significantly affected all areas of tourism, and Alila Villas experienced similar challenges. As tourism declined, the hotel's income fell, but the costs of maintaining its green commitments remained the same. Consequently, Alila Villas had to seek new investors and implement cost reduction strategies to survive (Artha, Santika and Nugraha, 2024). In addition, the lack of sufficient technology and infrastructure may have limited environmental stewardship efforts, as hotels often must manage waste and access renewable energy sources independently, which can be particularly challenging in Indonesia (Bechauf, 2021). Furthermore, the hotel needs to cater to the diverse needs of its guests, as while some actively seek eco-conscious accommodations, others are less interested in eco-friendliness and expect the usual comfort and amenities. Therefore, Alila Villas needs to find a balance between sustainability and guest experience.</w:t>
      </w:r>
    </w:p>
    <w:p w14:paraId="7FAFD8E0" w14:textId="77777777" w:rsidR="0063329D" w:rsidRDefault="0063329D" w:rsidP="0063329D">
      <w:pPr>
        <w:spacing w:line="360" w:lineRule="auto"/>
        <w:jc w:val="both"/>
        <w:rPr>
          <w:rFonts w:ascii="Arial" w:hAnsi="Arial" w:cs="Arial"/>
        </w:rPr>
      </w:pPr>
      <w:r w:rsidRPr="002E1E48">
        <w:rPr>
          <w:rFonts w:ascii="Arial" w:hAnsi="Arial" w:cs="Arial"/>
        </w:rPr>
        <w:t xml:space="preserve">Its eco-friendliness activities are influenced not only by internal factors but also by external circumstances, such as legal regulations. In the case of Alila Villas, the Indonesian environmental law, Law No. 32/2009, plays a key role and sets strict frameworks for ecologically conscious operation. The law mandates green impact assessments, which aim to minimise the ecological footprint of businesses and promote sustainable operation (ECOLEX, 2009A). This law is essential for the establishment, and conducting ecological impact assessments strengthens the commitment to environmental stewardship. Although complying with legal regulations requires significant effort, well-implemented ecologically conscious operations may lead to benefits in the long run, contributing to eco-friendliness and residents’ well-being. </w:t>
      </w:r>
    </w:p>
    <w:p w14:paraId="181FF892" w14:textId="77777777" w:rsidR="0063329D" w:rsidRDefault="0063329D" w:rsidP="0063329D">
      <w:pPr>
        <w:spacing w:line="360" w:lineRule="auto"/>
        <w:jc w:val="both"/>
        <w:rPr>
          <w:rFonts w:ascii="Arial" w:hAnsi="Arial" w:cs="Arial"/>
        </w:rPr>
      </w:pPr>
      <w:r w:rsidRPr="002E1E48">
        <w:rPr>
          <w:rFonts w:ascii="Arial" w:hAnsi="Arial" w:cs="Arial"/>
        </w:rPr>
        <w:lastRenderedPageBreak/>
        <w:t xml:space="preserve">Alila Villas has recognised that ecological protection and local population support are mutually reinforcing processes and therefore operates numerous programs to help the local population. As part of its operations, the hotel considers the comfort of its guests and actively involves members of the community. It collaborates with local artisans, whose products are featured in the hotel, thereby strengthening the craft industry and contributing to the maintenance of cultural values (Khan, 2016). The food and beverages served in the villas allow visitors to experience Bali's rich cultural traditions, creating a deeper connection with the life of the island. In addition, the hotel prioritises nearby producers and service providers as suppliers, which promotes economic growth and makes the guest experience more authentic. These actions demonstrate the hotel's commitment to supporting the local community and fostering strong relationships with its members. Furthermore, Alila Villas also pays special attention to motivating and developing its employees. During regular training sessions, employees can gain new knowledge, and those who perform outstandingly are rewarded. The aim of the Alila Villas is for employees to serve guests with dedication and high standards (Aryatmaja et al., 2021). Community engagement goes beyond supporting the local community and employees. Alila Villas collaborates with the R.O.L.E. Foundation, which promotes the economic independence of women, and the Bali Life Foundation, which helps orphans and abandoned children. Additionally, guests can participate in charitable efforts through the 'Gift to Share' program, which enables the donation of the cost of unused nights to support the local population (Hotelier Indonesia, 2023). This measure allows visitors to relax while enjoying the amenities, all the while contributing to the improvement of the residents. Alila Villas anticipates that guests will appreciate these social initiatives, therefore helping the hotel to build a positive brand image. This goal is further reinforced by the hotel's comprehensive communication of its green measures through its website and social media channels (Tantri, Ernawati, and Astuti). </w:t>
      </w:r>
    </w:p>
    <w:p w14:paraId="1D8FC1CC" w14:textId="5C75E4D4" w:rsidR="0063329D" w:rsidRPr="002E1E48" w:rsidRDefault="0063329D" w:rsidP="0063329D">
      <w:pPr>
        <w:spacing w:line="360" w:lineRule="auto"/>
        <w:jc w:val="both"/>
        <w:rPr>
          <w:rFonts w:ascii="Arial" w:hAnsi="Arial" w:cs="Arial"/>
        </w:rPr>
      </w:pPr>
      <w:r w:rsidRPr="002E1E48">
        <w:rPr>
          <w:rFonts w:ascii="Arial" w:hAnsi="Arial" w:cs="Arial"/>
        </w:rPr>
        <w:t>Moreover, CSR activities hold significance not only from surroundings and social perspectives but can also generate financial benefits. Alila Villas’ 2023 financial report indicates that revenue increased from £1.56 million</w:t>
      </w:r>
      <w:r w:rsidR="000E31FD">
        <w:rPr>
          <w:rFonts w:ascii="Arial" w:hAnsi="Arial" w:cs="Arial"/>
        </w:rPr>
        <w:t xml:space="preserve"> (</w:t>
      </w:r>
      <w:r w:rsidR="000E31FD" w:rsidRPr="000E31FD">
        <w:rPr>
          <w:rFonts w:ascii="Arial" w:hAnsi="Arial" w:cs="Arial"/>
        </w:rPr>
        <w:t>RP31.4</w:t>
      </w:r>
      <w:r w:rsidR="000E31FD">
        <w:rPr>
          <w:rFonts w:ascii="Arial" w:hAnsi="Arial" w:cs="Arial"/>
        </w:rPr>
        <w:t xml:space="preserve"> billion)</w:t>
      </w:r>
      <w:r w:rsidRPr="002E1E48">
        <w:rPr>
          <w:rFonts w:ascii="Arial" w:hAnsi="Arial" w:cs="Arial"/>
        </w:rPr>
        <w:t xml:space="preserve"> to £10.4 million</w:t>
      </w:r>
      <w:r w:rsidR="000E31FD">
        <w:rPr>
          <w:rFonts w:ascii="Arial" w:hAnsi="Arial" w:cs="Arial"/>
        </w:rPr>
        <w:t xml:space="preserve"> (RP211.1 billion)</w:t>
      </w:r>
      <w:r w:rsidRPr="002E1E48">
        <w:rPr>
          <w:rFonts w:ascii="Arial" w:hAnsi="Arial" w:cs="Arial"/>
        </w:rPr>
        <w:t xml:space="preserve"> in 2021, reflecting a remarkable 572% rise (BUVA, 2024). Net revenue loss </w:t>
      </w:r>
      <w:r w:rsidR="00F31C7C">
        <w:rPr>
          <w:rFonts w:ascii="Arial" w:hAnsi="Arial" w:cs="Arial"/>
        </w:rPr>
        <w:t>increased</w:t>
      </w:r>
      <w:r w:rsidRPr="002E1E48">
        <w:rPr>
          <w:rFonts w:ascii="Arial" w:hAnsi="Arial" w:cs="Arial"/>
        </w:rPr>
        <w:t xml:space="preserve"> from £110.23</w:t>
      </w:r>
      <w:r w:rsidR="000E31FD">
        <w:rPr>
          <w:rFonts w:ascii="Arial" w:hAnsi="Arial" w:cs="Arial"/>
        </w:rPr>
        <w:t xml:space="preserve"> </w:t>
      </w:r>
      <w:r w:rsidRPr="002E1E48">
        <w:rPr>
          <w:rFonts w:ascii="Arial" w:hAnsi="Arial" w:cs="Arial"/>
        </w:rPr>
        <w:t>thousand</w:t>
      </w:r>
      <w:r w:rsidR="0034624F">
        <w:rPr>
          <w:rFonts w:ascii="Arial" w:hAnsi="Arial" w:cs="Arial"/>
        </w:rPr>
        <w:t xml:space="preserve"> </w:t>
      </w:r>
      <w:r w:rsidR="0034624F">
        <w:rPr>
          <w:rFonts w:ascii="Arial" w:hAnsi="Arial" w:cs="Arial"/>
        </w:rPr>
        <w:t>(RP2.2 billion)</w:t>
      </w:r>
      <w:r w:rsidR="0034624F">
        <w:rPr>
          <w:rFonts w:ascii="Arial" w:hAnsi="Arial" w:cs="Arial"/>
        </w:rPr>
        <w:t xml:space="preserve"> </w:t>
      </w:r>
      <w:r w:rsidRPr="002E1E48">
        <w:rPr>
          <w:rFonts w:ascii="Arial" w:hAnsi="Arial" w:cs="Arial"/>
        </w:rPr>
        <w:t>to £4.5 million</w:t>
      </w:r>
      <w:r w:rsidR="000E31FD">
        <w:rPr>
          <w:rFonts w:ascii="Arial" w:hAnsi="Arial" w:cs="Arial"/>
        </w:rPr>
        <w:t xml:space="preserve"> (RP92.5 billion)</w:t>
      </w:r>
      <w:r w:rsidRPr="002E1E48">
        <w:rPr>
          <w:rFonts w:ascii="Arial" w:hAnsi="Arial" w:cs="Arial"/>
        </w:rPr>
        <w:t xml:space="preserve"> over the same period. This indicates that profit increased, suggesting that CSR activities may directly contribute to financial success. This is further supported by the rise in occupancy rate, which was 14.5% in 2021 and increased to 68.9% by 2023 (BUVA, 2024). The 375% increase shows that CSR activities can make the hotel more attractive to guests.</w:t>
      </w:r>
    </w:p>
    <w:p w14:paraId="1DF82F43" w14:textId="11567786" w:rsidR="0063329D" w:rsidRPr="002E1E48" w:rsidRDefault="0063329D" w:rsidP="0063329D">
      <w:pPr>
        <w:spacing w:line="360" w:lineRule="auto"/>
        <w:jc w:val="both"/>
        <w:rPr>
          <w:rFonts w:ascii="Arial" w:hAnsi="Arial" w:cs="Arial"/>
        </w:rPr>
      </w:pPr>
      <w:r w:rsidRPr="002E1E48">
        <w:rPr>
          <w:rFonts w:ascii="Arial" w:hAnsi="Arial" w:cs="Arial"/>
        </w:rPr>
        <w:t xml:space="preserve">However, implementing sustainable practices poses various challenges for Alila Villas. Despite notable successes in social responsibility and sustainability, the hotel encounters difficulties in aligning these actions with the diverse expectations of its visitors. A significant challenge lies in the varying needs regarding accommodations. While some guests actively seek ecologically conscious options and are willing to participate in sustainability programs, others prioritise familiar comforts </w:t>
      </w:r>
      <w:r w:rsidRPr="002E1E48">
        <w:rPr>
          <w:rFonts w:ascii="Arial" w:hAnsi="Arial" w:cs="Arial"/>
        </w:rPr>
        <w:lastRenderedPageBreak/>
        <w:t xml:space="preserve">and show limited interest in green measures (Baljeu, 2024). Therefore, it is essential for hotels to navigate the careful balance between implementing eco-friendliness practices and enhancing the overall guest experience, a task that often proves to be complex. Promoting environmental stewardship practices and convincing guests also pose challenges for the hotel. Alila Villas needs to communicate its CSR activities transparently and present the results achieved for visitors to positively evaluate these </w:t>
      </w:r>
      <w:r w:rsidRPr="009970F6">
        <w:rPr>
          <w:rFonts w:ascii="Arial" w:hAnsi="Arial" w:cs="Arial"/>
        </w:rPr>
        <w:t>endeavours</w:t>
      </w:r>
      <w:r w:rsidRPr="002E1E48">
        <w:rPr>
          <w:rFonts w:ascii="Arial" w:hAnsi="Arial" w:cs="Arial"/>
        </w:rPr>
        <w:t>. When collaborating with surrounding communities, the hotel must consider that the interests and expectations of residents may often differ from the hotel's goals. Achieving sustainability requires continuous communication and a willingness to compromise (Khalid et al., 2019).</w:t>
      </w:r>
    </w:p>
    <w:p w14:paraId="5539D4A3" w14:textId="77777777" w:rsidR="0063329D" w:rsidRPr="002E1E48" w:rsidRDefault="0063329D" w:rsidP="0063329D">
      <w:pPr>
        <w:spacing w:line="360" w:lineRule="auto"/>
        <w:jc w:val="both"/>
        <w:rPr>
          <w:rFonts w:ascii="Arial" w:hAnsi="Arial" w:cs="Arial"/>
        </w:rPr>
      </w:pPr>
      <w:r w:rsidRPr="002E1E48">
        <w:rPr>
          <w:rFonts w:ascii="Arial" w:hAnsi="Arial" w:cs="Arial"/>
        </w:rPr>
        <w:t>Furthermore, raising community interest in environmental stewardship is a time-consuming and patience-requiring process. To ensure long-term eco-friendliness, the hotel needs to continuously consult with community representatives, as the differing priorities of communities can complicate relationships. However, advancing sustainable tourism requires more than just the efforts of hotels and local communities as it also depends on the legal structures in place. For instance, Law No. 10/2009 on Tourism emphasises that tourism projects must consider surroundings and social and cultural factors throughout its planning and implementation stages (ECOLEX, 2009B). This legislation establishes a foundation for Alila Villas’ environmental stewardship initiatives and encourages positive actions in ecological conservation and social responsibility. Nevertheless, ensuring legal compliance presents various challenges, as the requirements can be complex and require significant resources to implement effectively. Although Alila Villas has achieved significant success in many aspects of social responsibility, certain areas still require improvement. A study by Prayoga and Udiana (2018) revealed that the hotel does not consistently provide menstrual leave for female security guards, which contradicts the Indonesian labour law regulation, Law Number 13 Year 2003 (Soewarto, 2003). This case highlights that CSR encompasses not only positive initiatives but also the importance of continuous development and strict legal compliance. For Alila Villas, this situation presents an opportunity for further progress to ensure that CSR activities excel in all areas. The hotel management must review the working conditions of female security guards to guarantee that employer rights and obligations are fully upheld. This approach would not only ensure legal compliance but also reinforce the hotel's commitment to social responsibility.</w:t>
      </w:r>
    </w:p>
    <w:p w14:paraId="269F4D01" w14:textId="77777777" w:rsidR="0063329D" w:rsidRDefault="0063329D" w:rsidP="0063329D">
      <w:pPr>
        <w:spacing w:line="360" w:lineRule="auto"/>
        <w:jc w:val="both"/>
        <w:rPr>
          <w:rFonts w:ascii="Arial" w:hAnsi="Arial" w:cs="Arial"/>
        </w:rPr>
      </w:pPr>
      <w:r w:rsidRPr="002E1E48">
        <w:rPr>
          <w:rFonts w:ascii="Arial" w:hAnsi="Arial" w:cs="Arial"/>
        </w:rPr>
        <w:t xml:space="preserve">In conclusion, as shown by Alila Villas Uluwatu, the global hotel sector depends on the concepts of environmental stewardship and social responsibility. The hotel employs innovative strategies that support the growth of local communities while protecting the surroundings. This essay illustrates that the application of environmentally conscious practices is both an ethical expectation and essential for competitiveness. An increasing number of tourists are seeking accommodations that not only benefit nearby communities but also reduce their impact on the environment. The Alila Villas exemplifies the benefits of integrating CSR projects in enhancing reputation and increasing guest </w:t>
      </w:r>
      <w:r w:rsidRPr="002E1E48">
        <w:rPr>
          <w:rFonts w:ascii="Arial" w:hAnsi="Arial" w:cs="Arial"/>
        </w:rPr>
        <w:lastRenderedPageBreak/>
        <w:t xml:space="preserve">satisfaction. The increase in the hotel's revenue and occupancy rate supports this fact. To address future challenges, it is essential that responsible guidelines remain central. For hotels, this represents not just a responsibility but also a chance to advance the industry's growth. Building a sustainable future requires safeguarding local communities and preserving the environment. At the same time, encouraging the growth of hotels that align with these values is essential. As the world becomes more environmentally conscious, integrating corporate social responsibility and eco-friendly initiatives will be vital for the hospitality sector’s progress, affecting both consumer </w:t>
      </w:r>
      <w:r w:rsidRPr="009970F6">
        <w:rPr>
          <w:rFonts w:ascii="Arial" w:hAnsi="Arial" w:cs="Arial"/>
        </w:rPr>
        <w:t>behaviour</w:t>
      </w:r>
      <w:r w:rsidRPr="002E1E48">
        <w:rPr>
          <w:rFonts w:ascii="Arial" w:hAnsi="Arial" w:cs="Arial"/>
        </w:rPr>
        <w:t xml:space="preserve"> and business operations globally.</w:t>
      </w:r>
    </w:p>
    <w:p w14:paraId="3BE89206" w14:textId="77777777" w:rsidR="0063329D" w:rsidRDefault="0063329D" w:rsidP="0063329D">
      <w:pPr>
        <w:rPr>
          <w:rFonts w:ascii="Arial" w:hAnsi="Arial" w:cs="Arial"/>
        </w:rPr>
      </w:pPr>
      <w:r>
        <w:rPr>
          <w:rFonts w:ascii="Arial" w:hAnsi="Arial" w:cs="Arial"/>
        </w:rPr>
        <w:br w:type="page"/>
      </w:r>
    </w:p>
    <w:p w14:paraId="6436C825"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lang w:val="hu-HU"/>
        </w:rPr>
        <w:lastRenderedPageBreak/>
        <w:t xml:space="preserve">Artha, I.W.B., Santika, P. and Nugraha, S. (2024). Financial Performance and Shares of PT Bukit Uluwatu Villa TBK Before, During and After The Covid-19 Pandemic. </w:t>
      </w:r>
      <w:r w:rsidRPr="00834B1D">
        <w:rPr>
          <w:rFonts w:ascii="Arial" w:hAnsi="Arial" w:cs="Arial"/>
          <w:i/>
          <w:iCs/>
          <w:lang w:val="hu-HU"/>
        </w:rPr>
        <w:t>Jurnal Manajemen Pelayanan Hotel</w:t>
      </w:r>
      <w:r w:rsidRPr="00834B1D">
        <w:rPr>
          <w:rFonts w:ascii="Arial" w:hAnsi="Arial" w:cs="Arial"/>
          <w:lang w:val="hu-HU"/>
        </w:rPr>
        <w:t xml:space="preserve">, [online] 8(1), pp. 151–151. </w:t>
      </w:r>
      <w:r w:rsidRPr="00834B1D">
        <w:rPr>
          <w:rFonts w:ascii="Arial" w:hAnsi="Arial" w:cs="Arial"/>
        </w:rPr>
        <w:t>Available at</w:t>
      </w:r>
      <w:r w:rsidRPr="00834B1D">
        <w:rPr>
          <w:rFonts w:ascii="Arial" w:hAnsi="Arial" w:cs="Arial"/>
          <w:lang w:val="hu-HU"/>
        </w:rPr>
        <w:t>:</w:t>
      </w:r>
      <w:r w:rsidRPr="00834B1D">
        <w:rPr>
          <w:rFonts w:ascii="Arial" w:hAnsi="Arial" w:cs="Arial"/>
        </w:rPr>
        <w:t xml:space="preserve"> </w:t>
      </w:r>
      <w:hyperlink r:id="rId6" w:history="1">
        <w:r w:rsidRPr="00834B1D">
          <w:rPr>
            <w:rStyle w:val="Hyperlink"/>
            <w:rFonts w:ascii="Arial" w:hAnsi="Arial" w:cs="Arial"/>
            <w:lang w:val="hu-HU"/>
          </w:rPr>
          <w:t>https://doi.org/10.37484/080109</w:t>
        </w:r>
      </w:hyperlink>
      <w:r w:rsidRPr="00834B1D">
        <w:rPr>
          <w:rFonts w:ascii="Arial" w:hAnsi="Arial" w:cs="Arial"/>
          <w:lang w:val="hu-HU"/>
        </w:rPr>
        <w:t xml:space="preserve"> </w:t>
      </w:r>
      <w:r w:rsidRPr="00834B1D">
        <w:rPr>
          <w:rFonts w:ascii="Arial" w:hAnsi="Arial" w:cs="Arial"/>
        </w:rPr>
        <w:t>(</w:t>
      </w:r>
      <w:r w:rsidRPr="00834B1D">
        <w:rPr>
          <w:rFonts w:ascii="Arial" w:hAnsi="Arial" w:cs="Arial"/>
          <w:lang w:val="hu-HU"/>
        </w:rPr>
        <w:t>Accessed 24 Sep. 2024</w:t>
      </w:r>
      <w:r w:rsidRPr="00834B1D">
        <w:rPr>
          <w:rFonts w:ascii="Arial" w:hAnsi="Arial" w:cs="Arial"/>
        </w:rPr>
        <w:t>)</w:t>
      </w:r>
      <w:r w:rsidRPr="00834B1D">
        <w:rPr>
          <w:rFonts w:ascii="Arial" w:hAnsi="Arial" w:cs="Arial"/>
          <w:lang w:val="hu-HU"/>
        </w:rPr>
        <w:t>.</w:t>
      </w:r>
    </w:p>
    <w:p w14:paraId="24A916B9"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lang w:val="hu-HU"/>
        </w:rPr>
        <w:t xml:space="preserve">Aryatmaja, I.K., Astuti, N.N.S., Darlina, L., Sutama, I.K. and Pamularsih, T.R. (2021). Analysis of Service Quality by Front Office Department at Alila Villas Uluwatu. </w:t>
      </w:r>
      <w:r w:rsidRPr="00834B1D">
        <w:rPr>
          <w:rFonts w:ascii="Arial" w:hAnsi="Arial" w:cs="Arial"/>
          <w:i/>
          <w:iCs/>
          <w:lang w:val="hu-HU"/>
        </w:rPr>
        <w:t>International Journal of Green Tourism Research and Applications</w:t>
      </w:r>
      <w:r w:rsidRPr="00834B1D">
        <w:rPr>
          <w:rFonts w:ascii="Arial" w:hAnsi="Arial" w:cs="Arial"/>
          <w:lang w:val="hu-HU"/>
        </w:rPr>
        <w:t xml:space="preserve">, 3(1), pp. 9–14. </w:t>
      </w:r>
      <w:r w:rsidRPr="00834B1D">
        <w:rPr>
          <w:rFonts w:ascii="Arial" w:hAnsi="Arial" w:cs="Arial"/>
        </w:rPr>
        <w:t>DOI</w:t>
      </w:r>
      <w:r w:rsidRPr="00834B1D">
        <w:rPr>
          <w:rFonts w:ascii="Arial" w:hAnsi="Arial" w:cs="Arial"/>
          <w:lang w:val="hu-HU"/>
        </w:rPr>
        <w:t>:</w:t>
      </w:r>
      <w:r w:rsidRPr="00834B1D">
        <w:rPr>
          <w:rFonts w:ascii="Arial" w:hAnsi="Arial" w:cs="Arial"/>
        </w:rPr>
        <w:t xml:space="preserve"> </w:t>
      </w:r>
      <w:hyperlink r:id="rId7" w:history="1">
        <w:r w:rsidRPr="00834B1D">
          <w:rPr>
            <w:rStyle w:val="Hyperlink"/>
            <w:rFonts w:ascii="Arial" w:hAnsi="Arial" w:cs="Arial"/>
            <w:lang w:val="hu-HU"/>
          </w:rPr>
          <w:t>https://doi.org/10.31940/ijogtra.v3i1.2072</w:t>
        </w:r>
      </w:hyperlink>
      <w:r w:rsidRPr="00834B1D">
        <w:rPr>
          <w:rFonts w:ascii="Arial" w:hAnsi="Arial" w:cs="Arial"/>
          <w:lang w:val="hu-HU"/>
        </w:rPr>
        <w:t>.</w:t>
      </w:r>
    </w:p>
    <w:p w14:paraId="05D98489"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rPr>
        <w:t xml:space="preserve">Baljeu, A. (2024). Technology and sustainability in hotels. </w:t>
      </w:r>
      <w:r w:rsidRPr="00834B1D">
        <w:rPr>
          <w:rFonts w:ascii="Arial" w:hAnsi="Arial" w:cs="Arial"/>
          <w:i/>
          <w:iCs/>
        </w:rPr>
        <w:t>Shiji Insights and Publications</w:t>
      </w:r>
      <w:r w:rsidRPr="00834B1D">
        <w:rPr>
          <w:rFonts w:ascii="Arial" w:hAnsi="Arial" w:cs="Arial"/>
        </w:rPr>
        <w:t xml:space="preserve">. [online] Available at: </w:t>
      </w:r>
      <w:hyperlink r:id="rId8" w:tgtFrame="_new" w:history="1">
        <w:r w:rsidRPr="00834B1D">
          <w:rPr>
            <w:rStyle w:val="Hyperlink"/>
            <w:rFonts w:ascii="Arial" w:hAnsi="Arial" w:cs="Arial"/>
          </w:rPr>
          <w:t>https://insights.shijigroup.com/technology-and-sustainability-in-hotels/</w:t>
        </w:r>
      </w:hyperlink>
      <w:r w:rsidRPr="00834B1D">
        <w:rPr>
          <w:rFonts w:ascii="Arial" w:hAnsi="Arial" w:cs="Arial"/>
        </w:rPr>
        <w:t xml:space="preserve"> (Accessed 14 Oct. 2024).</w:t>
      </w:r>
    </w:p>
    <w:p w14:paraId="04BE40A2"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rPr>
        <w:t xml:space="preserve">Bechauf, R. (2021). How can Indonesia foster sustainable infrastructure solutions that deliver low-carbon development and bring additional benefits? </w:t>
      </w:r>
      <w:r w:rsidRPr="00834B1D">
        <w:rPr>
          <w:rFonts w:ascii="Arial" w:hAnsi="Arial" w:cs="Arial"/>
          <w:i/>
          <w:iCs/>
        </w:rPr>
        <w:t>International Institute for Sustainable Development</w:t>
      </w:r>
      <w:r w:rsidRPr="00834B1D">
        <w:rPr>
          <w:rFonts w:ascii="Arial" w:hAnsi="Arial" w:cs="Arial"/>
        </w:rPr>
        <w:t xml:space="preserve">. [online] Available at: </w:t>
      </w:r>
      <w:hyperlink r:id="rId9" w:tgtFrame="_new" w:history="1">
        <w:r w:rsidRPr="00834B1D">
          <w:rPr>
            <w:rStyle w:val="Hyperlink"/>
            <w:rFonts w:ascii="Arial" w:hAnsi="Arial" w:cs="Arial"/>
          </w:rPr>
          <w:t>https://www.iisd.org/system/files/2021-07/indonesia-sustainable-infrastructure-solutions.pdf</w:t>
        </w:r>
      </w:hyperlink>
      <w:r w:rsidRPr="00834B1D">
        <w:rPr>
          <w:rFonts w:ascii="Arial" w:hAnsi="Arial" w:cs="Arial"/>
        </w:rPr>
        <w:t xml:space="preserve"> (Accessed 30 Sep. 2024).</w:t>
      </w:r>
    </w:p>
    <w:p w14:paraId="11C2378F"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lang w:val="hu-HU"/>
        </w:rPr>
        <w:t xml:space="preserve">Beciri, D. (2010). Green architecture - Alila Villas Uluwatu eco resort. [online] </w:t>
      </w:r>
      <w:r w:rsidRPr="00834B1D">
        <w:rPr>
          <w:rFonts w:ascii="Arial" w:hAnsi="Arial" w:cs="Arial"/>
          <w:i/>
          <w:iCs/>
          <w:lang w:val="hu-HU"/>
        </w:rPr>
        <w:t>RobAid</w:t>
      </w:r>
      <w:r w:rsidRPr="00834B1D">
        <w:rPr>
          <w:rFonts w:ascii="Arial" w:hAnsi="Arial" w:cs="Arial"/>
          <w:lang w:val="hu-HU"/>
        </w:rPr>
        <w:t xml:space="preserve">. Available at: </w:t>
      </w:r>
      <w:hyperlink r:id="rId10" w:tgtFrame="_new" w:history="1">
        <w:r w:rsidRPr="00834B1D">
          <w:rPr>
            <w:rStyle w:val="Hyperlink"/>
            <w:rFonts w:ascii="Arial" w:hAnsi="Arial" w:cs="Arial"/>
            <w:lang w:val="hu-HU"/>
          </w:rPr>
          <w:t>https://www.robaid.com/tech/green-architecture-alila-villas-uluwatu-eco-resort.htm</w:t>
        </w:r>
      </w:hyperlink>
      <w:r w:rsidRPr="00834B1D">
        <w:rPr>
          <w:rFonts w:ascii="Arial" w:hAnsi="Arial" w:cs="Arial"/>
          <w:lang w:val="hu-HU"/>
        </w:rPr>
        <w:t xml:space="preserve"> (Accessed 25 Sep. 2024).</w:t>
      </w:r>
    </w:p>
    <w:p w14:paraId="62DA1EF9"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lang w:val="hu-HU"/>
        </w:rPr>
        <w:t xml:space="preserve">Bennett, P. (2023). Survey of Travellers Finds 76% Want More Sustainable Options. [online] </w:t>
      </w:r>
      <w:r w:rsidRPr="00834B1D">
        <w:rPr>
          <w:rFonts w:ascii="Arial" w:hAnsi="Arial" w:cs="Arial"/>
          <w:i/>
          <w:iCs/>
          <w:lang w:val="hu-HU"/>
        </w:rPr>
        <w:t>World Economic Forum</w:t>
      </w:r>
      <w:r w:rsidRPr="00834B1D">
        <w:rPr>
          <w:rFonts w:ascii="Arial" w:hAnsi="Arial" w:cs="Arial"/>
          <w:lang w:val="hu-HU"/>
        </w:rPr>
        <w:t xml:space="preserve">. Available at: </w:t>
      </w:r>
      <w:hyperlink r:id="rId11" w:tgtFrame="_new" w:history="1">
        <w:r w:rsidRPr="00834B1D">
          <w:rPr>
            <w:rStyle w:val="Hyperlink"/>
            <w:rFonts w:ascii="Arial" w:hAnsi="Arial" w:cs="Arial"/>
            <w:lang w:val="hu-HU"/>
          </w:rPr>
          <w:t>https://www.weforum.org/agenda/2023/04/survey-of-travelers-finds-76-want-more-sustainable-options/</w:t>
        </w:r>
      </w:hyperlink>
      <w:r w:rsidRPr="00834B1D">
        <w:rPr>
          <w:rFonts w:ascii="Arial" w:hAnsi="Arial" w:cs="Arial"/>
          <w:lang w:val="hu-HU"/>
        </w:rPr>
        <w:t xml:space="preserve"> (Accessed 23 Sep. 2024).</w:t>
      </w:r>
    </w:p>
    <w:p w14:paraId="64E30EDF"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lang w:val="hu-HU"/>
        </w:rPr>
        <w:t>Bohdanowicz, P., Simanic, B. és Martinac, I. (2005). Sustainable Hotels – Environmental Reporting According to Green Globe 21, Green Globes Canada / GEM UK, IHEI Benchmarkhotel and Hilton Environmental Reporting. [online]</w:t>
      </w:r>
      <w:r w:rsidRPr="00834B1D">
        <w:rPr>
          <w:rFonts w:ascii="Arial" w:hAnsi="Arial" w:cs="Arial"/>
        </w:rPr>
        <w:t xml:space="preserve"> </w:t>
      </w:r>
      <w:r w:rsidRPr="00834B1D">
        <w:rPr>
          <w:rFonts w:ascii="Arial" w:hAnsi="Arial" w:cs="Arial"/>
          <w:i/>
          <w:iCs/>
        </w:rPr>
        <w:t>Greenhotels.</w:t>
      </w:r>
      <w:r w:rsidRPr="00834B1D">
        <w:rPr>
          <w:rFonts w:ascii="Arial" w:hAnsi="Arial" w:cs="Arial"/>
          <w:lang w:val="hu-HU"/>
        </w:rPr>
        <w:t xml:space="preserve"> pp. 27–29. Available at: </w:t>
      </w:r>
      <w:hyperlink r:id="rId12" w:tgtFrame="_new" w:history="1">
        <w:r w:rsidRPr="00834B1D">
          <w:rPr>
            <w:rStyle w:val="Hyperlink"/>
            <w:rFonts w:ascii="Arial" w:hAnsi="Arial" w:cs="Arial"/>
            <w:lang w:val="hu-HU"/>
          </w:rPr>
          <w:t>http://www.greenthehotels.com/eng/BohdanowiczSimanicMartinacEnvironmentalReportingSB05.pdf</w:t>
        </w:r>
      </w:hyperlink>
      <w:r w:rsidRPr="00834B1D">
        <w:rPr>
          <w:rFonts w:ascii="Arial" w:hAnsi="Arial" w:cs="Arial"/>
          <w:lang w:val="hu-HU"/>
        </w:rPr>
        <w:t xml:space="preserve"> (Accessed </w:t>
      </w:r>
      <w:r w:rsidRPr="00834B1D">
        <w:rPr>
          <w:rFonts w:ascii="Arial" w:hAnsi="Arial" w:cs="Arial"/>
        </w:rPr>
        <w:t>18</w:t>
      </w:r>
      <w:r w:rsidRPr="00834B1D">
        <w:rPr>
          <w:rFonts w:ascii="Arial" w:hAnsi="Arial" w:cs="Arial"/>
          <w:lang w:val="hu-HU"/>
        </w:rPr>
        <w:t xml:space="preserve"> Oct. 2024).</w:t>
      </w:r>
    </w:p>
    <w:p w14:paraId="75BE67BC"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lang w:val="hu-HU"/>
        </w:rPr>
        <w:t xml:space="preserve">BUVA (2024). 2023 Annual and Sustainability Report. [online] </w:t>
      </w:r>
      <w:r w:rsidRPr="00834B1D">
        <w:rPr>
          <w:rFonts w:ascii="Arial" w:hAnsi="Arial" w:cs="Arial"/>
          <w:i/>
          <w:iCs/>
          <w:lang w:val="hu-HU"/>
        </w:rPr>
        <w:t>Buvagroup.</w:t>
      </w:r>
      <w:r w:rsidRPr="00834B1D">
        <w:rPr>
          <w:rFonts w:ascii="Arial" w:hAnsi="Arial" w:cs="Arial"/>
          <w:lang w:val="hu-HU"/>
        </w:rPr>
        <w:t xml:space="preserve"> Available at: </w:t>
      </w:r>
      <w:hyperlink r:id="rId13" w:tgtFrame="_new" w:history="1">
        <w:r w:rsidRPr="00834B1D">
          <w:rPr>
            <w:rStyle w:val="Hyperlink"/>
            <w:rFonts w:ascii="Arial" w:hAnsi="Arial" w:cs="Arial"/>
            <w:lang w:val="hu-HU"/>
          </w:rPr>
          <w:t>https://buvagroup.com/wp-content/uploads/2024/04/AR-BUVA-300424-FA_240430_145122.pdf</w:t>
        </w:r>
      </w:hyperlink>
      <w:r w:rsidRPr="00834B1D">
        <w:rPr>
          <w:rFonts w:ascii="Arial" w:hAnsi="Arial" w:cs="Arial"/>
          <w:lang w:val="hu-HU"/>
        </w:rPr>
        <w:t xml:space="preserve"> (Accessed 19 Oct. 2024).</w:t>
      </w:r>
    </w:p>
    <w:p w14:paraId="249E98A0"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lang w:val="hu-HU"/>
        </w:rPr>
        <w:t xml:space="preserve">Dong, I. (2023). Bali resort Alila Villas Uluwatu has created its own circular economy. [online] </w:t>
      </w:r>
      <w:r w:rsidRPr="00834B1D">
        <w:rPr>
          <w:rFonts w:ascii="Arial" w:hAnsi="Arial" w:cs="Arial"/>
          <w:i/>
          <w:iCs/>
          <w:lang w:val="hu-HU"/>
        </w:rPr>
        <w:t>Viable</w:t>
      </w:r>
      <w:r w:rsidRPr="00834B1D">
        <w:rPr>
          <w:rFonts w:ascii="Arial" w:hAnsi="Arial" w:cs="Arial"/>
          <w:i/>
          <w:iCs/>
        </w:rPr>
        <w:t xml:space="preserve"> </w:t>
      </w:r>
      <w:r w:rsidRPr="00834B1D">
        <w:rPr>
          <w:rFonts w:ascii="Arial" w:hAnsi="Arial" w:cs="Arial"/>
          <w:i/>
          <w:iCs/>
          <w:lang w:val="hu-HU"/>
        </w:rPr>
        <w:t xml:space="preserve">Earth. </w:t>
      </w:r>
      <w:r w:rsidRPr="00834B1D">
        <w:rPr>
          <w:rFonts w:ascii="Arial" w:hAnsi="Arial" w:cs="Arial"/>
          <w:lang w:val="hu-HU"/>
        </w:rPr>
        <w:t xml:space="preserve">Available at: </w:t>
      </w:r>
      <w:hyperlink r:id="rId14" w:tgtFrame="_new" w:history="1">
        <w:r w:rsidRPr="00834B1D">
          <w:rPr>
            <w:rStyle w:val="Hyperlink"/>
            <w:rFonts w:ascii="Arial" w:hAnsi="Arial" w:cs="Arial"/>
            <w:lang w:val="hu-HU"/>
          </w:rPr>
          <w:t>https://viable.earth/lifestyle/bali-based-resort-alila-villas-uluwatu-has-created-its-own-circular-economy/</w:t>
        </w:r>
      </w:hyperlink>
      <w:r w:rsidRPr="00834B1D">
        <w:rPr>
          <w:rFonts w:ascii="Arial" w:hAnsi="Arial" w:cs="Arial"/>
          <w:lang w:val="hu-HU"/>
        </w:rPr>
        <w:t xml:space="preserve"> (Accessed 14 Oct. 2024).</w:t>
      </w:r>
    </w:p>
    <w:p w14:paraId="7351F961" w14:textId="77777777" w:rsidR="0063329D" w:rsidRPr="00834B1D" w:rsidRDefault="0063329D" w:rsidP="0063329D">
      <w:pPr>
        <w:pStyle w:val="NormalWeb"/>
        <w:spacing w:before="100" w:beforeAutospacing="1" w:after="100" w:afterAutospacing="1" w:line="360" w:lineRule="auto"/>
        <w:ind w:left="360"/>
        <w:jc w:val="both"/>
        <w:rPr>
          <w:rFonts w:ascii="Arial" w:hAnsi="Arial" w:cs="Arial"/>
          <w:lang w:val="en-GB" w:eastAsia="en-GB"/>
        </w:rPr>
      </w:pPr>
      <w:r w:rsidRPr="00834B1D">
        <w:rPr>
          <w:rFonts w:ascii="Arial" w:hAnsi="Arial" w:cs="Arial"/>
        </w:rPr>
        <w:lastRenderedPageBreak/>
        <w:t xml:space="preserve">ECOLEX (2008). </w:t>
      </w:r>
      <w:r w:rsidRPr="00834B1D">
        <w:rPr>
          <w:rStyle w:val="Emphasis"/>
          <w:rFonts w:ascii="Arial" w:hAnsi="Arial" w:cs="Arial"/>
          <w:i w:val="0"/>
          <w:iCs w:val="0"/>
        </w:rPr>
        <w:t>Law No. 18/2008 regarding Rubbish Management</w:t>
      </w:r>
      <w:r w:rsidRPr="00834B1D">
        <w:rPr>
          <w:rFonts w:ascii="Arial" w:hAnsi="Arial" w:cs="Arial"/>
          <w:i/>
          <w:iCs/>
        </w:rPr>
        <w:t>.</w:t>
      </w:r>
      <w:r w:rsidRPr="00834B1D">
        <w:rPr>
          <w:rFonts w:ascii="Arial" w:hAnsi="Arial" w:cs="Arial"/>
        </w:rPr>
        <w:t xml:space="preserve"> [online] </w:t>
      </w:r>
      <w:r w:rsidRPr="00834B1D">
        <w:rPr>
          <w:rStyle w:val="Emphasis"/>
          <w:rFonts w:ascii="Arial" w:hAnsi="Arial" w:cs="Arial"/>
        </w:rPr>
        <w:t>Ecolex.org</w:t>
      </w:r>
      <w:r w:rsidRPr="00834B1D">
        <w:rPr>
          <w:rFonts w:ascii="Arial" w:hAnsi="Arial" w:cs="Arial"/>
        </w:rPr>
        <w:t>.</w:t>
      </w:r>
      <w:r w:rsidRPr="00834B1D">
        <w:rPr>
          <w:rFonts w:ascii="Arial" w:hAnsi="Arial" w:cs="Arial"/>
          <w:i/>
          <w:iCs/>
        </w:rPr>
        <w:t xml:space="preserve"> </w:t>
      </w:r>
      <w:r w:rsidRPr="00834B1D">
        <w:rPr>
          <w:rFonts w:ascii="Arial" w:hAnsi="Arial" w:cs="Arial"/>
        </w:rPr>
        <w:t xml:space="preserve">Available at: </w:t>
      </w:r>
      <w:hyperlink r:id="rId15" w:tgtFrame="_new" w:history="1">
        <w:r w:rsidRPr="00834B1D">
          <w:rPr>
            <w:rStyle w:val="Hyperlink"/>
            <w:rFonts w:ascii="Arial" w:hAnsi="Arial" w:cs="Arial"/>
          </w:rPr>
          <w:t>https://www.ecolex.org/details/legislation/law-no-182008-regarding-rubbish-management-lex-faoc084136/</w:t>
        </w:r>
      </w:hyperlink>
      <w:r w:rsidRPr="00834B1D">
        <w:rPr>
          <w:rFonts w:ascii="Arial" w:hAnsi="Arial" w:cs="Arial"/>
        </w:rPr>
        <w:t xml:space="preserve"> (Accessed 29 Sep. 2024)</w:t>
      </w:r>
    </w:p>
    <w:p w14:paraId="2AD8F47A" w14:textId="77777777" w:rsidR="0063329D" w:rsidRPr="00834B1D" w:rsidRDefault="0063329D" w:rsidP="0063329D">
      <w:pPr>
        <w:pStyle w:val="NormalWeb"/>
        <w:spacing w:before="100" w:beforeAutospacing="1" w:after="100" w:afterAutospacing="1" w:line="360" w:lineRule="auto"/>
        <w:ind w:left="360"/>
        <w:jc w:val="both"/>
        <w:rPr>
          <w:rFonts w:ascii="Arial" w:hAnsi="Arial" w:cs="Arial"/>
        </w:rPr>
      </w:pPr>
      <w:r w:rsidRPr="00834B1D">
        <w:rPr>
          <w:rFonts w:ascii="Arial" w:hAnsi="Arial" w:cs="Arial"/>
        </w:rPr>
        <w:t xml:space="preserve">ECOLEX (2009a). </w:t>
      </w:r>
      <w:r w:rsidRPr="00834B1D">
        <w:rPr>
          <w:rStyle w:val="Emphasis"/>
          <w:rFonts w:ascii="Arial" w:hAnsi="Arial" w:cs="Arial"/>
          <w:i w:val="0"/>
          <w:iCs w:val="0"/>
        </w:rPr>
        <w:t>Law No. 32/2009 on Environmental Protection and Management</w:t>
      </w:r>
      <w:r w:rsidRPr="00834B1D">
        <w:rPr>
          <w:rFonts w:ascii="Arial" w:hAnsi="Arial" w:cs="Arial"/>
          <w:i/>
          <w:iCs/>
        </w:rPr>
        <w:t>.</w:t>
      </w:r>
      <w:r w:rsidRPr="00834B1D">
        <w:rPr>
          <w:rFonts w:ascii="Arial" w:hAnsi="Arial" w:cs="Arial"/>
        </w:rPr>
        <w:t xml:space="preserve"> [online] </w:t>
      </w:r>
      <w:r w:rsidRPr="00834B1D">
        <w:rPr>
          <w:rStyle w:val="Emphasis"/>
          <w:rFonts w:ascii="Arial" w:hAnsi="Arial" w:cs="Arial"/>
        </w:rPr>
        <w:t>Ecolex.org</w:t>
      </w:r>
      <w:r w:rsidRPr="00834B1D">
        <w:rPr>
          <w:rFonts w:ascii="Arial" w:hAnsi="Arial" w:cs="Arial"/>
        </w:rPr>
        <w:t xml:space="preserve">. Available at: </w:t>
      </w:r>
      <w:hyperlink r:id="rId16" w:tgtFrame="_new" w:history="1">
        <w:r w:rsidRPr="00834B1D">
          <w:rPr>
            <w:rStyle w:val="Hyperlink"/>
            <w:rFonts w:ascii="Arial" w:hAnsi="Arial" w:cs="Arial"/>
          </w:rPr>
          <w:t>https://www.ecolex.org/details/legislation/law-no-322009-on-environmental-protection-and-management-lex-faoc097643/?q=Law+No.+32%2F2009</w:t>
        </w:r>
      </w:hyperlink>
      <w:r w:rsidRPr="00834B1D">
        <w:rPr>
          <w:rFonts w:ascii="Arial" w:hAnsi="Arial" w:cs="Arial"/>
        </w:rPr>
        <w:t xml:space="preserve"> (Accessed 14 Oct. 2024)</w:t>
      </w:r>
    </w:p>
    <w:p w14:paraId="6027B812" w14:textId="77777777" w:rsidR="0063329D" w:rsidRPr="00834B1D" w:rsidRDefault="0063329D" w:rsidP="0063329D">
      <w:pPr>
        <w:pStyle w:val="NormalWeb"/>
        <w:spacing w:before="100" w:beforeAutospacing="1" w:after="100" w:afterAutospacing="1" w:line="360" w:lineRule="auto"/>
        <w:ind w:left="360"/>
        <w:jc w:val="both"/>
        <w:rPr>
          <w:rFonts w:ascii="Arial" w:hAnsi="Arial" w:cs="Arial"/>
        </w:rPr>
      </w:pPr>
      <w:r w:rsidRPr="00834B1D">
        <w:rPr>
          <w:rFonts w:ascii="Arial" w:hAnsi="Arial" w:cs="Arial"/>
        </w:rPr>
        <w:t xml:space="preserve">ECOLEX (2009b). </w:t>
      </w:r>
      <w:r w:rsidRPr="00834B1D">
        <w:rPr>
          <w:rStyle w:val="Emphasis"/>
          <w:rFonts w:ascii="Arial" w:hAnsi="Arial" w:cs="Arial"/>
          <w:i w:val="0"/>
          <w:iCs w:val="0"/>
        </w:rPr>
        <w:t>Law of R.I. No. 10/2009 on Tourism</w:t>
      </w:r>
      <w:r w:rsidRPr="00834B1D">
        <w:rPr>
          <w:rFonts w:ascii="Arial" w:hAnsi="Arial" w:cs="Arial"/>
          <w:i/>
          <w:iCs/>
        </w:rPr>
        <w:t>.</w:t>
      </w:r>
      <w:r w:rsidRPr="00834B1D">
        <w:rPr>
          <w:rFonts w:ascii="Arial" w:hAnsi="Arial" w:cs="Arial"/>
        </w:rPr>
        <w:t xml:space="preserve"> [online] </w:t>
      </w:r>
      <w:r w:rsidRPr="00834B1D">
        <w:rPr>
          <w:rStyle w:val="Emphasis"/>
          <w:rFonts w:ascii="Arial" w:hAnsi="Arial" w:cs="Arial"/>
        </w:rPr>
        <w:t>Ecolex.org</w:t>
      </w:r>
      <w:r w:rsidRPr="00834B1D">
        <w:rPr>
          <w:rFonts w:ascii="Arial" w:hAnsi="Arial" w:cs="Arial"/>
          <w:i/>
          <w:iCs/>
        </w:rPr>
        <w:t>.</w:t>
      </w:r>
      <w:r w:rsidRPr="00834B1D">
        <w:rPr>
          <w:rFonts w:ascii="Arial" w:hAnsi="Arial" w:cs="Arial"/>
        </w:rPr>
        <w:t xml:space="preserve"> Available at: </w:t>
      </w:r>
      <w:hyperlink r:id="rId17" w:tgtFrame="_new" w:history="1">
        <w:r w:rsidRPr="00834B1D">
          <w:rPr>
            <w:rStyle w:val="Hyperlink"/>
            <w:rFonts w:ascii="Arial" w:hAnsi="Arial" w:cs="Arial"/>
          </w:rPr>
          <w:t>https://www.ecolex.org/details/legislation/law-of-ri-no-102009-on-tourism-lex-faoc089481/</w:t>
        </w:r>
      </w:hyperlink>
      <w:r w:rsidRPr="00834B1D">
        <w:rPr>
          <w:rFonts w:ascii="Arial" w:hAnsi="Arial" w:cs="Arial"/>
        </w:rPr>
        <w:t xml:space="preserve"> (Accessed 02 Oct. 2024)</w:t>
      </w:r>
    </w:p>
    <w:p w14:paraId="6ECD7CE1"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lang w:val="hu-HU"/>
        </w:rPr>
        <w:t xml:space="preserve">Goswami, S. (2023). From Partnerships to Prosperity: Why Hotels Should Embrace Local Collaboration. [online] </w:t>
      </w:r>
      <w:r w:rsidRPr="00834B1D">
        <w:rPr>
          <w:rFonts w:ascii="Arial" w:hAnsi="Arial" w:cs="Arial"/>
          <w:i/>
          <w:iCs/>
          <w:lang w:val="hu-HU"/>
        </w:rPr>
        <w:t>EZee Absolute.</w:t>
      </w:r>
      <w:r w:rsidRPr="00834B1D">
        <w:rPr>
          <w:rFonts w:ascii="Arial" w:hAnsi="Arial" w:cs="Arial"/>
          <w:lang w:val="hu-HU"/>
        </w:rPr>
        <w:t xml:space="preserve"> Available at: </w:t>
      </w:r>
      <w:hyperlink r:id="rId18" w:tgtFrame="_new" w:history="1">
        <w:r w:rsidRPr="00834B1D">
          <w:rPr>
            <w:rStyle w:val="Hyperlink"/>
            <w:rFonts w:ascii="Arial" w:hAnsi="Arial" w:cs="Arial"/>
            <w:lang w:val="hu-HU"/>
          </w:rPr>
          <w:t>https://www.ezeeabsolute.com/blog/hotels-collaboration-with-local-businesses-community/</w:t>
        </w:r>
      </w:hyperlink>
      <w:r w:rsidRPr="00834B1D">
        <w:rPr>
          <w:rFonts w:ascii="Arial" w:hAnsi="Arial" w:cs="Arial"/>
          <w:lang w:val="hu-HU"/>
        </w:rPr>
        <w:t xml:space="preserve"> (Accessed 24 Sep. 2024)</w:t>
      </w:r>
    </w:p>
    <w:p w14:paraId="5C3CA49F"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lang w:val="en-US"/>
        </w:rPr>
        <w:t xml:space="preserve">Grzegorzek, M., Wartalska, K. and Kaźmierczak, B. (2023) ‘Review of water treatment methods with a focus on energy consumption’, </w:t>
      </w:r>
      <w:r w:rsidRPr="00834B1D">
        <w:rPr>
          <w:rFonts w:ascii="Arial" w:hAnsi="Arial" w:cs="Arial"/>
          <w:i/>
          <w:iCs/>
          <w:lang w:val="en-US"/>
        </w:rPr>
        <w:t>International communications in heat and mass transfer</w:t>
      </w:r>
      <w:r w:rsidRPr="00834B1D">
        <w:rPr>
          <w:rFonts w:ascii="Arial" w:hAnsi="Arial" w:cs="Arial"/>
          <w:lang w:val="en-US"/>
        </w:rPr>
        <w:t xml:space="preserve">, 143, pp. 106674-. DOI: </w:t>
      </w:r>
      <w:hyperlink r:id="rId19" w:history="1">
        <w:r w:rsidRPr="00834B1D">
          <w:rPr>
            <w:rStyle w:val="Hyperlink"/>
            <w:rFonts w:ascii="Arial" w:hAnsi="Arial" w:cs="Arial"/>
            <w:lang w:val="en-US"/>
          </w:rPr>
          <w:t>https://doi.org/10.1016/j.icheatmasstransfer.2023.106674</w:t>
        </w:r>
      </w:hyperlink>
      <w:r w:rsidRPr="00834B1D">
        <w:rPr>
          <w:rFonts w:ascii="Arial" w:hAnsi="Arial" w:cs="Arial"/>
          <w:lang w:val="en-US"/>
        </w:rPr>
        <w:t>.</w:t>
      </w:r>
    </w:p>
    <w:p w14:paraId="1D843C5C"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lang w:val="en-US"/>
        </w:rPr>
        <w:t xml:space="preserve">Holden, K. (2023). Alila Villas Uluwatu | Luxury Travel Magazine. [online] </w:t>
      </w:r>
      <w:r w:rsidRPr="00834B1D">
        <w:rPr>
          <w:rFonts w:ascii="Arial" w:hAnsi="Arial" w:cs="Arial"/>
          <w:i/>
          <w:iCs/>
          <w:lang w:val="en-US"/>
        </w:rPr>
        <w:t>Luxurytravel</w:t>
      </w:r>
      <w:r w:rsidRPr="00834B1D">
        <w:rPr>
          <w:rFonts w:ascii="Arial" w:hAnsi="Arial" w:cs="Arial"/>
          <w:lang w:val="en-US"/>
        </w:rPr>
        <w:t xml:space="preserve">. Available at: </w:t>
      </w:r>
      <w:hyperlink r:id="rId20" w:history="1">
        <w:r>
          <w:rPr>
            <w:rStyle w:val="Hyperlink"/>
            <w:rFonts w:ascii="Arial" w:hAnsi="Arial" w:cs="Arial"/>
            <w:lang w:val="en-US"/>
          </w:rPr>
          <w:t>https://www.luxurytravelmag.com.au/accommodations/alila-villas-uluwatu%20</w:t>
        </w:r>
      </w:hyperlink>
      <w:r w:rsidRPr="00834B1D">
        <w:rPr>
          <w:rFonts w:ascii="Arial" w:hAnsi="Arial" w:cs="Arial"/>
          <w:lang w:val="en-US"/>
        </w:rPr>
        <w:t xml:space="preserve"> (Accessed 24 Sep. 2024)</w:t>
      </w:r>
    </w:p>
    <w:p w14:paraId="750C4BAB"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lang w:val="en-US"/>
        </w:rPr>
        <w:t xml:space="preserve">Hotelier Indonesia (2023). Alila Villas Uluwatu Enhances the Guest Experience with a Meaningful Journey. [online] </w:t>
      </w:r>
      <w:r w:rsidRPr="00834B1D">
        <w:rPr>
          <w:rFonts w:ascii="Arial" w:hAnsi="Arial" w:cs="Arial"/>
          <w:i/>
          <w:iCs/>
          <w:lang w:val="en-US"/>
        </w:rPr>
        <w:t>Hotelier Indonesia.</w:t>
      </w:r>
      <w:r w:rsidRPr="00834B1D">
        <w:rPr>
          <w:rFonts w:ascii="Arial" w:hAnsi="Arial" w:cs="Arial"/>
          <w:lang w:val="en-US"/>
        </w:rPr>
        <w:t xml:space="preserve"> Available at: </w:t>
      </w:r>
      <w:hyperlink r:id="rId21" w:history="1">
        <w:r>
          <w:rPr>
            <w:rStyle w:val="Hyperlink"/>
            <w:rFonts w:ascii="Arial" w:hAnsi="Arial" w:cs="Arial"/>
            <w:lang w:val="en-US"/>
          </w:rPr>
          <w:t>https://www.hotelier-indonesia.com/2023/02/alila-villas-uluwatu-adds-meaningful.html%20</w:t>
        </w:r>
      </w:hyperlink>
      <w:r w:rsidRPr="00834B1D">
        <w:rPr>
          <w:rFonts w:ascii="Arial" w:hAnsi="Arial" w:cs="Arial"/>
          <w:lang w:val="en-US"/>
        </w:rPr>
        <w:t xml:space="preserve"> (Accessed 24 Sep. 2024)</w:t>
      </w:r>
    </w:p>
    <w:p w14:paraId="73BFCC70"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lang w:val="en-US"/>
        </w:rPr>
        <w:t xml:space="preserve">Jain, H. and Miguel, S. (2022). Preserving the Ocean with Regenerative Tourism. [online] </w:t>
      </w:r>
      <w:r w:rsidRPr="00834B1D">
        <w:rPr>
          <w:rFonts w:ascii="Arial" w:hAnsi="Arial" w:cs="Arial"/>
          <w:i/>
          <w:iCs/>
          <w:lang w:val="en-US"/>
        </w:rPr>
        <w:t>Economist Impact.</w:t>
      </w:r>
      <w:r w:rsidRPr="00834B1D">
        <w:rPr>
          <w:rFonts w:ascii="Arial" w:hAnsi="Arial" w:cs="Arial"/>
          <w:lang w:val="en-US"/>
        </w:rPr>
        <w:t xml:space="preserve"> Available at: </w:t>
      </w:r>
      <w:hyperlink r:id="rId22" w:history="1">
        <w:r>
          <w:rPr>
            <w:rStyle w:val="Hyperlink"/>
            <w:rFonts w:ascii="Arial" w:hAnsi="Arial" w:cs="Arial"/>
            <w:lang w:val="en-US"/>
          </w:rPr>
          <w:t>https://impact.economist.com/ocean/biodiversity-ecosystems-and-resources/preserving-the-ocean-with-regenerative-tourism%20</w:t>
        </w:r>
      </w:hyperlink>
      <w:r w:rsidRPr="00834B1D">
        <w:rPr>
          <w:rFonts w:ascii="Arial" w:hAnsi="Arial" w:cs="Arial"/>
          <w:lang w:val="en-US"/>
        </w:rPr>
        <w:t xml:space="preserve"> (Accessed 24 Sep. 2024)</w:t>
      </w:r>
    </w:p>
    <w:p w14:paraId="2012E57E"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lang w:val="en-US"/>
        </w:rPr>
        <w:t xml:space="preserve">Khalid, S. et al. (2019) Community Empowerment and Sustainable Tourism Development: The Mediating Role of Community Support for Tourism’, </w:t>
      </w:r>
      <w:r w:rsidRPr="00834B1D">
        <w:rPr>
          <w:rFonts w:ascii="Arial" w:hAnsi="Arial" w:cs="Arial"/>
          <w:i/>
          <w:iCs/>
          <w:lang w:val="en-US"/>
        </w:rPr>
        <w:t>Sustainability,</w:t>
      </w:r>
      <w:r w:rsidRPr="00834B1D">
        <w:rPr>
          <w:rFonts w:ascii="Arial" w:hAnsi="Arial" w:cs="Arial"/>
          <w:lang w:val="en-US"/>
        </w:rPr>
        <w:t xml:space="preserve"> 11(22), pp. 6248-. DOI: </w:t>
      </w:r>
      <w:hyperlink r:id="rId23" w:history="1">
        <w:r w:rsidRPr="00834B1D">
          <w:rPr>
            <w:rStyle w:val="Hyperlink"/>
            <w:rFonts w:ascii="Arial" w:hAnsi="Arial" w:cs="Arial"/>
            <w:lang w:val="en-US"/>
          </w:rPr>
          <w:t>https://doi.org/10.3390/su11226248</w:t>
        </w:r>
      </w:hyperlink>
      <w:r>
        <w:rPr>
          <w:rFonts w:ascii="Arial" w:hAnsi="Arial" w:cs="Arial"/>
          <w:lang w:val="en-US"/>
        </w:rPr>
        <w:t>.</w:t>
      </w:r>
    </w:p>
    <w:p w14:paraId="0FFACF8B"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lang w:val="en-US"/>
        </w:rPr>
        <w:t xml:space="preserve">Khan, H., Rehmat, M., Butt, T.H., Farooqi, S. and Asim, J. (2020). Impact of Transformational Leadership on Work performance, Burnout and Social loafing: a Mediation Model. </w:t>
      </w:r>
      <w:r w:rsidRPr="00834B1D">
        <w:rPr>
          <w:rFonts w:ascii="Arial" w:hAnsi="Arial" w:cs="Arial"/>
          <w:i/>
          <w:iCs/>
          <w:lang w:val="en-US"/>
        </w:rPr>
        <w:t>Future Business Journal</w:t>
      </w:r>
      <w:r w:rsidRPr="00834B1D">
        <w:rPr>
          <w:rFonts w:ascii="Arial" w:hAnsi="Arial" w:cs="Arial"/>
          <w:lang w:val="en-US"/>
        </w:rPr>
        <w:t xml:space="preserve">, [online] 6(1), pp.1–13. Available at: </w:t>
      </w:r>
      <w:hyperlink r:id="rId24" w:history="1">
        <w:r>
          <w:rPr>
            <w:rStyle w:val="Hyperlink"/>
            <w:rFonts w:ascii="Arial" w:hAnsi="Arial" w:cs="Arial"/>
            <w:lang w:val="en-US"/>
          </w:rPr>
          <w:t>https://fbj.springeropen.com/articles/10.1186/s43093-020-00043-8%20</w:t>
        </w:r>
      </w:hyperlink>
      <w:r w:rsidRPr="00834B1D">
        <w:rPr>
          <w:rFonts w:ascii="Arial" w:hAnsi="Arial" w:cs="Arial"/>
          <w:lang w:val="en-US"/>
        </w:rPr>
        <w:t xml:space="preserve"> (Accessed 30 Sep. </w:t>
      </w:r>
      <w:r w:rsidRPr="00834B1D">
        <w:rPr>
          <w:rFonts w:ascii="Arial" w:hAnsi="Arial" w:cs="Arial"/>
          <w:lang w:val="en-US"/>
        </w:rPr>
        <w:lastRenderedPageBreak/>
        <w:t>2024)</w:t>
      </w:r>
    </w:p>
    <w:p w14:paraId="23F8C6E3"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lang w:val="en-US"/>
        </w:rPr>
        <w:t xml:space="preserve">Malhotra, A. (2024). Overview of CSR Initiatives: A Case Study of NHPC. </w:t>
      </w:r>
      <w:r w:rsidRPr="00834B1D">
        <w:rPr>
          <w:rFonts w:ascii="Arial" w:hAnsi="Arial" w:cs="Arial"/>
          <w:i/>
          <w:iCs/>
          <w:lang w:val="en-US"/>
        </w:rPr>
        <w:t>International Journal for Research Publication and Seminar</w:t>
      </w:r>
      <w:r w:rsidRPr="00834B1D">
        <w:rPr>
          <w:rFonts w:ascii="Arial" w:hAnsi="Arial" w:cs="Arial"/>
          <w:lang w:val="en-US"/>
        </w:rPr>
        <w:t xml:space="preserve">, 15(2), pp.168–185. DOI: </w:t>
      </w:r>
      <w:hyperlink r:id="rId25" w:history="1">
        <w:r w:rsidRPr="00834B1D">
          <w:rPr>
            <w:rStyle w:val="Hyperlink"/>
            <w:rFonts w:ascii="Arial" w:hAnsi="Arial" w:cs="Arial"/>
            <w:lang w:val="en-US"/>
          </w:rPr>
          <w:t>https://doi.org/10.36676/jrps.v15.i2.1407</w:t>
        </w:r>
      </w:hyperlink>
      <w:r w:rsidRPr="00834B1D">
        <w:rPr>
          <w:rFonts w:ascii="Arial" w:hAnsi="Arial" w:cs="Arial"/>
          <w:lang w:val="en-US"/>
        </w:rPr>
        <w:t>.</w:t>
      </w:r>
    </w:p>
    <w:p w14:paraId="19F2BF92"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lang w:val="en-US"/>
        </w:rPr>
        <w:t xml:space="preserve">Marbun, F.E., Raka Dalem, A.A.G. and Muksin, I.K. (2022). Efficient Use of Clean Water at Alila Villas Uluwatu. </w:t>
      </w:r>
      <w:r w:rsidRPr="00834B1D">
        <w:rPr>
          <w:rFonts w:ascii="Arial" w:hAnsi="Arial" w:cs="Arial"/>
          <w:i/>
          <w:iCs/>
          <w:lang w:val="en-US"/>
        </w:rPr>
        <w:t>SIMBIOSIS</w:t>
      </w:r>
      <w:r w:rsidRPr="00834B1D">
        <w:rPr>
          <w:rFonts w:ascii="Arial" w:hAnsi="Arial" w:cs="Arial"/>
          <w:lang w:val="en-US"/>
        </w:rPr>
        <w:t xml:space="preserve">, 10(1), p.101. DOI: </w:t>
      </w:r>
      <w:hyperlink r:id="rId26" w:history="1">
        <w:r w:rsidRPr="00834B1D">
          <w:rPr>
            <w:rStyle w:val="Hyperlink"/>
            <w:rFonts w:ascii="Arial" w:hAnsi="Arial" w:cs="Arial"/>
            <w:lang w:val="en-US"/>
          </w:rPr>
          <w:t>https://doi.org/10.24843/jsimbiosis.2022.v10.i01.p09</w:t>
        </w:r>
      </w:hyperlink>
      <w:r w:rsidRPr="00834B1D">
        <w:rPr>
          <w:rFonts w:ascii="Arial" w:hAnsi="Arial" w:cs="Arial"/>
          <w:lang w:val="en-US"/>
        </w:rPr>
        <w:t>.</w:t>
      </w:r>
    </w:p>
    <w:p w14:paraId="10ABF3FF" w14:textId="77777777" w:rsidR="0063329D" w:rsidRPr="00834B1D" w:rsidRDefault="0063329D" w:rsidP="0063329D">
      <w:pPr>
        <w:spacing w:before="100" w:beforeAutospacing="1" w:after="100" w:afterAutospacing="1" w:line="360" w:lineRule="auto"/>
        <w:ind w:left="360"/>
        <w:jc w:val="both"/>
        <w:rPr>
          <w:rFonts w:ascii="Arial" w:hAnsi="Arial" w:cs="Arial"/>
          <w:lang w:eastAsia="en-GB"/>
        </w:rPr>
      </w:pPr>
      <w:r w:rsidRPr="00834B1D">
        <w:rPr>
          <w:rFonts w:ascii="Arial" w:hAnsi="Arial" w:cs="Arial"/>
        </w:rPr>
        <w:t xml:space="preserve">Prayoga, I.G.S. &amp; Udiana, I.M. (2018). “Perlindungan hukum terhadap pekerja security di Alila Villas Uluwatu.” </w:t>
      </w:r>
      <w:r w:rsidRPr="00834B1D">
        <w:rPr>
          <w:rStyle w:val="Emphasis"/>
          <w:rFonts w:ascii="Arial" w:hAnsi="Arial" w:cs="Arial"/>
        </w:rPr>
        <w:t>Kertha Semaya: Journal Ilmu Hukum</w:t>
      </w:r>
      <w:r w:rsidRPr="00834B1D">
        <w:rPr>
          <w:rFonts w:ascii="Arial" w:hAnsi="Arial" w:cs="Arial"/>
        </w:rPr>
        <w:t xml:space="preserve">, 6(8) [online]. Available at: </w:t>
      </w:r>
      <w:hyperlink r:id="rId27" w:tgtFrame="_blank" w:tooltip="undefined" w:history="1">
        <w:r w:rsidRPr="00834B1D">
          <w:rPr>
            <w:rStyle w:val="Hyperlink"/>
            <w:rFonts w:ascii="Arial" w:hAnsi="Arial" w:cs="Arial"/>
          </w:rPr>
          <w:t>https://ojs.unud.ac.id/index.php/kerthasemaya/article/view/37839?articlesBySameAuthorPage=2</w:t>
        </w:r>
      </w:hyperlink>
      <w:r w:rsidRPr="00834B1D">
        <w:rPr>
          <w:rFonts w:ascii="Arial" w:hAnsi="Arial" w:cs="Arial"/>
        </w:rPr>
        <w:t xml:space="preserve"> [Accessed: 19 Oct. 2024].</w:t>
      </w:r>
    </w:p>
    <w:p w14:paraId="2FBC3AB4"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lang w:val="en-US"/>
        </w:rPr>
        <w:t xml:space="preserve">Silva, J.A. (2024) Corporate Social Responsibility (CSR) and Sustainability in Water Supply: A Systematic Review, </w:t>
      </w:r>
      <w:r w:rsidRPr="00834B1D">
        <w:rPr>
          <w:rFonts w:ascii="Arial" w:hAnsi="Arial" w:cs="Arial"/>
          <w:i/>
          <w:iCs/>
          <w:lang w:val="en-US"/>
        </w:rPr>
        <w:t>Sustainability</w:t>
      </w:r>
      <w:r w:rsidRPr="00834B1D">
        <w:rPr>
          <w:rFonts w:ascii="Arial" w:hAnsi="Arial" w:cs="Arial"/>
          <w:lang w:val="en-US"/>
        </w:rPr>
        <w:t xml:space="preserve">, 16(8), pp. 3183-. DOI: </w:t>
      </w:r>
      <w:hyperlink r:id="rId28" w:history="1">
        <w:r w:rsidRPr="00834B1D">
          <w:rPr>
            <w:rStyle w:val="Hyperlink"/>
            <w:rFonts w:ascii="Arial" w:hAnsi="Arial" w:cs="Arial"/>
            <w:lang w:val="en-US"/>
          </w:rPr>
          <w:t>https://doi.org/10.3390/su16083183</w:t>
        </w:r>
      </w:hyperlink>
      <w:r w:rsidRPr="00834B1D">
        <w:rPr>
          <w:rFonts w:ascii="Arial" w:hAnsi="Arial" w:cs="Arial"/>
          <w:lang w:val="en-US"/>
        </w:rPr>
        <w:t>.</w:t>
      </w:r>
    </w:p>
    <w:p w14:paraId="6324E6A7"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lang w:val="en-US"/>
        </w:rPr>
        <w:t xml:space="preserve">Soewarto (2003). Manpower Act of Indonesia: Guide Book. [online] </w:t>
      </w:r>
      <w:r w:rsidRPr="00834B1D">
        <w:rPr>
          <w:rFonts w:ascii="Arial" w:hAnsi="Arial" w:cs="Arial"/>
          <w:i/>
          <w:iCs/>
          <w:lang w:val="en-US"/>
        </w:rPr>
        <w:t>International Labour Organization.</w:t>
      </w:r>
      <w:r w:rsidRPr="00834B1D">
        <w:rPr>
          <w:rFonts w:ascii="Arial" w:hAnsi="Arial" w:cs="Arial"/>
          <w:lang w:val="en-US"/>
        </w:rPr>
        <w:t xml:space="preserve"> Available at: </w:t>
      </w:r>
      <w:hyperlink r:id="rId29" w:history="1">
        <w:r w:rsidRPr="00834B1D">
          <w:rPr>
            <w:rStyle w:val="Hyperlink"/>
            <w:rFonts w:ascii="Arial" w:hAnsi="Arial" w:cs="Arial"/>
            <w:lang w:val="en-US"/>
          </w:rPr>
          <w:t>https://www.ilo.org/publications/manpower-act-indonesia-guide-book</w:t>
        </w:r>
      </w:hyperlink>
      <w:r w:rsidRPr="00834B1D">
        <w:rPr>
          <w:rFonts w:ascii="Arial" w:hAnsi="Arial" w:cs="Arial"/>
          <w:lang w:val="en-US"/>
        </w:rPr>
        <w:t xml:space="preserve"> (Accessed 19 Oct. 2024)</w:t>
      </w:r>
    </w:p>
    <w:p w14:paraId="19B177A7" w14:textId="77777777" w:rsidR="0063329D" w:rsidRPr="00834B1D" w:rsidRDefault="0063329D" w:rsidP="0063329D">
      <w:pPr>
        <w:widowControl w:val="0"/>
        <w:autoSpaceDE w:val="0"/>
        <w:autoSpaceDN w:val="0"/>
        <w:adjustRightInd w:val="0"/>
        <w:spacing w:after="240" w:line="360" w:lineRule="auto"/>
        <w:ind w:left="360"/>
        <w:jc w:val="both"/>
        <w:rPr>
          <w:rFonts w:ascii="Arial" w:hAnsi="Arial" w:cs="Arial"/>
          <w:lang w:val="en-US"/>
        </w:rPr>
      </w:pPr>
      <w:r w:rsidRPr="00834B1D">
        <w:rPr>
          <w:rFonts w:ascii="Arial" w:hAnsi="Arial" w:cs="Arial"/>
          <w:lang w:val="en-US"/>
        </w:rPr>
        <w:t xml:space="preserve">Surana, S. (2022). Sustainability Is the New Luxury at Bali’s Alila Villas Uluwatu. [online] </w:t>
      </w:r>
      <w:r w:rsidRPr="00834B1D">
        <w:rPr>
          <w:rFonts w:ascii="Arial" w:hAnsi="Arial" w:cs="Arial"/>
          <w:i/>
          <w:iCs/>
          <w:lang w:val="en-US"/>
        </w:rPr>
        <w:t>World Travel Magazine.</w:t>
      </w:r>
      <w:r w:rsidRPr="00834B1D">
        <w:rPr>
          <w:rFonts w:ascii="Arial" w:hAnsi="Arial" w:cs="Arial"/>
          <w:lang w:val="en-US"/>
        </w:rPr>
        <w:t xml:space="preserve"> Available at: </w:t>
      </w:r>
      <w:hyperlink r:id="rId30" w:history="1">
        <w:r w:rsidRPr="00834B1D">
          <w:rPr>
            <w:rStyle w:val="Hyperlink"/>
            <w:rFonts w:ascii="Arial" w:hAnsi="Arial" w:cs="Arial"/>
            <w:lang w:val="en-US"/>
          </w:rPr>
          <w:t>https://www.wtravelmagazine.com/sustainability-is-the-new-luxury-at-balis-alila-villas-uluwatu/</w:t>
        </w:r>
      </w:hyperlink>
      <w:r w:rsidRPr="00834B1D">
        <w:rPr>
          <w:rFonts w:ascii="Arial" w:hAnsi="Arial" w:cs="Arial"/>
          <w:lang w:val="en-US"/>
        </w:rPr>
        <w:t xml:space="preserve"> (Accessed 30 Sep. 2024)</w:t>
      </w:r>
    </w:p>
    <w:p w14:paraId="7B6753B7" w14:textId="0B46C19C" w:rsidR="00E73E0A" w:rsidRPr="00E73E0A" w:rsidRDefault="0063329D" w:rsidP="0063329D">
      <w:pPr>
        <w:pStyle w:val="NormalWeb"/>
        <w:spacing w:after="240" w:line="360" w:lineRule="auto"/>
        <w:ind w:left="360"/>
        <w:jc w:val="both"/>
        <w:rPr>
          <w:rFonts w:ascii="Arial" w:hAnsi="Arial" w:cs="Arial"/>
        </w:rPr>
      </w:pPr>
      <w:r w:rsidRPr="00834B1D">
        <w:rPr>
          <w:rFonts w:ascii="Arial" w:hAnsi="Arial" w:cs="Arial"/>
        </w:rPr>
        <w:t xml:space="preserve">Tantri, I.G.A.D., Ernawati, N.M. and Astuti, N.N.S. (2020a). Public Relations Strategy in Strengthening Brand Image at Alila Villas Uluwatu Bali. </w:t>
      </w:r>
      <w:r w:rsidRPr="00834B1D">
        <w:rPr>
          <w:rFonts w:ascii="Arial" w:hAnsi="Arial" w:cs="Arial"/>
          <w:i/>
          <w:iCs/>
        </w:rPr>
        <w:t>Journal of Applied Sciences in Travel and Hospitality</w:t>
      </w:r>
      <w:r w:rsidRPr="00834B1D">
        <w:rPr>
          <w:rFonts w:ascii="Arial" w:hAnsi="Arial" w:cs="Arial"/>
        </w:rPr>
        <w:t xml:space="preserve">, 3(2), pp.97–106. DOI: </w:t>
      </w:r>
      <w:hyperlink r:id="rId31" w:history="1">
        <w:r w:rsidRPr="00834B1D">
          <w:rPr>
            <w:rStyle w:val="Hyperlink"/>
            <w:rFonts w:ascii="Arial" w:hAnsi="Arial" w:cs="Arial"/>
          </w:rPr>
          <w:t>https://doi.org/10.31940/jasth.v3i2.1914</w:t>
        </w:r>
      </w:hyperlink>
      <w:r w:rsidRPr="00834B1D">
        <w:rPr>
          <w:rFonts w:ascii="Arial" w:hAnsi="Arial" w:cs="Arial"/>
        </w:rPr>
        <w:t>.</w:t>
      </w:r>
    </w:p>
    <w:sectPr w:rsidR="00E73E0A" w:rsidRPr="00E73E0A" w:rsidSect="00601BBD">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3F9"/>
    <w:rsid w:val="00001347"/>
    <w:rsid w:val="00054441"/>
    <w:rsid w:val="000C4459"/>
    <w:rsid w:val="000E31FD"/>
    <w:rsid w:val="001361B6"/>
    <w:rsid w:val="001645DF"/>
    <w:rsid w:val="001A1397"/>
    <w:rsid w:val="001D274C"/>
    <w:rsid w:val="00201B5E"/>
    <w:rsid w:val="0034624F"/>
    <w:rsid w:val="003E5F41"/>
    <w:rsid w:val="0056338C"/>
    <w:rsid w:val="00565AD0"/>
    <w:rsid w:val="0058229E"/>
    <w:rsid w:val="00601BBD"/>
    <w:rsid w:val="00622E49"/>
    <w:rsid w:val="0063329D"/>
    <w:rsid w:val="0067686A"/>
    <w:rsid w:val="00682F84"/>
    <w:rsid w:val="006A0C0C"/>
    <w:rsid w:val="00727C48"/>
    <w:rsid w:val="00756AED"/>
    <w:rsid w:val="00812C57"/>
    <w:rsid w:val="008B07D4"/>
    <w:rsid w:val="009B14FA"/>
    <w:rsid w:val="009B33F9"/>
    <w:rsid w:val="00A6472A"/>
    <w:rsid w:val="00B941A6"/>
    <w:rsid w:val="00BB2320"/>
    <w:rsid w:val="00D20B76"/>
    <w:rsid w:val="00E04542"/>
    <w:rsid w:val="00E73E0A"/>
    <w:rsid w:val="00EA25C5"/>
    <w:rsid w:val="00EE27D6"/>
    <w:rsid w:val="00F31C7C"/>
    <w:rsid w:val="00FF1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D3B46"/>
  <w15:chartTrackingRefBased/>
  <w15:docId w15:val="{AC461E24-1639-462B-A87C-9130ABD84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33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33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33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33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33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33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33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33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33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3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33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33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33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33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33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33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33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33F9"/>
    <w:rPr>
      <w:rFonts w:eastAsiaTheme="majorEastAsia" w:cstheme="majorBidi"/>
      <w:color w:val="272727" w:themeColor="text1" w:themeTint="D8"/>
    </w:rPr>
  </w:style>
  <w:style w:type="paragraph" w:styleId="Title">
    <w:name w:val="Title"/>
    <w:basedOn w:val="Normal"/>
    <w:next w:val="Normal"/>
    <w:link w:val="TitleChar"/>
    <w:uiPriority w:val="10"/>
    <w:qFormat/>
    <w:rsid w:val="009B33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33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33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33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33F9"/>
    <w:pPr>
      <w:spacing w:before="160"/>
      <w:jc w:val="center"/>
    </w:pPr>
    <w:rPr>
      <w:i/>
      <w:iCs/>
      <w:color w:val="404040" w:themeColor="text1" w:themeTint="BF"/>
    </w:rPr>
  </w:style>
  <w:style w:type="character" w:customStyle="1" w:styleId="QuoteChar">
    <w:name w:val="Quote Char"/>
    <w:basedOn w:val="DefaultParagraphFont"/>
    <w:link w:val="Quote"/>
    <w:uiPriority w:val="29"/>
    <w:rsid w:val="009B33F9"/>
    <w:rPr>
      <w:i/>
      <w:iCs/>
      <w:color w:val="404040" w:themeColor="text1" w:themeTint="BF"/>
    </w:rPr>
  </w:style>
  <w:style w:type="paragraph" w:styleId="ListParagraph">
    <w:name w:val="List Paragraph"/>
    <w:basedOn w:val="Normal"/>
    <w:uiPriority w:val="34"/>
    <w:qFormat/>
    <w:rsid w:val="009B33F9"/>
    <w:pPr>
      <w:ind w:left="720"/>
      <w:contextualSpacing/>
    </w:pPr>
  </w:style>
  <w:style w:type="character" w:styleId="IntenseEmphasis">
    <w:name w:val="Intense Emphasis"/>
    <w:basedOn w:val="DefaultParagraphFont"/>
    <w:uiPriority w:val="21"/>
    <w:qFormat/>
    <w:rsid w:val="009B33F9"/>
    <w:rPr>
      <w:i/>
      <w:iCs/>
      <w:color w:val="0F4761" w:themeColor="accent1" w:themeShade="BF"/>
    </w:rPr>
  </w:style>
  <w:style w:type="paragraph" w:styleId="IntenseQuote">
    <w:name w:val="Intense Quote"/>
    <w:basedOn w:val="Normal"/>
    <w:next w:val="Normal"/>
    <w:link w:val="IntenseQuoteChar"/>
    <w:uiPriority w:val="30"/>
    <w:qFormat/>
    <w:rsid w:val="009B33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33F9"/>
    <w:rPr>
      <w:i/>
      <w:iCs/>
      <w:color w:val="0F4761" w:themeColor="accent1" w:themeShade="BF"/>
    </w:rPr>
  </w:style>
  <w:style w:type="character" w:styleId="IntenseReference">
    <w:name w:val="Intense Reference"/>
    <w:basedOn w:val="DefaultParagraphFont"/>
    <w:uiPriority w:val="32"/>
    <w:qFormat/>
    <w:rsid w:val="009B33F9"/>
    <w:rPr>
      <w:b/>
      <w:bCs/>
      <w:smallCaps/>
      <w:color w:val="0F4761" w:themeColor="accent1" w:themeShade="BF"/>
      <w:spacing w:val="5"/>
    </w:rPr>
  </w:style>
  <w:style w:type="paragraph" w:styleId="NoSpacing">
    <w:name w:val="No Spacing"/>
    <w:link w:val="NoSpacingChar"/>
    <w:uiPriority w:val="1"/>
    <w:qFormat/>
    <w:rsid w:val="00601BB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01BBD"/>
    <w:rPr>
      <w:rFonts w:eastAsiaTheme="minorEastAsia"/>
      <w:kern w:val="0"/>
      <w:sz w:val="22"/>
      <w:szCs w:val="22"/>
      <w:lang w:val="en-US"/>
      <w14:ligatures w14:val="none"/>
    </w:rPr>
  </w:style>
  <w:style w:type="table" w:styleId="TableGrid">
    <w:name w:val="Table Grid"/>
    <w:basedOn w:val="TableNormal"/>
    <w:uiPriority w:val="39"/>
    <w:rsid w:val="00601B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F1F02"/>
    <w:rPr>
      <w:rFonts w:ascii="Times New Roman" w:hAnsi="Times New Roman" w:cs="Times New Roman"/>
      <w:lang w:val="hu-HU"/>
    </w:rPr>
  </w:style>
  <w:style w:type="character" w:styleId="Hyperlink">
    <w:name w:val="Hyperlink"/>
    <w:basedOn w:val="DefaultParagraphFont"/>
    <w:uiPriority w:val="99"/>
    <w:unhideWhenUsed/>
    <w:rsid w:val="00FF1F02"/>
    <w:rPr>
      <w:color w:val="467886" w:themeColor="hyperlink"/>
      <w:u w:val="single"/>
    </w:rPr>
  </w:style>
  <w:style w:type="character" w:styleId="FollowedHyperlink">
    <w:name w:val="FollowedHyperlink"/>
    <w:basedOn w:val="DefaultParagraphFont"/>
    <w:uiPriority w:val="99"/>
    <w:semiHidden/>
    <w:unhideWhenUsed/>
    <w:rsid w:val="00756AED"/>
    <w:rPr>
      <w:color w:val="96607D" w:themeColor="followedHyperlink"/>
      <w:u w:val="single"/>
    </w:rPr>
  </w:style>
  <w:style w:type="character" w:styleId="UnresolvedMention">
    <w:name w:val="Unresolved Mention"/>
    <w:basedOn w:val="DefaultParagraphFont"/>
    <w:uiPriority w:val="99"/>
    <w:semiHidden/>
    <w:unhideWhenUsed/>
    <w:rsid w:val="00A6472A"/>
    <w:rPr>
      <w:color w:val="605E5C"/>
      <w:shd w:val="clear" w:color="auto" w:fill="E1DFDD"/>
    </w:rPr>
  </w:style>
  <w:style w:type="character" w:styleId="Emphasis">
    <w:name w:val="Emphasis"/>
    <w:uiPriority w:val="20"/>
    <w:qFormat/>
    <w:rsid w:val="0063329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750285">
      <w:bodyDiv w:val="1"/>
      <w:marLeft w:val="0"/>
      <w:marRight w:val="0"/>
      <w:marTop w:val="0"/>
      <w:marBottom w:val="0"/>
      <w:divBdr>
        <w:top w:val="none" w:sz="0" w:space="0" w:color="auto"/>
        <w:left w:val="none" w:sz="0" w:space="0" w:color="auto"/>
        <w:bottom w:val="none" w:sz="0" w:space="0" w:color="auto"/>
        <w:right w:val="none" w:sz="0" w:space="0" w:color="auto"/>
      </w:divBdr>
    </w:div>
    <w:div w:id="122434100">
      <w:bodyDiv w:val="1"/>
      <w:marLeft w:val="0"/>
      <w:marRight w:val="0"/>
      <w:marTop w:val="0"/>
      <w:marBottom w:val="0"/>
      <w:divBdr>
        <w:top w:val="none" w:sz="0" w:space="0" w:color="auto"/>
        <w:left w:val="none" w:sz="0" w:space="0" w:color="auto"/>
        <w:bottom w:val="none" w:sz="0" w:space="0" w:color="auto"/>
        <w:right w:val="none" w:sz="0" w:space="0" w:color="auto"/>
      </w:divBdr>
    </w:div>
    <w:div w:id="246303108">
      <w:bodyDiv w:val="1"/>
      <w:marLeft w:val="0"/>
      <w:marRight w:val="0"/>
      <w:marTop w:val="0"/>
      <w:marBottom w:val="0"/>
      <w:divBdr>
        <w:top w:val="none" w:sz="0" w:space="0" w:color="auto"/>
        <w:left w:val="none" w:sz="0" w:space="0" w:color="auto"/>
        <w:bottom w:val="none" w:sz="0" w:space="0" w:color="auto"/>
        <w:right w:val="none" w:sz="0" w:space="0" w:color="auto"/>
      </w:divBdr>
      <w:divsChild>
        <w:div w:id="840434472">
          <w:marLeft w:val="0"/>
          <w:marRight w:val="0"/>
          <w:marTop w:val="0"/>
          <w:marBottom w:val="0"/>
          <w:divBdr>
            <w:top w:val="none" w:sz="0" w:space="0" w:color="auto"/>
            <w:left w:val="none" w:sz="0" w:space="0" w:color="auto"/>
            <w:bottom w:val="none" w:sz="0" w:space="0" w:color="auto"/>
            <w:right w:val="none" w:sz="0" w:space="0" w:color="auto"/>
          </w:divBdr>
        </w:div>
      </w:divsChild>
    </w:div>
    <w:div w:id="329413605">
      <w:bodyDiv w:val="1"/>
      <w:marLeft w:val="0"/>
      <w:marRight w:val="0"/>
      <w:marTop w:val="0"/>
      <w:marBottom w:val="0"/>
      <w:divBdr>
        <w:top w:val="none" w:sz="0" w:space="0" w:color="auto"/>
        <w:left w:val="none" w:sz="0" w:space="0" w:color="auto"/>
        <w:bottom w:val="none" w:sz="0" w:space="0" w:color="auto"/>
        <w:right w:val="none" w:sz="0" w:space="0" w:color="auto"/>
      </w:divBdr>
      <w:divsChild>
        <w:div w:id="1885483255">
          <w:marLeft w:val="0"/>
          <w:marRight w:val="0"/>
          <w:marTop w:val="0"/>
          <w:marBottom w:val="0"/>
          <w:divBdr>
            <w:top w:val="none" w:sz="0" w:space="0" w:color="auto"/>
            <w:left w:val="none" w:sz="0" w:space="0" w:color="auto"/>
            <w:bottom w:val="none" w:sz="0" w:space="0" w:color="auto"/>
            <w:right w:val="none" w:sz="0" w:space="0" w:color="auto"/>
          </w:divBdr>
        </w:div>
      </w:divsChild>
    </w:div>
    <w:div w:id="557783057">
      <w:bodyDiv w:val="1"/>
      <w:marLeft w:val="0"/>
      <w:marRight w:val="0"/>
      <w:marTop w:val="0"/>
      <w:marBottom w:val="0"/>
      <w:divBdr>
        <w:top w:val="none" w:sz="0" w:space="0" w:color="auto"/>
        <w:left w:val="none" w:sz="0" w:space="0" w:color="auto"/>
        <w:bottom w:val="none" w:sz="0" w:space="0" w:color="auto"/>
        <w:right w:val="none" w:sz="0" w:space="0" w:color="auto"/>
      </w:divBdr>
      <w:divsChild>
        <w:div w:id="1057119753">
          <w:marLeft w:val="0"/>
          <w:marRight w:val="0"/>
          <w:marTop w:val="0"/>
          <w:marBottom w:val="0"/>
          <w:divBdr>
            <w:top w:val="none" w:sz="0" w:space="0" w:color="auto"/>
            <w:left w:val="none" w:sz="0" w:space="0" w:color="auto"/>
            <w:bottom w:val="none" w:sz="0" w:space="0" w:color="auto"/>
            <w:right w:val="none" w:sz="0" w:space="0" w:color="auto"/>
          </w:divBdr>
        </w:div>
      </w:divsChild>
    </w:div>
    <w:div w:id="909924211">
      <w:bodyDiv w:val="1"/>
      <w:marLeft w:val="0"/>
      <w:marRight w:val="0"/>
      <w:marTop w:val="0"/>
      <w:marBottom w:val="0"/>
      <w:divBdr>
        <w:top w:val="none" w:sz="0" w:space="0" w:color="auto"/>
        <w:left w:val="none" w:sz="0" w:space="0" w:color="auto"/>
        <w:bottom w:val="none" w:sz="0" w:space="0" w:color="auto"/>
        <w:right w:val="none" w:sz="0" w:space="0" w:color="auto"/>
      </w:divBdr>
      <w:divsChild>
        <w:div w:id="1295912248">
          <w:marLeft w:val="0"/>
          <w:marRight w:val="0"/>
          <w:marTop w:val="0"/>
          <w:marBottom w:val="0"/>
          <w:divBdr>
            <w:top w:val="none" w:sz="0" w:space="0" w:color="auto"/>
            <w:left w:val="none" w:sz="0" w:space="0" w:color="auto"/>
            <w:bottom w:val="none" w:sz="0" w:space="0" w:color="auto"/>
            <w:right w:val="none" w:sz="0" w:space="0" w:color="auto"/>
          </w:divBdr>
        </w:div>
      </w:divsChild>
    </w:div>
    <w:div w:id="1174687564">
      <w:bodyDiv w:val="1"/>
      <w:marLeft w:val="0"/>
      <w:marRight w:val="0"/>
      <w:marTop w:val="0"/>
      <w:marBottom w:val="0"/>
      <w:divBdr>
        <w:top w:val="none" w:sz="0" w:space="0" w:color="auto"/>
        <w:left w:val="none" w:sz="0" w:space="0" w:color="auto"/>
        <w:bottom w:val="none" w:sz="0" w:space="0" w:color="auto"/>
        <w:right w:val="none" w:sz="0" w:space="0" w:color="auto"/>
      </w:divBdr>
    </w:div>
    <w:div w:id="1181508652">
      <w:bodyDiv w:val="1"/>
      <w:marLeft w:val="0"/>
      <w:marRight w:val="0"/>
      <w:marTop w:val="0"/>
      <w:marBottom w:val="0"/>
      <w:divBdr>
        <w:top w:val="none" w:sz="0" w:space="0" w:color="auto"/>
        <w:left w:val="none" w:sz="0" w:space="0" w:color="auto"/>
        <w:bottom w:val="none" w:sz="0" w:space="0" w:color="auto"/>
        <w:right w:val="none" w:sz="0" w:space="0" w:color="auto"/>
      </w:divBdr>
    </w:div>
    <w:div w:id="1316299867">
      <w:bodyDiv w:val="1"/>
      <w:marLeft w:val="0"/>
      <w:marRight w:val="0"/>
      <w:marTop w:val="0"/>
      <w:marBottom w:val="0"/>
      <w:divBdr>
        <w:top w:val="none" w:sz="0" w:space="0" w:color="auto"/>
        <w:left w:val="none" w:sz="0" w:space="0" w:color="auto"/>
        <w:bottom w:val="none" w:sz="0" w:space="0" w:color="auto"/>
        <w:right w:val="none" w:sz="0" w:space="0" w:color="auto"/>
      </w:divBdr>
      <w:divsChild>
        <w:div w:id="1509826524">
          <w:marLeft w:val="0"/>
          <w:marRight w:val="0"/>
          <w:marTop w:val="0"/>
          <w:marBottom w:val="0"/>
          <w:divBdr>
            <w:top w:val="none" w:sz="0" w:space="0" w:color="auto"/>
            <w:left w:val="none" w:sz="0" w:space="0" w:color="auto"/>
            <w:bottom w:val="none" w:sz="0" w:space="0" w:color="auto"/>
            <w:right w:val="none" w:sz="0" w:space="0" w:color="auto"/>
          </w:divBdr>
        </w:div>
      </w:divsChild>
    </w:div>
    <w:div w:id="1455059279">
      <w:bodyDiv w:val="1"/>
      <w:marLeft w:val="0"/>
      <w:marRight w:val="0"/>
      <w:marTop w:val="0"/>
      <w:marBottom w:val="0"/>
      <w:divBdr>
        <w:top w:val="none" w:sz="0" w:space="0" w:color="auto"/>
        <w:left w:val="none" w:sz="0" w:space="0" w:color="auto"/>
        <w:bottom w:val="none" w:sz="0" w:space="0" w:color="auto"/>
        <w:right w:val="none" w:sz="0" w:space="0" w:color="auto"/>
      </w:divBdr>
    </w:div>
    <w:div w:id="1499274784">
      <w:bodyDiv w:val="1"/>
      <w:marLeft w:val="0"/>
      <w:marRight w:val="0"/>
      <w:marTop w:val="0"/>
      <w:marBottom w:val="0"/>
      <w:divBdr>
        <w:top w:val="none" w:sz="0" w:space="0" w:color="auto"/>
        <w:left w:val="none" w:sz="0" w:space="0" w:color="auto"/>
        <w:bottom w:val="none" w:sz="0" w:space="0" w:color="auto"/>
        <w:right w:val="none" w:sz="0" w:space="0" w:color="auto"/>
      </w:divBdr>
      <w:divsChild>
        <w:div w:id="1616138788">
          <w:marLeft w:val="0"/>
          <w:marRight w:val="0"/>
          <w:marTop w:val="0"/>
          <w:marBottom w:val="0"/>
          <w:divBdr>
            <w:top w:val="none" w:sz="0" w:space="0" w:color="auto"/>
            <w:left w:val="none" w:sz="0" w:space="0" w:color="auto"/>
            <w:bottom w:val="none" w:sz="0" w:space="0" w:color="auto"/>
            <w:right w:val="none" w:sz="0" w:space="0" w:color="auto"/>
          </w:divBdr>
        </w:div>
      </w:divsChild>
    </w:div>
    <w:div w:id="1555504192">
      <w:bodyDiv w:val="1"/>
      <w:marLeft w:val="0"/>
      <w:marRight w:val="0"/>
      <w:marTop w:val="0"/>
      <w:marBottom w:val="0"/>
      <w:divBdr>
        <w:top w:val="none" w:sz="0" w:space="0" w:color="auto"/>
        <w:left w:val="none" w:sz="0" w:space="0" w:color="auto"/>
        <w:bottom w:val="none" w:sz="0" w:space="0" w:color="auto"/>
        <w:right w:val="none" w:sz="0" w:space="0" w:color="auto"/>
      </w:divBdr>
      <w:divsChild>
        <w:div w:id="607542524">
          <w:marLeft w:val="0"/>
          <w:marRight w:val="0"/>
          <w:marTop w:val="0"/>
          <w:marBottom w:val="0"/>
          <w:divBdr>
            <w:top w:val="none" w:sz="0" w:space="0" w:color="auto"/>
            <w:left w:val="none" w:sz="0" w:space="0" w:color="auto"/>
            <w:bottom w:val="none" w:sz="0" w:space="0" w:color="auto"/>
            <w:right w:val="none" w:sz="0" w:space="0" w:color="auto"/>
          </w:divBdr>
        </w:div>
      </w:divsChild>
    </w:div>
    <w:div w:id="1569461440">
      <w:bodyDiv w:val="1"/>
      <w:marLeft w:val="0"/>
      <w:marRight w:val="0"/>
      <w:marTop w:val="0"/>
      <w:marBottom w:val="0"/>
      <w:divBdr>
        <w:top w:val="none" w:sz="0" w:space="0" w:color="auto"/>
        <w:left w:val="none" w:sz="0" w:space="0" w:color="auto"/>
        <w:bottom w:val="none" w:sz="0" w:space="0" w:color="auto"/>
        <w:right w:val="none" w:sz="0" w:space="0" w:color="auto"/>
      </w:divBdr>
      <w:divsChild>
        <w:div w:id="1313607433">
          <w:marLeft w:val="0"/>
          <w:marRight w:val="0"/>
          <w:marTop w:val="0"/>
          <w:marBottom w:val="0"/>
          <w:divBdr>
            <w:top w:val="none" w:sz="0" w:space="0" w:color="auto"/>
            <w:left w:val="none" w:sz="0" w:space="0" w:color="auto"/>
            <w:bottom w:val="none" w:sz="0" w:space="0" w:color="auto"/>
            <w:right w:val="none" w:sz="0" w:space="0" w:color="auto"/>
          </w:divBdr>
        </w:div>
      </w:divsChild>
    </w:div>
    <w:div w:id="1781341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uvagroup.com/wp-content/uploads/2024/04/AR-BUVA-300424-FA_240430_145122.pdf" TargetMode="External"/><Relationship Id="rId18" Type="http://schemas.openxmlformats.org/officeDocument/2006/relationships/hyperlink" Target="https://www.ezeeabsolute.com/blog/hotels-collaboration-with-local-businesses-community/" TargetMode="External"/><Relationship Id="rId26" Type="http://schemas.openxmlformats.org/officeDocument/2006/relationships/hyperlink" Target="https://doi.org/10.24843/jsimbiosis.2022.v10.i01.p09" TargetMode="External"/><Relationship Id="rId3" Type="http://schemas.openxmlformats.org/officeDocument/2006/relationships/webSettings" Target="webSettings.xml"/><Relationship Id="rId21" Type="http://schemas.openxmlformats.org/officeDocument/2006/relationships/hyperlink" Target="https://www.hotelier-indonesia.com/2023/02/alila-villas-uluwatu-adds-meaningful.html%20" TargetMode="External"/><Relationship Id="rId7" Type="http://schemas.openxmlformats.org/officeDocument/2006/relationships/hyperlink" Target="https://doi.org/10.31940/ijogtra.v3i1.2072" TargetMode="External"/><Relationship Id="rId12" Type="http://schemas.openxmlformats.org/officeDocument/2006/relationships/hyperlink" Target="http://www.greenthehotels.com/eng/BohdanowiczSimanicMartinacEnvironmentalReportingSB05.pdf" TargetMode="External"/><Relationship Id="rId17" Type="http://schemas.openxmlformats.org/officeDocument/2006/relationships/hyperlink" Target="https://www.ecolex.org/details/legislation/law-of-ri-no-102009-on-tourism-lex-faoc089481/" TargetMode="External"/><Relationship Id="rId25" Type="http://schemas.openxmlformats.org/officeDocument/2006/relationships/hyperlink" Target="https://doi.org/10.36676/jrps.v15.i2.1407"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ecolex.org/details/legislation/law-no-322009-on-environmental-protection-and-management-lex-faoc097643/?q=Law+No.+32%2F2009" TargetMode="External"/><Relationship Id="rId20" Type="http://schemas.openxmlformats.org/officeDocument/2006/relationships/hyperlink" Target="https://www.luxurytravelmag.com.au/accommodations/alila-villas-uluwatu%20" TargetMode="External"/><Relationship Id="rId29" Type="http://schemas.openxmlformats.org/officeDocument/2006/relationships/hyperlink" Target="https://www.ilo.org/publications/manpower-act-indonesia-guide-book" TargetMode="External"/><Relationship Id="rId1" Type="http://schemas.openxmlformats.org/officeDocument/2006/relationships/styles" Target="styles.xml"/><Relationship Id="rId6" Type="http://schemas.openxmlformats.org/officeDocument/2006/relationships/hyperlink" Target="https://doi.org/10.37484/080109" TargetMode="External"/><Relationship Id="rId11" Type="http://schemas.openxmlformats.org/officeDocument/2006/relationships/hyperlink" Target="https://www.weforum.org/agenda/2023/04/survey-of-travelers-finds-76-want-more-sustainable-options/" TargetMode="External"/><Relationship Id="rId24" Type="http://schemas.openxmlformats.org/officeDocument/2006/relationships/hyperlink" Target="https://fbj.springeropen.com/articles/10.1186/s43093-020-00043-8%20" TargetMode="External"/><Relationship Id="rId32"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hyperlink" Target="https://www.ecolex.org/details/legislation/law-no-182008-regarding-rubbish-management-lex-faoc084136/" TargetMode="External"/><Relationship Id="rId23" Type="http://schemas.openxmlformats.org/officeDocument/2006/relationships/hyperlink" Target="https://doi.org/10.3390/su11226248" TargetMode="External"/><Relationship Id="rId28" Type="http://schemas.openxmlformats.org/officeDocument/2006/relationships/hyperlink" Target="https://doi.org/10.3390/su16083183" TargetMode="External"/><Relationship Id="rId10" Type="http://schemas.openxmlformats.org/officeDocument/2006/relationships/hyperlink" Target="https://www.robaid.com/tech/green-architecture-alila-villas-uluwatu-eco-resort.htm" TargetMode="External"/><Relationship Id="rId19" Type="http://schemas.openxmlformats.org/officeDocument/2006/relationships/hyperlink" Target="https://doi.org/10.1016/j.icheatmasstransfer.2023.106674" TargetMode="External"/><Relationship Id="rId31" Type="http://schemas.openxmlformats.org/officeDocument/2006/relationships/hyperlink" Target="https://doi.org/10.31940/jasth.v3i2.1914" TargetMode="External"/><Relationship Id="rId4" Type="http://schemas.openxmlformats.org/officeDocument/2006/relationships/image" Target="media/image1.png"/><Relationship Id="rId9" Type="http://schemas.openxmlformats.org/officeDocument/2006/relationships/hyperlink" Target="https://www.iisd.org/system/files/2021-07/indonesia-sustainable-infrastructure-solutions.pdf" TargetMode="External"/><Relationship Id="rId14" Type="http://schemas.openxmlformats.org/officeDocument/2006/relationships/hyperlink" Target="https://viable.earth/lifestyle/bali-based-resort-alila-villas-uluwatu-has-created-its-own-circular-economy/" TargetMode="External"/><Relationship Id="rId22" Type="http://schemas.openxmlformats.org/officeDocument/2006/relationships/hyperlink" Target="https://impact.economist.com/ocean/biodiversity-ecosystems-and-resources/preserving-the-ocean-with-regenerative-tourism%20" TargetMode="External"/><Relationship Id="rId27" Type="http://schemas.openxmlformats.org/officeDocument/2006/relationships/hyperlink" Target="https://ojs.unud.ac.id/index.php/kerthasemaya/article/view/37839?articlesBySameAuthorPage=2" TargetMode="External"/><Relationship Id="rId30" Type="http://schemas.openxmlformats.org/officeDocument/2006/relationships/hyperlink" Target="https://www.wtravelmagazine.com/sustainability-is-the-new-luxury-at-balis-alila-villas-uluwatu/" TargetMode="External"/><Relationship Id="rId8" Type="http://schemas.openxmlformats.org/officeDocument/2006/relationships/hyperlink" Target="https://insights.shijigroup.com/technology-and-sustainability-in-hot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3277</TotalTime>
  <Pages>10</Pages>
  <Words>3579</Words>
  <Characters>20406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Fruzsina Valoczki (2223630)</dc:creator>
  <cp:keywords/>
  <dc:description/>
  <cp:lastModifiedBy>Fruzsina Valoczki (2223630)</cp:lastModifiedBy>
  <cp:revision>17</cp:revision>
  <dcterms:created xsi:type="dcterms:W3CDTF">2024-09-23T19:11:00Z</dcterms:created>
  <dcterms:modified xsi:type="dcterms:W3CDTF">2024-10-21T14:45:00Z</dcterms:modified>
</cp:coreProperties>
</file>