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3AA010" w14:textId="77777777" w:rsidR="00F100E1" w:rsidRPr="004C2678" w:rsidRDefault="00F100E1" w:rsidP="00190ED5">
      <w:pPr>
        <w:jc w:val="center"/>
        <w:rPr>
          <w:rFonts w:cs="Times New Roman"/>
          <w:szCs w:val="24"/>
        </w:rPr>
      </w:pPr>
      <w:bookmarkStart w:id="0" w:name="_Hlk3392057"/>
      <w:bookmarkStart w:id="1" w:name="_Hlk6518584"/>
      <w:bookmarkStart w:id="2" w:name="_Hlk39052554"/>
      <w:bookmarkStart w:id="3" w:name="_Hlk39083089"/>
      <w:bookmarkStart w:id="4" w:name="_Hlk39953949"/>
      <w:bookmarkStart w:id="5" w:name="_Hlk42427952"/>
    </w:p>
    <w:p w14:paraId="74BF97AE" w14:textId="339B520F" w:rsidR="00813AFD" w:rsidRPr="00813AFD" w:rsidRDefault="00813AFD" w:rsidP="00813AFD">
      <w:pPr>
        <w:pStyle w:val="Heading1"/>
        <w:spacing w:before="240" w:after="240" w:line="360" w:lineRule="auto"/>
        <w:rPr>
          <w:rFonts w:cs="Times New Roman"/>
          <w:szCs w:val="24"/>
        </w:rPr>
      </w:pPr>
      <w:bookmarkStart w:id="6" w:name="_Toc39837778"/>
      <w:bookmarkEnd w:id="0"/>
      <w:bookmarkEnd w:id="1"/>
      <w:bookmarkEnd w:id="2"/>
      <w:bookmarkEnd w:id="3"/>
      <w:r>
        <w:rPr>
          <w:rFonts w:cs="Times New Roman"/>
          <w:noProof/>
          <w:szCs w:val="24"/>
        </w:rPr>
        <w:drawing>
          <wp:inline distT="0" distB="0" distL="0" distR="0" wp14:anchorId="79942144" wp14:editId="3639C1B9">
            <wp:extent cx="3108960" cy="189738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8960" cy="1897380"/>
                    </a:xfrm>
                    <a:prstGeom prst="rect">
                      <a:avLst/>
                    </a:prstGeom>
                    <a:noFill/>
                    <a:ln>
                      <a:noFill/>
                    </a:ln>
                  </pic:spPr>
                </pic:pic>
              </a:graphicData>
            </a:graphic>
          </wp:inline>
        </w:drawing>
      </w:r>
    </w:p>
    <w:p w14:paraId="752AF4DB" w14:textId="77777777" w:rsidR="00813AFD" w:rsidRDefault="00813AFD" w:rsidP="00813AFD">
      <w:pPr>
        <w:rPr>
          <w:rFonts w:cs="Times New Roman"/>
          <w:b/>
          <w:bCs/>
          <w:color w:val="000000" w:themeColor="text1"/>
          <w:sz w:val="50"/>
          <w:szCs w:val="50"/>
        </w:rPr>
      </w:pPr>
    </w:p>
    <w:p w14:paraId="0C005F23" w14:textId="46D533BF" w:rsidR="00813AFD" w:rsidRDefault="00813AFD" w:rsidP="00813AFD">
      <w:pPr>
        <w:jc w:val="center"/>
        <w:rPr>
          <w:rFonts w:cs="Times New Roman"/>
          <w:b/>
          <w:bCs/>
          <w:color w:val="000000" w:themeColor="text1"/>
          <w:sz w:val="50"/>
          <w:szCs w:val="50"/>
        </w:rPr>
      </w:pPr>
      <w:r>
        <w:rPr>
          <w:rFonts w:cs="Times New Roman"/>
          <w:b/>
          <w:bCs/>
          <w:color w:val="000000" w:themeColor="text1"/>
          <w:sz w:val="50"/>
          <w:szCs w:val="50"/>
        </w:rPr>
        <w:t xml:space="preserve">Management Accounting </w:t>
      </w:r>
    </w:p>
    <w:p w14:paraId="7BCC1827" w14:textId="7C2F09E3" w:rsidR="00813AFD" w:rsidRPr="00813AFD" w:rsidRDefault="00813AFD" w:rsidP="00813AFD">
      <w:pPr>
        <w:jc w:val="center"/>
        <w:rPr>
          <w:rFonts w:cs="Times New Roman"/>
          <w:b/>
          <w:bCs/>
          <w:color w:val="000000" w:themeColor="text1"/>
          <w:sz w:val="50"/>
          <w:szCs w:val="50"/>
        </w:rPr>
      </w:pPr>
      <w:r>
        <w:rPr>
          <w:rFonts w:cs="Times New Roman"/>
          <w:b/>
          <w:bCs/>
          <w:color w:val="000000" w:themeColor="text1"/>
          <w:sz w:val="50"/>
          <w:szCs w:val="50"/>
        </w:rPr>
        <w:t>Assessment 1</w:t>
      </w:r>
    </w:p>
    <w:p w14:paraId="5FC78C8C" w14:textId="77777777" w:rsidR="00813AFD" w:rsidRDefault="00813AFD" w:rsidP="00813AFD">
      <w:pPr>
        <w:rPr>
          <w:rFonts w:cs="Times New Roman"/>
          <w:color w:val="000000" w:themeColor="text1"/>
          <w:szCs w:val="24"/>
        </w:rPr>
      </w:pPr>
    </w:p>
    <w:p w14:paraId="0567C4C8" w14:textId="77777777" w:rsidR="00813AFD" w:rsidRDefault="00813AFD" w:rsidP="00813AFD">
      <w:pPr>
        <w:rPr>
          <w:rFonts w:cs="Times New Roman"/>
          <w:color w:val="000000" w:themeColor="text1"/>
          <w:szCs w:val="24"/>
        </w:rPr>
      </w:pPr>
    </w:p>
    <w:p w14:paraId="78F4F209" w14:textId="77777777" w:rsidR="00813AFD" w:rsidRDefault="00813AFD" w:rsidP="00813AFD">
      <w:pPr>
        <w:rPr>
          <w:rFonts w:cs="Times New Roman"/>
          <w:color w:val="000000" w:themeColor="text1"/>
          <w:szCs w:val="24"/>
        </w:rPr>
      </w:pPr>
    </w:p>
    <w:p w14:paraId="67F64B1D" w14:textId="2F608EE3" w:rsidR="00813AFD" w:rsidRDefault="00813AFD" w:rsidP="00813AFD">
      <w:pPr>
        <w:jc w:val="right"/>
        <w:rPr>
          <w:rFonts w:cs="Times New Roman"/>
          <w:color w:val="000000" w:themeColor="text1"/>
          <w:szCs w:val="24"/>
        </w:rPr>
      </w:pPr>
      <w:r>
        <w:rPr>
          <w:rFonts w:cs="Times New Roman"/>
          <w:color w:val="000000" w:themeColor="text1"/>
          <w:szCs w:val="24"/>
        </w:rPr>
        <w:t xml:space="preserve">Student: Stefania Prohnitchi </w:t>
      </w:r>
      <w:r>
        <w:rPr>
          <w:rFonts w:cs="Times New Roman"/>
          <w:color w:val="000000" w:themeColor="text1"/>
          <w:szCs w:val="24"/>
        </w:rPr>
        <w:br/>
        <w:t>Student number: 1917713</w:t>
      </w:r>
      <w:r>
        <w:rPr>
          <w:rFonts w:cs="Times New Roman"/>
          <w:color w:val="000000" w:themeColor="text1"/>
          <w:szCs w:val="24"/>
        </w:rPr>
        <w:br/>
        <w:t xml:space="preserve">Course: BA Business Management  </w:t>
      </w:r>
      <w:r>
        <w:rPr>
          <w:rFonts w:cs="Times New Roman"/>
          <w:color w:val="000000" w:themeColor="text1"/>
          <w:szCs w:val="24"/>
        </w:rPr>
        <w:br/>
        <w:t xml:space="preserve">Lecturer: </w:t>
      </w:r>
      <w:proofErr w:type="spellStart"/>
      <w:r>
        <w:rPr>
          <w:rFonts w:cs="Times New Roman"/>
          <w:color w:val="000000" w:themeColor="text1"/>
          <w:szCs w:val="24"/>
        </w:rPr>
        <w:t>Widin</w:t>
      </w:r>
      <w:proofErr w:type="spellEnd"/>
      <w:r>
        <w:rPr>
          <w:rFonts w:cs="Times New Roman"/>
          <w:color w:val="000000" w:themeColor="text1"/>
          <w:szCs w:val="24"/>
        </w:rPr>
        <w:t xml:space="preserve"> </w:t>
      </w:r>
      <w:proofErr w:type="spellStart"/>
      <w:r>
        <w:rPr>
          <w:rFonts w:cs="Times New Roman"/>
          <w:color w:val="000000" w:themeColor="text1"/>
          <w:szCs w:val="24"/>
        </w:rPr>
        <w:t>Bongasu</w:t>
      </w:r>
      <w:proofErr w:type="spellEnd"/>
      <w:r>
        <w:rPr>
          <w:rFonts w:cs="Times New Roman"/>
          <w:color w:val="000000" w:themeColor="text1"/>
          <w:szCs w:val="24"/>
        </w:rPr>
        <w:t xml:space="preserve"> </w:t>
      </w:r>
      <w:proofErr w:type="spellStart"/>
      <w:r>
        <w:rPr>
          <w:rFonts w:cs="Times New Roman"/>
          <w:color w:val="000000" w:themeColor="text1"/>
          <w:szCs w:val="24"/>
        </w:rPr>
        <w:t>Sha’ven</w:t>
      </w:r>
      <w:proofErr w:type="spellEnd"/>
    </w:p>
    <w:p w14:paraId="6825CEF6" w14:textId="77777777" w:rsidR="009911C5" w:rsidRDefault="001D6B0B">
      <w:pPr>
        <w:spacing w:line="276" w:lineRule="auto"/>
        <w:jc w:val="left"/>
        <w:rPr>
          <w:lang w:val="en-US"/>
        </w:rPr>
      </w:pPr>
      <w:r w:rsidRPr="00E74DA5">
        <w:rPr>
          <w:lang w:val="en-US"/>
        </w:rPr>
        <w:br w:type="page"/>
      </w:r>
    </w:p>
    <w:p w14:paraId="0D819920" w14:textId="5444BA63" w:rsidR="002608FB" w:rsidRDefault="00C7454B" w:rsidP="0039211F">
      <w:pPr>
        <w:pStyle w:val="Heading1"/>
      </w:pPr>
      <w:bookmarkStart w:id="7" w:name="_Toc49786217"/>
      <w:bookmarkEnd w:id="4"/>
      <w:bookmarkEnd w:id="5"/>
      <w:bookmarkEnd w:id="6"/>
      <w:r>
        <w:lastRenderedPageBreak/>
        <w:t>Introduction</w:t>
      </w:r>
      <w:bookmarkEnd w:id="7"/>
    </w:p>
    <w:p w14:paraId="6B13AE21" w14:textId="23625B8B" w:rsidR="006171C6" w:rsidRPr="006171C6" w:rsidRDefault="006171C6" w:rsidP="006171C6">
      <w:pPr>
        <w:shd w:val="clear" w:color="auto" w:fill="FFFFFF"/>
        <w:spacing w:after="100" w:afterAutospacing="1" w:line="360" w:lineRule="auto"/>
        <w:ind w:firstLine="720"/>
        <w:rPr>
          <w:rFonts w:eastAsia="Times New Roman" w:cs="Times New Roman"/>
          <w:color w:val="000000" w:themeColor="text1"/>
          <w:szCs w:val="24"/>
          <w:lang w:eastAsia="en-GB"/>
        </w:rPr>
      </w:pPr>
      <w:r w:rsidRPr="006171C6">
        <w:rPr>
          <w:rFonts w:eastAsia="Times New Roman" w:cs="Times New Roman"/>
          <w:color w:val="000000" w:themeColor="text1"/>
          <w:szCs w:val="24"/>
          <w:lang w:eastAsia="en-GB"/>
        </w:rPr>
        <w:t xml:space="preserve">The process of creating organization goals by identifying, measuring, </w:t>
      </w:r>
      <w:r w:rsidR="00813AFD" w:rsidRPr="006171C6">
        <w:rPr>
          <w:rFonts w:eastAsia="Times New Roman" w:cs="Times New Roman"/>
          <w:color w:val="000000" w:themeColor="text1"/>
          <w:szCs w:val="24"/>
          <w:lang w:eastAsia="en-GB"/>
        </w:rPr>
        <w:t>analysing</w:t>
      </w:r>
      <w:r w:rsidRPr="006171C6">
        <w:rPr>
          <w:rFonts w:eastAsia="Times New Roman" w:cs="Times New Roman"/>
          <w:color w:val="000000" w:themeColor="text1"/>
          <w:szCs w:val="24"/>
          <w:lang w:eastAsia="en-GB"/>
        </w:rPr>
        <w:t xml:space="preserve">, </w:t>
      </w:r>
      <w:r w:rsidR="009447A1" w:rsidRPr="006171C6">
        <w:rPr>
          <w:rFonts w:eastAsia="Times New Roman" w:cs="Times New Roman"/>
          <w:color w:val="000000" w:themeColor="text1"/>
          <w:szCs w:val="24"/>
          <w:lang w:eastAsia="en-GB"/>
        </w:rPr>
        <w:t>interpreting,</w:t>
      </w:r>
      <w:r w:rsidRPr="006171C6">
        <w:rPr>
          <w:rFonts w:eastAsia="Times New Roman" w:cs="Times New Roman"/>
          <w:color w:val="000000" w:themeColor="text1"/>
          <w:szCs w:val="24"/>
          <w:lang w:eastAsia="en-GB"/>
        </w:rPr>
        <w:t xml:space="preserve"> and communicating information to managers is call management or managerial accounting.</w:t>
      </w:r>
    </w:p>
    <w:p w14:paraId="6D0C1E13" w14:textId="77777777" w:rsidR="006171C6" w:rsidRPr="006171C6" w:rsidRDefault="006171C6" w:rsidP="006171C6">
      <w:pPr>
        <w:shd w:val="clear" w:color="auto" w:fill="FFFFFF"/>
        <w:spacing w:after="100" w:afterAutospacing="1" w:line="360" w:lineRule="auto"/>
        <w:ind w:firstLine="720"/>
        <w:rPr>
          <w:rFonts w:eastAsia="Times New Roman" w:cs="Times New Roman"/>
          <w:color w:val="000000" w:themeColor="text1"/>
          <w:szCs w:val="24"/>
          <w:lang w:eastAsia="en-GB"/>
        </w:rPr>
      </w:pPr>
      <w:r w:rsidRPr="006171C6">
        <w:rPr>
          <w:rFonts w:eastAsia="Times New Roman" w:cs="Times New Roman"/>
          <w:color w:val="000000" w:themeColor="text1"/>
          <w:szCs w:val="24"/>
          <w:lang w:eastAsia="en-GB"/>
        </w:rPr>
        <w:t>Management accounting focuses on all accounting aimed at informing management about operational business metrics. It uses information relating to costs of products or services purchased by the company. Budgets are often used to quantify the decisions made in operational planning. Management accountants use performance reports to note variances between actual results from budgets.</w:t>
      </w:r>
    </w:p>
    <w:p w14:paraId="04EAA2F0" w14:textId="77777777" w:rsidR="006171C6" w:rsidRPr="006171C6" w:rsidRDefault="006171C6" w:rsidP="006171C6">
      <w:pPr>
        <w:shd w:val="clear" w:color="auto" w:fill="FFFFFF"/>
        <w:spacing w:before="100" w:beforeAutospacing="1" w:after="100" w:afterAutospacing="1" w:line="360" w:lineRule="auto"/>
        <w:ind w:firstLine="720"/>
        <w:rPr>
          <w:rFonts w:eastAsia="Times New Roman" w:cs="Times New Roman"/>
          <w:color w:val="000000" w:themeColor="text1"/>
          <w:szCs w:val="24"/>
          <w:lang w:eastAsia="en-GB"/>
        </w:rPr>
      </w:pPr>
      <w:r w:rsidRPr="006171C6">
        <w:rPr>
          <w:rFonts w:eastAsia="Times New Roman" w:cs="Times New Roman"/>
          <w:color w:val="000000" w:themeColor="text1"/>
          <w:szCs w:val="24"/>
          <w:lang w:eastAsia="en-GB"/>
        </w:rPr>
        <w:t>The main difference between management accounting and financial accounting is financial accounting is the collection of accounting data to create financial statements, while management accounting is the internal processing used to account for business transactions.</w:t>
      </w:r>
    </w:p>
    <w:p w14:paraId="22E7A383" w14:textId="6B9F8939" w:rsidR="006171C6" w:rsidRPr="006171C6" w:rsidRDefault="006171C6" w:rsidP="006171C6">
      <w:pPr>
        <w:shd w:val="clear" w:color="auto" w:fill="FFFFFF"/>
        <w:spacing w:line="240" w:lineRule="auto"/>
        <w:jc w:val="left"/>
        <w:rPr>
          <w:rFonts w:eastAsia="Times New Roman" w:cs="Times New Roman"/>
          <w:color w:val="000000" w:themeColor="text1"/>
          <w:szCs w:val="24"/>
          <w:lang w:eastAsia="en-GB"/>
        </w:rPr>
      </w:pPr>
      <w:r w:rsidRPr="006171C6">
        <w:rPr>
          <w:color w:val="000000" w:themeColor="text1"/>
        </w:rPr>
        <w:tab/>
      </w:r>
      <w:r w:rsidRPr="006171C6">
        <w:rPr>
          <w:rFonts w:eastAsia="Times New Roman" w:cs="Times New Roman"/>
          <w:color w:val="000000" w:themeColor="text1"/>
          <w:szCs w:val="24"/>
          <w:lang w:eastAsia="en-GB"/>
        </w:rPr>
        <w:t>Types of Managerial Accounting</w:t>
      </w:r>
      <w:r>
        <w:rPr>
          <w:rFonts w:eastAsia="Times New Roman" w:cs="Times New Roman"/>
          <w:color w:val="000000" w:themeColor="text1"/>
          <w:szCs w:val="24"/>
          <w:lang w:eastAsia="en-GB"/>
        </w:rPr>
        <w:t xml:space="preserve"> are:</w:t>
      </w:r>
    </w:p>
    <w:p w14:paraId="2B789BE1" w14:textId="77777777" w:rsidR="006171C6" w:rsidRPr="00CC1D8A" w:rsidRDefault="006171C6" w:rsidP="007C3ADF">
      <w:pPr>
        <w:numPr>
          <w:ilvl w:val="0"/>
          <w:numId w:val="1"/>
        </w:numPr>
        <w:shd w:val="clear" w:color="auto" w:fill="FFFFFF"/>
        <w:spacing w:after="60" w:line="240" w:lineRule="auto"/>
        <w:jc w:val="left"/>
        <w:rPr>
          <w:rFonts w:eastAsia="Times New Roman" w:cs="Times New Roman"/>
          <w:b/>
          <w:bCs/>
          <w:color w:val="000000" w:themeColor="text1"/>
          <w:szCs w:val="24"/>
          <w:lang w:eastAsia="en-GB"/>
        </w:rPr>
      </w:pPr>
      <w:r w:rsidRPr="00CC1D8A">
        <w:rPr>
          <w:rFonts w:eastAsia="Times New Roman" w:cs="Times New Roman"/>
          <w:b/>
          <w:bCs/>
          <w:color w:val="000000" w:themeColor="text1"/>
          <w:szCs w:val="24"/>
          <w:lang w:eastAsia="en-GB"/>
        </w:rPr>
        <w:t>Product Costing and Valuation.</w:t>
      </w:r>
    </w:p>
    <w:p w14:paraId="4D00BE8F" w14:textId="77777777" w:rsidR="006171C6" w:rsidRPr="00CC1D8A" w:rsidRDefault="006171C6" w:rsidP="007C3ADF">
      <w:pPr>
        <w:numPr>
          <w:ilvl w:val="0"/>
          <w:numId w:val="1"/>
        </w:numPr>
        <w:shd w:val="clear" w:color="auto" w:fill="FFFFFF"/>
        <w:spacing w:after="60" w:line="240" w:lineRule="auto"/>
        <w:jc w:val="left"/>
        <w:rPr>
          <w:rFonts w:eastAsia="Times New Roman" w:cs="Times New Roman"/>
          <w:b/>
          <w:bCs/>
          <w:color w:val="000000" w:themeColor="text1"/>
          <w:szCs w:val="24"/>
          <w:lang w:eastAsia="en-GB"/>
        </w:rPr>
      </w:pPr>
      <w:r w:rsidRPr="00CC1D8A">
        <w:rPr>
          <w:rFonts w:eastAsia="Times New Roman" w:cs="Times New Roman"/>
          <w:b/>
          <w:bCs/>
          <w:color w:val="000000" w:themeColor="text1"/>
          <w:szCs w:val="24"/>
          <w:lang w:eastAsia="en-GB"/>
        </w:rPr>
        <w:t>Cash Flow Analysis.</w:t>
      </w:r>
    </w:p>
    <w:p w14:paraId="309B5A27" w14:textId="77777777" w:rsidR="006171C6" w:rsidRPr="00CC1D8A" w:rsidRDefault="006171C6" w:rsidP="007C3ADF">
      <w:pPr>
        <w:numPr>
          <w:ilvl w:val="0"/>
          <w:numId w:val="1"/>
        </w:numPr>
        <w:shd w:val="clear" w:color="auto" w:fill="FFFFFF"/>
        <w:spacing w:after="60" w:line="240" w:lineRule="auto"/>
        <w:jc w:val="left"/>
        <w:rPr>
          <w:rFonts w:eastAsia="Times New Roman" w:cs="Times New Roman"/>
          <w:b/>
          <w:bCs/>
          <w:color w:val="000000" w:themeColor="text1"/>
          <w:szCs w:val="24"/>
          <w:lang w:eastAsia="en-GB"/>
        </w:rPr>
      </w:pPr>
      <w:r w:rsidRPr="00CC1D8A">
        <w:rPr>
          <w:rFonts w:eastAsia="Times New Roman" w:cs="Times New Roman"/>
          <w:b/>
          <w:bCs/>
          <w:color w:val="000000" w:themeColor="text1"/>
          <w:szCs w:val="24"/>
          <w:lang w:eastAsia="en-GB"/>
        </w:rPr>
        <w:t>Inventory Turnover Analysis.</w:t>
      </w:r>
    </w:p>
    <w:p w14:paraId="52DE5AB7" w14:textId="77777777" w:rsidR="006171C6" w:rsidRPr="00CC1D8A" w:rsidRDefault="006171C6" w:rsidP="007C3ADF">
      <w:pPr>
        <w:numPr>
          <w:ilvl w:val="0"/>
          <w:numId w:val="1"/>
        </w:numPr>
        <w:shd w:val="clear" w:color="auto" w:fill="FFFFFF"/>
        <w:spacing w:after="60" w:line="240" w:lineRule="auto"/>
        <w:jc w:val="left"/>
        <w:rPr>
          <w:rFonts w:eastAsia="Times New Roman" w:cs="Times New Roman"/>
          <w:b/>
          <w:bCs/>
          <w:color w:val="000000" w:themeColor="text1"/>
          <w:szCs w:val="24"/>
          <w:lang w:eastAsia="en-GB"/>
        </w:rPr>
      </w:pPr>
      <w:r w:rsidRPr="00CC1D8A">
        <w:rPr>
          <w:rFonts w:eastAsia="Times New Roman" w:cs="Times New Roman"/>
          <w:b/>
          <w:bCs/>
          <w:color w:val="000000" w:themeColor="text1"/>
          <w:szCs w:val="24"/>
          <w:lang w:eastAsia="en-GB"/>
        </w:rPr>
        <w:t>Constraint Analysis.</w:t>
      </w:r>
    </w:p>
    <w:p w14:paraId="374B0270" w14:textId="77777777" w:rsidR="006171C6" w:rsidRPr="00CC1D8A" w:rsidRDefault="006171C6" w:rsidP="007C3ADF">
      <w:pPr>
        <w:numPr>
          <w:ilvl w:val="0"/>
          <w:numId w:val="1"/>
        </w:numPr>
        <w:shd w:val="clear" w:color="auto" w:fill="FFFFFF"/>
        <w:spacing w:after="60" w:line="240" w:lineRule="auto"/>
        <w:jc w:val="left"/>
        <w:rPr>
          <w:rFonts w:eastAsia="Times New Roman" w:cs="Times New Roman"/>
          <w:b/>
          <w:bCs/>
          <w:color w:val="000000" w:themeColor="text1"/>
          <w:szCs w:val="24"/>
          <w:lang w:eastAsia="en-GB"/>
        </w:rPr>
      </w:pPr>
      <w:r w:rsidRPr="00CC1D8A">
        <w:rPr>
          <w:rFonts w:eastAsia="Times New Roman" w:cs="Times New Roman"/>
          <w:b/>
          <w:bCs/>
          <w:color w:val="000000" w:themeColor="text1"/>
          <w:szCs w:val="24"/>
          <w:lang w:eastAsia="en-GB"/>
        </w:rPr>
        <w:t>Financial Leverage Metrics.</w:t>
      </w:r>
    </w:p>
    <w:p w14:paraId="53A94200" w14:textId="77777777" w:rsidR="006171C6" w:rsidRPr="00CC1D8A" w:rsidRDefault="006171C6" w:rsidP="007C3ADF">
      <w:pPr>
        <w:numPr>
          <w:ilvl w:val="0"/>
          <w:numId w:val="1"/>
        </w:numPr>
        <w:shd w:val="clear" w:color="auto" w:fill="FFFFFF"/>
        <w:spacing w:after="60" w:line="240" w:lineRule="auto"/>
        <w:jc w:val="left"/>
        <w:rPr>
          <w:rFonts w:eastAsia="Times New Roman" w:cs="Times New Roman"/>
          <w:b/>
          <w:bCs/>
          <w:color w:val="000000" w:themeColor="text1"/>
          <w:szCs w:val="24"/>
          <w:lang w:eastAsia="en-GB"/>
        </w:rPr>
      </w:pPr>
      <w:r w:rsidRPr="00CC1D8A">
        <w:rPr>
          <w:rFonts w:eastAsia="Times New Roman" w:cs="Times New Roman"/>
          <w:b/>
          <w:bCs/>
          <w:color w:val="000000" w:themeColor="text1"/>
          <w:szCs w:val="24"/>
          <w:lang w:eastAsia="en-GB"/>
        </w:rPr>
        <w:t>Accounts Receivable (AR) Management.</w:t>
      </w:r>
    </w:p>
    <w:p w14:paraId="1F55E680" w14:textId="77777777" w:rsidR="006171C6" w:rsidRPr="00CC1D8A" w:rsidRDefault="006171C6" w:rsidP="007C3ADF">
      <w:pPr>
        <w:numPr>
          <w:ilvl w:val="0"/>
          <w:numId w:val="1"/>
        </w:numPr>
        <w:shd w:val="clear" w:color="auto" w:fill="FFFFFF"/>
        <w:spacing w:after="60" w:line="240" w:lineRule="auto"/>
        <w:jc w:val="left"/>
        <w:rPr>
          <w:rFonts w:eastAsia="Times New Roman" w:cs="Times New Roman"/>
          <w:b/>
          <w:bCs/>
          <w:color w:val="000000" w:themeColor="text1"/>
          <w:szCs w:val="24"/>
          <w:lang w:eastAsia="en-GB"/>
        </w:rPr>
      </w:pPr>
      <w:r w:rsidRPr="00CC1D8A">
        <w:rPr>
          <w:rFonts w:eastAsia="Times New Roman" w:cs="Times New Roman"/>
          <w:b/>
          <w:bCs/>
          <w:color w:val="000000" w:themeColor="text1"/>
          <w:szCs w:val="24"/>
          <w:lang w:eastAsia="en-GB"/>
        </w:rPr>
        <w:t>Budgeting, Trend Analysis, and Forecasting.</w:t>
      </w:r>
    </w:p>
    <w:p w14:paraId="2211E466" w14:textId="77777777" w:rsidR="006171C6" w:rsidRPr="00CC1D8A" w:rsidRDefault="006171C6" w:rsidP="00FE2EAF">
      <w:pPr>
        <w:rPr>
          <w:b/>
          <w:bCs/>
        </w:rPr>
      </w:pPr>
    </w:p>
    <w:p w14:paraId="15548230" w14:textId="48A026A7" w:rsidR="00EB108E" w:rsidRDefault="0039211F" w:rsidP="00FE2EAF">
      <w:r w:rsidRPr="005B1C71">
        <w:tab/>
      </w:r>
      <w:r w:rsidR="00FE2EAF">
        <w:t xml:space="preserve">The general ruling of costing is based on allocating the cost elements to different segments of a business. The factors taken into account for the development of cost involves employees, processing transactions, customers, product lines, distribution channels and available subsidiaries. The case study relates to the expansion strategy followed by </w:t>
      </w:r>
      <w:r w:rsidR="00FE2EAF" w:rsidRPr="00FE2EAF">
        <w:t>Harriot Hotel</w:t>
      </w:r>
      <w:r w:rsidR="00FE2EAF">
        <w:t xml:space="preserve"> during the </w:t>
      </w:r>
      <w:r w:rsidR="00FE2EAF" w:rsidRPr="00FE2EAF">
        <w:t>COVID-19 pandemic</w:t>
      </w:r>
      <w:r w:rsidR="00B70ED1">
        <w:t xml:space="preserve"> for increasing the capacity of the </w:t>
      </w:r>
      <w:r w:rsidR="00FE2EAF">
        <w:t>rooms in China, thereby compensating the losses in the Americas and Europe region. This attributes to performing cost breakdown analysis</w:t>
      </w:r>
      <w:r w:rsidR="00FF157F">
        <w:t xml:space="preserve"> of Harri</w:t>
      </w:r>
      <w:r w:rsidR="00DE3F10">
        <w:t>o</w:t>
      </w:r>
      <w:r w:rsidR="00FF157F">
        <w:t xml:space="preserve">t hotel in relation to the contribution of individual revenue items such as cost for advertising, customer discounts, employee wages, cleaning supplies, stationary </w:t>
      </w:r>
      <w:r w:rsidR="009447A1">
        <w:t>services,</w:t>
      </w:r>
      <w:r w:rsidR="00FF157F">
        <w:t xml:space="preserve"> and housekeeping. Based on the aforementioned cost </w:t>
      </w:r>
      <w:r w:rsidR="00FF157F">
        <w:lastRenderedPageBreak/>
        <w:t>items, the decision needs to be made for increasing or decreasing the same to ensure that the hotel maintains competitive position in the market. The objective of the study is to identify the nature of the costs and allocating them to the appropriate</w:t>
      </w:r>
      <w:r w:rsidR="00B70ED1">
        <w:t xml:space="preserve"> category of fixed or variable cost.</w:t>
      </w:r>
    </w:p>
    <w:p w14:paraId="16A3661A" w14:textId="22252B53" w:rsidR="00B70ED1" w:rsidRDefault="00B70ED1" w:rsidP="00B70ED1">
      <w:pPr>
        <w:pStyle w:val="Heading1"/>
        <w:rPr>
          <w:shd w:val="clear" w:color="auto" w:fill="FFFFFF"/>
        </w:rPr>
      </w:pPr>
      <w:r w:rsidRPr="00B70ED1">
        <w:rPr>
          <w:shd w:val="clear" w:color="auto" w:fill="FFFFFF"/>
        </w:rPr>
        <w:t>Discussion</w:t>
      </w:r>
    </w:p>
    <w:p w14:paraId="2FBFCA68" w14:textId="77777777" w:rsidR="00CC1D8A" w:rsidRDefault="00CC1D8A" w:rsidP="00CC1D8A">
      <w:pPr>
        <w:ind w:firstLine="720"/>
      </w:pPr>
      <w:r>
        <w:t xml:space="preserve">The following discussion examining all type of variable cost regarding </w:t>
      </w:r>
      <w:r w:rsidRPr="00CC1D8A">
        <w:rPr>
          <w:b/>
          <w:bCs/>
        </w:rPr>
        <w:t xml:space="preserve">PER </w:t>
      </w:r>
      <w:r>
        <w:t>methodology:</w:t>
      </w:r>
    </w:p>
    <w:p w14:paraId="06FBD969" w14:textId="65BAABEC" w:rsidR="00CC1D8A" w:rsidRPr="00CC1D8A" w:rsidRDefault="00CC1D8A" w:rsidP="00CC1D8A">
      <w:pPr>
        <w:ind w:firstLine="720"/>
      </w:pPr>
      <w:r w:rsidRPr="00CC1D8A">
        <w:rPr>
          <w:b/>
          <w:bCs/>
        </w:rPr>
        <w:t>P</w:t>
      </w:r>
      <w:r>
        <w:rPr>
          <w:b/>
          <w:bCs/>
        </w:rPr>
        <w:t xml:space="preserve"> </w:t>
      </w:r>
      <w:r w:rsidRPr="00CC1D8A">
        <w:t>- Point</w:t>
      </w:r>
    </w:p>
    <w:p w14:paraId="06F8A9AA" w14:textId="65132F0D" w:rsidR="00CC1D8A" w:rsidRPr="00CC1D8A" w:rsidRDefault="00CC1D8A" w:rsidP="00CC1D8A">
      <w:pPr>
        <w:ind w:firstLine="720"/>
        <w:rPr>
          <w:b/>
          <w:bCs/>
        </w:rPr>
      </w:pPr>
      <w:r w:rsidRPr="00CC1D8A">
        <w:rPr>
          <w:b/>
          <w:bCs/>
        </w:rPr>
        <w:t>E</w:t>
      </w:r>
      <w:r>
        <w:rPr>
          <w:b/>
          <w:bCs/>
        </w:rPr>
        <w:t xml:space="preserve"> </w:t>
      </w:r>
      <w:r w:rsidRPr="00CC1D8A">
        <w:rPr>
          <w:b/>
          <w:bCs/>
        </w:rPr>
        <w:t>-</w:t>
      </w:r>
      <w:r>
        <w:rPr>
          <w:b/>
          <w:bCs/>
        </w:rPr>
        <w:t xml:space="preserve"> </w:t>
      </w:r>
      <w:r w:rsidRPr="00CC1D8A">
        <w:t>Explanation</w:t>
      </w:r>
    </w:p>
    <w:p w14:paraId="74F8F3FB" w14:textId="1D663945" w:rsidR="00CC1D8A" w:rsidRPr="00CC1D8A" w:rsidRDefault="00CC1D8A" w:rsidP="00CC1D8A">
      <w:pPr>
        <w:ind w:firstLine="720"/>
        <w:rPr>
          <w:b/>
          <w:bCs/>
        </w:rPr>
      </w:pPr>
      <w:r w:rsidRPr="00CC1D8A">
        <w:rPr>
          <w:b/>
          <w:bCs/>
        </w:rPr>
        <w:t>R</w:t>
      </w:r>
      <w:r>
        <w:rPr>
          <w:b/>
          <w:bCs/>
        </w:rPr>
        <w:t xml:space="preserve"> </w:t>
      </w:r>
      <w:r w:rsidRPr="00CC1D8A">
        <w:rPr>
          <w:b/>
          <w:bCs/>
        </w:rPr>
        <w:t>-</w:t>
      </w:r>
      <w:r>
        <w:rPr>
          <w:b/>
          <w:bCs/>
        </w:rPr>
        <w:t xml:space="preserve"> </w:t>
      </w:r>
      <w:r w:rsidRPr="00CC1D8A">
        <w:t xml:space="preserve">Relate  </w:t>
      </w:r>
    </w:p>
    <w:p w14:paraId="66132295" w14:textId="5D4A063C" w:rsidR="00EB108E" w:rsidRDefault="00B70ED1" w:rsidP="00EB108E">
      <w:pPr>
        <w:rPr>
          <w:color w:val="000000" w:themeColor="text1"/>
        </w:rPr>
      </w:pPr>
      <w:r>
        <w:rPr>
          <w:color w:val="000000" w:themeColor="text1"/>
        </w:rPr>
        <w:tab/>
        <w:t xml:space="preserve">In general, all types of small businesses share common attributes of large corporates when it comes to evaluation of the overhead costs. The differentiating nature of operations of a business has a decisive role in allocation of </w:t>
      </w:r>
      <w:r w:rsidRPr="00B70ED1">
        <w:rPr>
          <w:color w:val="000000" w:themeColor="text1"/>
        </w:rPr>
        <w:t>overhead costs</w:t>
      </w:r>
      <w:r>
        <w:rPr>
          <w:color w:val="000000" w:themeColor="text1"/>
        </w:rPr>
        <w:t xml:space="preserve">. In this regard, the </w:t>
      </w:r>
      <w:r w:rsidRPr="00B70ED1">
        <w:rPr>
          <w:color w:val="000000" w:themeColor="text1"/>
        </w:rPr>
        <w:t xml:space="preserve">overhead costs </w:t>
      </w:r>
      <w:r>
        <w:rPr>
          <w:color w:val="000000" w:themeColor="text1"/>
        </w:rPr>
        <w:t xml:space="preserve">can be categorised into semi-variable, </w:t>
      </w:r>
      <w:r w:rsidR="009447A1">
        <w:rPr>
          <w:color w:val="000000" w:themeColor="text1"/>
        </w:rPr>
        <w:t>variable,</w:t>
      </w:r>
      <w:r>
        <w:rPr>
          <w:color w:val="000000" w:themeColor="text1"/>
        </w:rPr>
        <w:t xml:space="preserve"> and fixed cost respectively. However, for ease of understanding, the discourse of the essay has only emphasised on categorising the </w:t>
      </w:r>
      <w:r w:rsidRPr="00B70ED1">
        <w:rPr>
          <w:color w:val="000000" w:themeColor="text1"/>
        </w:rPr>
        <w:t>overhead costs</w:t>
      </w:r>
      <w:r>
        <w:rPr>
          <w:color w:val="000000" w:themeColor="text1"/>
        </w:rPr>
        <w:t xml:space="preserve"> as per variable and fixed costs. A cost which does not vary as per the business activities is referred as fixed cost. The usual types of fixed cost include annual salaries, taxes on property, government fees, wages paid for fixed workers, utilities, depreciation and insurance. In contrast, any cost which gets impacted by the business activities is known as variable costs.</w:t>
      </w:r>
      <w:r w:rsidR="00F0757C">
        <w:rPr>
          <w:color w:val="000000" w:themeColor="text1"/>
        </w:rPr>
        <w:t xml:space="preserve"> Therefore, it can be also said that increase in the operations relating to business activity will also increase the overhead costs. In contrast, decrease in the total number of activities will reduce </w:t>
      </w:r>
      <w:r w:rsidR="009B674C">
        <w:rPr>
          <w:color w:val="000000" w:themeColor="text1"/>
        </w:rPr>
        <w:t xml:space="preserve">such </w:t>
      </w:r>
      <w:r w:rsidR="00F0757C">
        <w:rPr>
          <w:color w:val="000000" w:themeColor="text1"/>
        </w:rPr>
        <w:t>variable cost</w:t>
      </w:r>
      <w:r w:rsidR="00525C2F" w:rsidRPr="00525C2F">
        <w:t xml:space="preserve"> </w:t>
      </w:r>
      <w:r w:rsidR="00525C2F">
        <w:t>(</w:t>
      </w:r>
      <w:proofErr w:type="spellStart"/>
      <w:r w:rsidR="00525C2F" w:rsidRPr="003F7D32">
        <w:t>Pagare</w:t>
      </w:r>
      <w:proofErr w:type="spellEnd"/>
      <w:r w:rsidR="00525C2F">
        <w:t xml:space="preserve"> </w:t>
      </w:r>
      <w:r w:rsidR="00525C2F" w:rsidRPr="003F7D32">
        <w:t>2020</w:t>
      </w:r>
      <w:r w:rsidR="00525C2F">
        <w:t>)</w:t>
      </w:r>
      <w:r w:rsidR="00F0757C">
        <w:rPr>
          <w:color w:val="000000" w:themeColor="text1"/>
        </w:rPr>
        <w:t>. The range of semi-variable and variable overhead cost comprises of overtime wages,</w:t>
      </w:r>
      <w:r w:rsidR="000C60C6">
        <w:rPr>
          <w:color w:val="000000" w:themeColor="text1"/>
        </w:rPr>
        <w:t xml:space="preserve"> commission,</w:t>
      </w:r>
      <w:r w:rsidR="00F0757C">
        <w:rPr>
          <w:color w:val="000000" w:themeColor="text1"/>
        </w:rPr>
        <w:t xml:space="preserve"> shipping costs, office supplies, legal expenses, consulting fees, cost pertaining to maintenance of equipment, </w:t>
      </w:r>
      <w:r w:rsidR="00F0757C">
        <w:rPr>
          <w:color w:val="000000" w:themeColor="text1"/>
        </w:rPr>
        <w:lastRenderedPageBreak/>
        <w:t>vehicle usage and salesperson’s salaries</w:t>
      </w:r>
      <w:r w:rsidR="00BA00B1" w:rsidRPr="00BA00B1">
        <w:t xml:space="preserve"> </w:t>
      </w:r>
      <w:r w:rsidR="00BA00B1">
        <w:t>(</w:t>
      </w:r>
      <w:proofErr w:type="spellStart"/>
      <w:r w:rsidR="00BA00B1" w:rsidRPr="003F7D32">
        <w:t>Johantri</w:t>
      </w:r>
      <w:proofErr w:type="spellEnd"/>
      <w:r w:rsidR="00BA00B1" w:rsidRPr="003F7D32">
        <w:t xml:space="preserve"> 2020</w:t>
      </w:r>
      <w:r w:rsidR="00BA00B1">
        <w:t>)</w:t>
      </w:r>
      <w:r w:rsidR="00F0757C">
        <w:rPr>
          <w:color w:val="000000" w:themeColor="text1"/>
        </w:rPr>
        <w:t xml:space="preserve">. The computation of overhead cost is based on the appropriate time of recording them and comparison of the same with </w:t>
      </w:r>
      <w:r w:rsidR="0047749A">
        <w:rPr>
          <w:color w:val="000000" w:themeColor="text1"/>
        </w:rPr>
        <w:t xml:space="preserve">the </w:t>
      </w:r>
      <w:r w:rsidR="00F0757C">
        <w:rPr>
          <w:color w:val="000000" w:themeColor="text1"/>
        </w:rPr>
        <w:t xml:space="preserve">revenue. In order to accurately evaluate bottom line of the business, </w:t>
      </w:r>
      <w:r w:rsidR="009677EB">
        <w:rPr>
          <w:color w:val="000000" w:themeColor="text1"/>
        </w:rPr>
        <w:t>assessment</w:t>
      </w:r>
      <w:r w:rsidR="00F0757C">
        <w:rPr>
          <w:color w:val="000000" w:themeColor="text1"/>
        </w:rPr>
        <w:t xml:space="preserve"> of </w:t>
      </w:r>
      <w:r w:rsidR="00F0757C" w:rsidRPr="00F0757C">
        <w:rPr>
          <w:color w:val="000000" w:themeColor="text1"/>
        </w:rPr>
        <w:t>overhead cost</w:t>
      </w:r>
      <w:r w:rsidR="00F0757C">
        <w:rPr>
          <w:color w:val="000000" w:themeColor="text1"/>
        </w:rPr>
        <w:t xml:space="preserve"> plays a key role. The computation involves subtracting the expenses and </w:t>
      </w:r>
      <w:r w:rsidR="00F0757C" w:rsidRPr="00F0757C">
        <w:rPr>
          <w:color w:val="000000" w:themeColor="text1"/>
        </w:rPr>
        <w:t>overhead cost</w:t>
      </w:r>
      <w:r w:rsidR="00F0757C">
        <w:rPr>
          <w:color w:val="000000" w:themeColor="text1"/>
        </w:rPr>
        <w:t xml:space="preserve"> from the GP</w:t>
      </w:r>
      <w:r w:rsidR="00F0444C" w:rsidRPr="00F0444C">
        <w:t xml:space="preserve"> </w:t>
      </w:r>
      <w:r w:rsidR="00F0444C">
        <w:t>(</w:t>
      </w:r>
      <w:proofErr w:type="spellStart"/>
      <w:r w:rsidR="00F0444C" w:rsidRPr="003F7D32">
        <w:t>Novák</w:t>
      </w:r>
      <w:proofErr w:type="spellEnd"/>
      <w:r w:rsidR="00F0444C">
        <w:t xml:space="preserve"> </w:t>
      </w:r>
      <w:r w:rsidR="00F0444C" w:rsidRPr="00F0444C">
        <w:rPr>
          <w:i/>
          <w:iCs/>
        </w:rPr>
        <w:t>et al.</w:t>
      </w:r>
      <w:r w:rsidR="00F0444C">
        <w:t xml:space="preserve"> </w:t>
      </w:r>
      <w:r w:rsidR="00F0444C" w:rsidRPr="003F7D32">
        <w:t>2017</w:t>
      </w:r>
      <w:r w:rsidR="00F0444C">
        <w:t>)</w:t>
      </w:r>
      <w:r w:rsidR="00F0757C">
        <w:rPr>
          <w:color w:val="000000" w:themeColor="text1"/>
        </w:rPr>
        <w:t>. Furthermore, as per the total proportion of the cost items with bottom line, it can be seen whether the expenses are lesser or higher than the revenue generated</w:t>
      </w:r>
      <w:r w:rsidR="00D04A04" w:rsidRPr="00D04A04">
        <w:t xml:space="preserve"> </w:t>
      </w:r>
      <w:r w:rsidR="00D04A04">
        <w:t>(</w:t>
      </w:r>
      <w:r w:rsidR="00D04A04" w:rsidRPr="003F7D32">
        <w:t>Yadav</w:t>
      </w:r>
      <w:r w:rsidR="00D04A04">
        <w:t xml:space="preserve"> </w:t>
      </w:r>
      <w:r w:rsidR="00D04A04" w:rsidRPr="003F7D32">
        <w:t xml:space="preserve">and </w:t>
      </w:r>
      <w:proofErr w:type="spellStart"/>
      <w:r w:rsidR="00D04A04" w:rsidRPr="003F7D32">
        <w:t>Avhad</w:t>
      </w:r>
      <w:proofErr w:type="spellEnd"/>
      <w:r w:rsidR="00D04A04">
        <w:t xml:space="preserve"> </w:t>
      </w:r>
      <w:r w:rsidR="00D04A04" w:rsidRPr="003F7D32">
        <w:t>2020</w:t>
      </w:r>
      <w:r w:rsidR="00D04A04">
        <w:t>)</w:t>
      </w:r>
      <w:r w:rsidR="00F0757C">
        <w:rPr>
          <w:color w:val="000000" w:themeColor="text1"/>
        </w:rPr>
        <w:t>.</w:t>
      </w:r>
    </w:p>
    <w:p w14:paraId="2E867DED" w14:textId="74F055B5" w:rsidR="00F0757C" w:rsidRDefault="00F0757C" w:rsidP="00EB108E">
      <w:pPr>
        <w:rPr>
          <w:color w:val="000000" w:themeColor="text1"/>
        </w:rPr>
      </w:pPr>
      <w:r>
        <w:rPr>
          <w:color w:val="000000" w:themeColor="text1"/>
        </w:rPr>
        <w:tab/>
        <w:t>The decision for eliminating, decreasing or increasing the individual cost item is not only to be made as per percentage contribution to the revenue but also the importance of the cost item which they hold for a business</w:t>
      </w:r>
      <w:r w:rsidR="006B2793" w:rsidRPr="006B2793">
        <w:t xml:space="preserve"> </w:t>
      </w:r>
      <w:r w:rsidR="006B2793">
        <w:t>(</w:t>
      </w:r>
      <w:proofErr w:type="spellStart"/>
      <w:r w:rsidR="006B2793" w:rsidRPr="003F7D32">
        <w:t>Tarzibashi</w:t>
      </w:r>
      <w:proofErr w:type="spellEnd"/>
      <w:r w:rsidR="006B2793">
        <w:t xml:space="preserve"> </w:t>
      </w:r>
      <w:r w:rsidR="006B2793" w:rsidRPr="003F7D32">
        <w:t>2017</w:t>
      </w:r>
      <w:r w:rsidR="006B2793">
        <w:t>)</w:t>
      </w:r>
      <w:r>
        <w:rPr>
          <w:color w:val="000000" w:themeColor="text1"/>
        </w:rPr>
        <w:t>. For example, stationary used on a day-to-day basis in the front desk</w:t>
      </w:r>
      <w:r w:rsidR="00AC4434">
        <w:rPr>
          <w:color w:val="000000" w:themeColor="text1"/>
        </w:rPr>
        <w:t xml:space="preserve"> of the </w:t>
      </w:r>
      <w:r w:rsidR="00AC4434" w:rsidRPr="00AC4434">
        <w:rPr>
          <w:color w:val="000000" w:themeColor="text1"/>
        </w:rPr>
        <w:t xml:space="preserve">restaurants </w:t>
      </w:r>
      <w:r w:rsidR="00AC4434">
        <w:rPr>
          <w:color w:val="000000" w:themeColor="text1"/>
        </w:rPr>
        <w:t>may not have a high contribution to the revenue, however, inclusion</w:t>
      </w:r>
      <w:r w:rsidR="00B71121">
        <w:rPr>
          <w:color w:val="000000" w:themeColor="text1"/>
        </w:rPr>
        <w:t xml:space="preserve"> of the same</w:t>
      </w:r>
      <w:r w:rsidR="00AC4434">
        <w:rPr>
          <w:color w:val="000000" w:themeColor="text1"/>
        </w:rPr>
        <w:t xml:space="preserve"> is mandatory as it is an indispensable part of day-to-day operations of the business. As per the characteristics of such a cost, exclusion of the same may have severe consequences for the business</w:t>
      </w:r>
      <w:r w:rsidR="00BF1D26" w:rsidRPr="00BF1D26">
        <w:t xml:space="preserve"> </w:t>
      </w:r>
      <w:r w:rsidR="00BF1D26">
        <w:t>(</w:t>
      </w:r>
      <w:r w:rsidR="00BF1D26" w:rsidRPr="003F7D32">
        <w:t>Mohr</w:t>
      </w:r>
      <w:r w:rsidR="00BF1D26">
        <w:t xml:space="preserve"> </w:t>
      </w:r>
      <w:r w:rsidR="00BF1D26" w:rsidRPr="003F7D32">
        <w:t>2017</w:t>
      </w:r>
      <w:r w:rsidR="00BF1D26">
        <w:t>)</w:t>
      </w:r>
      <w:r w:rsidR="00AC4434">
        <w:rPr>
          <w:color w:val="000000" w:themeColor="text1"/>
        </w:rPr>
        <w:t>. In relevance to the given cost in the case study, the overhead cost is evident in form of customer discount, advertising cost, housekeeping, wages of the employees and cleaning supplies. These cost elements forms part of variable overhead costs. In contrast, wages which are being paid to the employees and interest pertaining to the loan can be classified as fixed cost</w:t>
      </w:r>
      <w:r w:rsidR="00F30F0E" w:rsidRPr="00F30F0E">
        <w:t xml:space="preserve"> </w:t>
      </w:r>
      <w:r w:rsidR="00F30F0E">
        <w:t>(</w:t>
      </w:r>
      <w:r w:rsidR="00F30F0E" w:rsidRPr="003F7D32">
        <w:t>Ren</w:t>
      </w:r>
      <w:r w:rsidR="00F30F0E">
        <w:t xml:space="preserve"> </w:t>
      </w:r>
      <w:r w:rsidR="00F30F0E" w:rsidRPr="003F7D32">
        <w:t>and Guo</w:t>
      </w:r>
      <w:r w:rsidR="00F30F0E">
        <w:t xml:space="preserve"> </w:t>
      </w:r>
      <w:r w:rsidR="00F30F0E" w:rsidRPr="003F7D32">
        <w:t>2019</w:t>
      </w:r>
      <w:r w:rsidR="00F30F0E">
        <w:t>)</w:t>
      </w:r>
      <w:r w:rsidR="00AC4434">
        <w:rPr>
          <w:color w:val="000000" w:themeColor="text1"/>
        </w:rPr>
        <w:t xml:space="preserve">. </w:t>
      </w:r>
      <w:r w:rsidR="001A72E4">
        <w:rPr>
          <w:color w:val="000000" w:themeColor="text1"/>
        </w:rPr>
        <w:t>T</w:t>
      </w:r>
      <w:r w:rsidR="00AC4434">
        <w:rPr>
          <w:color w:val="000000" w:themeColor="text1"/>
        </w:rPr>
        <w:t>he interest on loan is computed as per total percentage of the entire loan balance which are being paid to the lender on a periodic scheduled basis. This amount is usually quoted based on an annual rate, which is applicable for both short-term and long-term borrowings</w:t>
      </w:r>
      <w:r w:rsidR="001C1083" w:rsidRPr="001C1083">
        <w:t xml:space="preserve"> </w:t>
      </w:r>
      <w:r w:rsidR="001C1083">
        <w:t>(</w:t>
      </w:r>
      <w:r w:rsidR="001C1083" w:rsidRPr="003F7D32">
        <w:t>Bent</w:t>
      </w:r>
      <w:r w:rsidR="001C1083">
        <w:t xml:space="preserve"> </w:t>
      </w:r>
      <w:r w:rsidR="001C1083" w:rsidRPr="003F7D32">
        <w:t>and Caplan</w:t>
      </w:r>
      <w:r w:rsidR="001C1083">
        <w:t xml:space="preserve"> </w:t>
      </w:r>
      <w:r w:rsidR="001C1083" w:rsidRPr="003F7D32">
        <w:t>2017</w:t>
      </w:r>
      <w:r w:rsidR="001C1083">
        <w:t>)</w:t>
      </w:r>
      <w:r w:rsidR="00AC4434">
        <w:rPr>
          <w:color w:val="000000" w:themeColor="text1"/>
        </w:rPr>
        <w:t>. As per the nature of such a cost, they cannot be decreased, eliminated or increased. In addition to this, interest on loan is depicted as the second-highest revenue contributor with 17%, followed by wages paid to the employees.</w:t>
      </w:r>
    </w:p>
    <w:p w14:paraId="1DFE4587" w14:textId="2DE59090" w:rsidR="00C71CAF" w:rsidRDefault="00C71CAF" w:rsidP="00EB108E">
      <w:r>
        <w:rPr>
          <w:color w:val="000000" w:themeColor="text1"/>
        </w:rPr>
        <w:lastRenderedPageBreak/>
        <w:tab/>
        <w:t>The fixed wages which are paid to the employees of Harriot Hotel is to be included in the wages overhead</w:t>
      </w:r>
      <w:r w:rsidR="002B71AF">
        <w:rPr>
          <w:color w:val="000000" w:themeColor="text1"/>
        </w:rPr>
        <w:t xml:space="preserve"> and this is identified as a fixed cost. Furthermore, similar type of c</w:t>
      </w:r>
      <w:r w:rsidR="0096644D">
        <w:rPr>
          <w:color w:val="000000" w:themeColor="text1"/>
        </w:rPr>
        <w:t xml:space="preserve">ost </w:t>
      </w:r>
      <w:r w:rsidR="002B71AF">
        <w:rPr>
          <w:color w:val="000000" w:themeColor="text1"/>
        </w:rPr>
        <w:t xml:space="preserve">is evident in form of leave encashment, PF, </w:t>
      </w:r>
      <w:r w:rsidR="00131F54">
        <w:rPr>
          <w:color w:val="000000" w:themeColor="text1"/>
        </w:rPr>
        <w:t>gratuity</w:t>
      </w:r>
      <w:r w:rsidR="002B71AF">
        <w:rPr>
          <w:color w:val="000000" w:themeColor="text1"/>
        </w:rPr>
        <w:t>, future benefits and employee welfare</w:t>
      </w:r>
      <w:r w:rsidR="001646DE" w:rsidRPr="001646DE">
        <w:t xml:space="preserve"> </w:t>
      </w:r>
      <w:r w:rsidR="001646DE">
        <w:t>(</w:t>
      </w:r>
      <w:proofErr w:type="spellStart"/>
      <w:r w:rsidR="001646DE" w:rsidRPr="004632D2">
        <w:t>Alavipour</w:t>
      </w:r>
      <w:proofErr w:type="spellEnd"/>
      <w:r w:rsidR="001646DE">
        <w:t xml:space="preserve"> </w:t>
      </w:r>
      <w:r w:rsidR="001646DE" w:rsidRPr="004632D2">
        <w:t xml:space="preserve">and </w:t>
      </w:r>
      <w:proofErr w:type="spellStart"/>
      <w:r w:rsidR="001646DE" w:rsidRPr="004632D2">
        <w:t>Arditi</w:t>
      </w:r>
      <w:proofErr w:type="spellEnd"/>
      <w:r w:rsidR="001646DE">
        <w:t xml:space="preserve"> </w:t>
      </w:r>
      <w:r w:rsidR="001646DE" w:rsidRPr="004632D2">
        <w:t>2018</w:t>
      </w:r>
      <w:r w:rsidR="001646DE">
        <w:t>)</w:t>
      </w:r>
      <w:r w:rsidR="002B71AF">
        <w:rPr>
          <w:color w:val="000000" w:themeColor="text1"/>
        </w:rPr>
        <w:t>.</w:t>
      </w:r>
      <w:r w:rsidR="00DE3F10">
        <w:rPr>
          <w:color w:val="000000" w:themeColor="text1"/>
        </w:rPr>
        <w:t xml:space="preserve"> The </w:t>
      </w:r>
      <w:r w:rsidR="00945193">
        <w:rPr>
          <w:color w:val="000000" w:themeColor="text1"/>
        </w:rPr>
        <w:t xml:space="preserve">fixed </w:t>
      </w:r>
      <w:r w:rsidR="00DE3F10">
        <w:rPr>
          <w:color w:val="000000" w:themeColor="text1"/>
        </w:rPr>
        <w:t xml:space="preserve">cost relating to the </w:t>
      </w:r>
      <w:r w:rsidR="00945193">
        <w:rPr>
          <w:color w:val="000000" w:themeColor="text1"/>
        </w:rPr>
        <w:t>wages</w:t>
      </w:r>
      <w:r w:rsidR="00DE3F10">
        <w:rPr>
          <w:color w:val="000000" w:themeColor="text1"/>
        </w:rPr>
        <w:t xml:space="preserve"> of the employees directly impacts the mo</w:t>
      </w:r>
      <w:r w:rsidR="00E41C60">
        <w:rPr>
          <w:color w:val="000000" w:themeColor="text1"/>
        </w:rPr>
        <w:t>rale</w:t>
      </w:r>
      <w:r w:rsidR="00DE3F10">
        <w:rPr>
          <w:color w:val="000000" w:themeColor="text1"/>
        </w:rPr>
        <w:t xml:space="preserve"> of the employees and cannot be reduced to a great extent</w:t>
      </w:r>
      <w:r w:rsidR="00A01B3C" w:rsidRPr="00A01B3C">
        <w:t xml:space="preserve"> </w:t>
      </w:r>
      <w:r w:rsidR="00A01B3C">
        <w:t>(</w:t>
      </w:r>
      <w:r w:rsidR="00A01B3C" w:rsidRPr="004632D2">
        <w:t>McLeod, Osborne</w:t>
      </w:r>
      <w:r w:rsidR="00A01B3C">
        <w:t xml:space="preserve"> </w:t>
      </w:r>
      <w:r w:rsidR="00A01B3C" w:rsidRPr="004632D2">
        <w:t>and Roberts</w:t>
      </w:r>
      <w:r w:rsidR="00A01B3C">
        <w:t xml:space="preserve"> </w:t>
      </w:r>
      <w:r w:rsidR="00A01B3C" w:rsidRPr="004632D2">
        <w:t>2017</w:t>
      </w:r>
      <w:r w:rsidR="00A01B3C">
        <w:t>)</w:t>
      </w:r>
      <w:r w:rsidR="00DE3F10">
        <w:rPr>
          <w:color w:val="000000" w:themeColor="text1"/>
        </w:rPr>
        <w:t xml:space="preserve">. </w:t>
      </w:r>
      <w:r w:rsidR="00F92464">
        <w:rPr>
          <w:color w:val="000000" w:themeColor="text1"/>
        </w:rPr>
        <w:t>The cost involved in advertising is seen to arise out of promoting a business over any media such as television commercial, newspapers and social media. Moreover, as it is not possible to track such cost for future benefit, it is often seen to be named as advertising expense. As per the given case, advertising cost has a total contribution of 12% for the revenue of the company</w:t>
      </w:r>
      <w:r w:rsidR="004E16B5">
        <w:rPr>
          <w:color w:val="000000" w:themeColor="text1"/>
        </w:rPr>
        <w:t xml:space="preserve">, which can be further reduced to improve the degrading performance of all the hotels based in Europe and the </w:t>
      </w:r>
      <w:r w:rsidR="00F93F9B">
        <w:rPr>
          <w:color w:val="000000" w:themeColor="text1"/>
        </w:rPr>
        <w:t>UK</w:t>
      </w:r>
      <w:r w:rsidR="004E16B5">
        <w:rPr>
          <w:color w:val="000000" w:themeColor="text1"/>
        </w:rPr>
        <w:t xml:space="preserve">. </w:t>
      </w:r>
      <w:r w:rsidR="00431374">
        <w:rPr>
          <w:color w:val="000000" w:themeColor="text1"/>
        </w:rPr>
        <w:t xml:space="preserve">There is a maximum scope of reduction for up to 2% for </w:t>
      </w:r>
      <w:r w:rsidR="00431374">
        <w:t>advertising cost.</w:t>
      </w:r>
    </w:p>
    <w:p w14:paraId="72D10F07" w14:textId="71E24DCD" w:rsidR="00797BDC" w:rsidRDefault="00797BDC" w:rsidP="00EB108E">
      <w:r>
        <w:tab/>
        <w:t>The relevant cost of cleaning supplies and housekeeping is associated with cost of chemicals required for cleaning, chemicals used for odour control, equipment required for mopping, laundry carts, brooms, cleaning supplies and equipment for cleaning of drains</w:t>
      </w:r>
      <w:r w:rsidR="00C7370F" w:rsidRPr="00C7370F">
        <w:t xml:space="preserve"> </w:t>
      </w:r>
      <w:r w:rsidR="00C7370F">
        <w:t>(</w:t>
      </w:r>
      <w:proofErr w:type="spellStart"/>
      <w:r w:rsidR="00C7370F" w:rsidRPr="003F7D32">
        <w:t>Tarzibashi</w:t>
      </w:r>
      <w:proofErr w:type="spellEnd"/>
      <w:r w:rsidR="00C7370F">
        <w:t xml:space="preserve"> </w:t>
      </w:r>
      <w:r w:rsidR="00C7370F" w:rsidRPr="003F7D32">
        <w:t>2017</w:t>
      </w:r>
      <w:r w:rsidR="00C7370F">
        <w:t>)</w:t>
      </w:r>
      <w:r>
        <w:t>.</w:t>
      </w:r>
      <w:r w:rsidR="002730DD">
        <w:t xml:space="preserve"> In this regard, cleaning supplies and housekeeping is a total contribution of 8.3% towards revenue of the business. However, it is important to understand that elimination of such a cost is not feasible.</w:t>
      </w:r>
      <w:r w:rsidR="00906B19">
        <w:t xml:space="preserve"> The equipment relating to cleaning supplies is mandatory for office premises</w:t>
      </w:r>
      <w:r w:rsidR="00D34F8E" w:rsidRPr="00D34F8E">
        <w:t xml:space="preserve"> </w:t>
      </w:r>
      <w:r w:rsidR="00D34F8E">
        <w:t>(</w:t>
      </w:r>
      <w:r w:rsidR="00D34F8E" w:rsidRPr="004632D2">
        <w:t>An</w:t>
      </w:r>
      <w:r w:rsidR="00D34F8E">
        <w:t xml:space="preserve"> </w:t>
      </w:r>
      <w:r w:rsidR="00D34F8E" w:rsidRPr="00D34F8E">
        <w:rPr>
          <w:i/>
          <w:iCs/>
        </w:rPr>
        <w:t>et al.</w:t>
      </w:r>
      <w:r w:rsidR="00D34F8E" w:rsidRPr="004632D2">
        <w:t xml:space="preserve"> 2020</w:t>
      </w:r>
      <w:r w:rsidR="00D34F8E">
        <w:t>)</w:t>
      </w:r>
      <w:r w:rsidR="00906B19">
        <w:t>.</w:t>
      </w:r>
      <w:r w:rsidR="00B141C2">
        <w:t xml:space="preserve"> As a result of consideration to reduce its cost, Harriot hotel can look forward to facilitate a greater number of employees with provisions for working from home especially for the employees based in China. As a result of this decision, the hotel will have the opportunity to allocate more amount of cost for office premises based in the regions of the </w:t>
      </w:r>
      <w:r w:rsidR="00F93F9B">
        <w:t>UK</w:t>
      </w:r>
      <w:r w:rsidR="00B141C2">
        <w:t xml:space="preserve"> in relation to the costs associated with cleaning and housekeeping. In this manner, the </w:t>
      </w:r>
      <w:r w:rsidR="00255AFC">
        <w:t xml:space="preserve">hotel </w:t>
      </w:r>
      <w:r w:rsidR="00B141C2">
        <w:t>will be able to significantly reduce the cost for the office is based in China.</w:t>
      </w:r>
      <w:r w:rsidR="00B9697B">
        <w:t xml:space="preserve"> The total consideration for reduction in cleaning supplies and housekeeping cost can be done for a maximum up to 3%.</w:t>
      </w:r>
      <w:r w:rsidR="001E7660">
        <w:t xml:space="preserve"> The costs associated with discounts paid to the customer is </w:t>
      </w:r>
      <w:r w:rsidR="001E7660">
        <w:lastRenderedPageBreak/>
        <w:t>based on the price paid in addition to the original MRP. Therefore, the relevance of this cost is seen with building customer loyalty, attracting new customers, improving site traffic and sales improvement. Despite of the importance of this cost, Harriot hotel can consider reducing this cost for overcoming the loss in the operations of the U</w:t>
      </w:r>
      <w:r w:rsidR="00FB1969">
        <w:t>K</w:t>
      </w:r>
      <w:r w:rsidR="001E7660">
        <w:t xml:space="preserve"> and Europe. However, the decision to reduce costs pertaining to customer discount should be done with great caution to prevent an impact on sales. In this regard, </w:t>
      </w:r>
      <w:r w:rsidR="003B406D">
        <w:t xml:space="preserve">a </w:t>
      </w:r>
      <w:r w:rsidR="00D22934">
        <w:t>drop</w:t>
      </w:r>
      <w:r w:rsidR="003B406D">
        <w:t xml:space="preserve"> in </w:t>
      </w:r>
      <w:r w:rsidR="001E7660">
        <w:t>customer discount can be allowed to a tune of 5%.</w:t>
      </w:r>
      <w:r w:rsidR="003B406D">
        <w:t xml:space="preserve"> Furthermore, based on all the identified cost components, the reduction in customer discount is seen to be </w:t>
      </w:r>
      <w:r w:rsidR="007042B3">
        <w:t xml:space="preserve">the </w:t>
      </w:r>
      <w:r w:rsidR="003B406D">
        <w:t>highest.</w:t>
      </w:r>
    </w:p>
    <w:p w14:paraId="02A8B7CE" w14:textId="2A7365CE" w:rsidR="003B406D" w:rsidRDefault="003B406D" w:rsidP="00EB108E">
      <w:r>
        <w:tab/>
      </w:r>
      <w:r w:rsidR="00A55BF9">
        <w:t>Stationaries are an inevitable part of front desk office which comprises of</w:t>
      </w:r>
      <w:r w:rsidR="00634F58">
        <w:t xml:space="preserve"> writing pads, envelops, pen and </w:t>
      </w:r>
      <w:r w:rsidR="004A359F">
        <w:t xml:space="preserve">other </w:t>
      </w:r>
      <w:r w:rsidR="00634F58">
        <w:t>office supplies</w:t>
      </w:r>
      <w:r w:rsidR="00A77947" w:rsidRPr="00A77947">
        <w:t xml:space="preserve"> </w:t>
      </w:r>
      <w:r w:rsidR="00A77947">
        <w:t>(</w:t>
      </w:r>
      <w:proofErr w:type="spellStart"/>
      <w:r w:rsidR="00A77947" w:rsidRPr="004632D2">
        <w:t>Nasution</w:t>
      </w:r>
      <w:proofErr w:type="spellEnd"/>
      <w:r w:rsidR="00A77947">
        <w:t xml:space="preserve"> </w:t>
      </w:r>
      <w:r w:rsidR="00A77947" w:rsidRPr="004632D2">
        <w:t xml:space="preserve">and </w:t>
      </w:r>
      <w:proofErr w:type="spellStart"/>
      <w:r w:rsidR="00A77947" w:rsidRPr="004632D2">
        <w:t>Siregar</w:t>
      </w:r>
      <w:proofErr w:type="spellEnd"/>
      <w:r w:rsidR="00A77947">
        <w:t xml:space="preserve"> </w:t>
      </w:r>
      <w:r w:rsidR="00A77947" w:rsidRPr="004632D2">
        <w:t>2018</w:t>
      </w:r>
      <w:r w:rsidR="00A77947">
        <w:t>)</w:t>
      </w:r>
      <w:r w:rsidR="00634F58">
        <w:t>. Based on the given case study, the contribution of such items is only 5% towards the revenue. It is important to understand that despite of their such a low contribution margin</w:t>
      </w:r>
      <w:r w:rsidR="00A8549C">
        <w:t>,</w:t>
      </w:r>
      <w:r w:rsidR="00634F58">
        <w:t xml:space="preserve"> they are essential for daily requirement and cannot be completely eliminated. Moreover, they can be only reduced up to an extent of 1%. </w:t>
      </w:r>
    </w:p>
    <w:p w14:paraId="3C8D735C" w14:textId="77777777" w:rsidR="00634F58" w:rsidRDefault="00634F58" w:rsidP="00634F58">
      <w:pPr>
        <w:rPr>
          <w:b/>
        </w:rPr>
      </w:pPr>
      <w:r w:rsidRPr="00800420">
        <w:rPr>
          <w:b/>
        </w:rPr>
        <w:t>Conclusion</w:t>
      </w:r>
    </w:p>
    <w:p w14:paraId="3558AC76" w14:textId="33571B7A" w:rsidR="00BC4B4E" w:rsidRDefault="00634F58" w:rsidP="00BC4B4E">
      <w:pPr>
        <w:rPr>
          <w:color w:val="000000" w:themeColor="text1"/>
        </w:rPr>
      </w:pPr>
      <w:r>
        <w:rPr>
          <w:color w:val="000000" w:themeColor="text1"/>
        </w:rPr>
        <w:tab/>
        <w:t>The discourse of the essay has recognised wages paid to employees and interest on loans as the only fixed cost involved for Harriot hotel.</w:t>
      </w:r>
      <w:r w:rsidR="00014A33">
        <w:rPr>
          <w:color w:val="000000" w:themeColor="text1"/>
        </w:rPr>
        <w:t xml:space="preserve"> Therefore, any type of reduction in these cost areas is not possible. The decision to not interfere with the fixed cost is due to their importance pertaining to the operations. For instance, any reduction in the wages paid to the employees will directly have a detrimental impact on the moral of the employees. </w:t>
      </w:r>
      <w:r w:rsidR="00E5511D">
        <w:rPr>
          <w:color w:val="000000" w:themeColor="text1"/>
        </w:rPr>
        <w:t>Therefore, any form</w:t>
      </w:r>
      <w:r w:rsidR="00014A33">
        <w:rPr>
          <w:color w:val="000000" w:themeColor="text1"/>
        </w:rPr>
        <w:t xml:space="preserve"> of </w:t>
      </w:r>
      <w:r w:rsidR="00CD24B0">
        <w:rPr>
          <w:color w:val="000000" w:themeColor="text1"/>
        </w:rPr>
        <w:t>adjustment in this</w:t>
      </w:r>
      <w:r w:rsidR="00014A33">
        <w:rPr>
          <w:color w:val="000000" w:themeColor="text1"/>
        </w:rPr>
        <w:t xml:space="preserve"> cost will lead to attrition. On a similar note, the interest on loan is charged by the bank and therefore no reduction is possible on the same.</w:t>
      </w:r>
      <w:r w:rsidR="00B355C9">
        <w:rPr>
          <w:color w:val="000000" w:themeColor="text1"/>
        </w:rPr>
        <w:t xml:space="preserve"> </w:t>
      </w:r>
      <w:r>
        <w:rPr>
          <w:color w:val="000000" w:themeColor="text1"/>
        </w:rPr>
        <w:t>The remaining cost components</w:t>
      </w:r>
      <w:r w:rsidR="00014A33">
        <w:rPr>
          <w:color w:val="000000" w:themeColor="text1"/>
        </w:rPr>
        <w:t xml:space="preserve"> such as advertising cost, cleaning supplies, housekeeping, customer discount, wages and stationery comprises of the total variable cost for the hotel.</w:t>
      </w:r>
      <w:r w:rsidR="00525C2F">
        <w:rPr>
          <w:color w:val="000000" w:themeColor="text1"/>
        </w:rPr>
        <w:t xml:space="preserve"> Based on the </w:t>
      </w:r>
      <w:r w:rsidR="009447A1">
        <w:rPr>
          <w:color w:val="000000" w:themeColor="text1"/>
        </w:rPr>
        <w:t>variable</w:t>
      </w:r>
      <w:r w:rsidR="00525C2F">
        <w:rPr>
          <w:color w:val="000000" w:themeColor="text1"/>
        </w:rPr>
        <w:t xml:space="preserve"> cost items, advertising and stationeries </w:t>
      </w:r>
      <w:r w:rsidR="00D94938">
        <w:rPr>
          <w:color w:val="000000" w:themeColor="text1"/>
        </w:rPr>
        <w:t xml:space="preserve">are </w:t>
      </w:r>
      <w:r w:rsidR="00525C2F">
        <w:rPr>
          <w:color w:val="000000" w:themeColor="text1"/>
        </w:rPr>
        <w:t xml:space="preserve">identified as the most </w:t>
      </w:r>
      <w:r w:rsidR="00525C2F">
        <w:rPr>
          <w:color w:val="000000" w:themeColor="text1"/>
        </w:rPr>
        <w:lastRenderedPageBreak/>
        <w:t xml:space="preserve">important ones. As a result of this, the management can only consider a maximum reduction of up to 1% for stationaries and 2% for costs borne as a result of advertising. Along with this, the cost related to cleaning supplies and housekeeping can be reduced to a maximum of 3%. The total customer discounts can be reduced only up to 5% and this is the area where maximum cost can be reduced to compensate the </w:t>
      </w:r>
      <w:r w:rsidR="00AB4694">
        <w:rPr>
          <w:color w:val="000000" w:themeColor="text1"/>
        </w:rPr>
        <w:t xml:space="preserve">loss pertaining to </w:t>
      </w:r>
      <w:r w:rsidR="00525C2F">
        <w:rPr>
          <w:color w:val="000000" w:themeColor="text1"/>
        </w:rPr>
        <w:t xml:space="preserve">hard-hit cities of the </w:t>
      </w:r>
      <w:r w:rsidR="009447A1">
        <w:rPr>
          <w:color w:val="000000" w:themeColor="text1"/>
        </w:rPr>
        <w:t>UK</w:t>
      </w:r>
      <w:r w:rsidR="00525C2F">
        <w:rPr>
          <w:color w:val="000000" w:themeColor="text1"/>
        </w:rPr>
        <w:t xml:space="preserve"> and Europe</w:t>
      </w:r>
      <w:r w:rsidR="00BC4B4E">
        <w:rPr>
          <w:color w:val="000000" w:themeColor="text1"/>
        </w:rPr>
        <w:t>.</w:t>
      </w:r>
    </w:p>
    <w:p w14:paraId="2FC5D7C3" w14:textId="77777777" w:rsidR="00BC4B4E" w:rsidRPr="00BC4B4E" w:rsidRDefault="00BC4B4E" w:rsidP="00BC4B4E">
      <w:pPr>
        <w:rPr>
          <w:color w:val="000000" w:themeColor="text1"/>
        </w:rPr>
      </w:pPr>
    </w:p>
    <w:p w14:paraId="291BFBAC" w14:textId="77777777" w:rsidR="00BC4B4E" w:rsidRDefault="00BC4B4E" w:rsidP="00AC1661">
      <w:pPr>
        <w:pStyle w:val="Heading1"/>
      </w:pPr>
    </w:p>
    <w:p w14:paraId="3DBF48AA" w14:textId="77777777" w:rsidR="00BC4B4E" w:rsidRDefault="00BC4B4E" w:rsidP="00AC1661">
      <w:pPr>
        <w:pStyle w:val="Heading1"/>
      </w:pPr>
    </w:p>
    <w:p w14:paraId="1282FC39" w14:textId="77777777" w:rsidR="00BC4B4E" w:rsidRDefault="00BC4B4E" w:rsidP="00AC1661">
      <w:pPr>
        <w:pStyle w:val="Heading1"/>
      </w:pPr>
    </w:p>
    <w:p w14:paraId="5D4D176E" w14:textId="77777777" w:rsidR="00BC4B4E" w:rsidRDefault="00BC4B4E" w:rsidP="00AC1661">
      <w:pPr>
        <w:pStyle w:val="Heading1"/>
      </w:pPr>
    </w:p>
    <w:p w14:paraId="25DC2429" w14:textId="77777777" w:rsidR="00BC4B4E" w:rsidRDefault="00BC4B4E" w:rsidP="00AC1661">
      <w:pPr>
        <w:pStyle w:val="Heading1"/>
      </w:pPr>
    </w:p>
    <w:p w14:paraId="5D9D1A13" w14:textId="77777777" w:rsidR="00BC4B4E" w:rsidRDefault="00BC4B4E" w:rsidP="00AC1661">
      <w:pPr>
        <w:pStyle w:val="Heading1"/>
      </w:pPr>
    </w:p>
    <w:p w14:paraId="6E5B29AA" w14:textId="53F30F68" w:rsidR="00BC4B4E" w:rsidRDefault="00BC4B4E" w:rsidP="00AC1661">
      <w:pPr>
        <w:pStyle w:val="Heading1"/>
      </w:pPr>
    </w:p>
    <w:p w14:paraId="2EA2F222" w14:textId="3C2FC4AA" w:rsidR="00BC4B4E" w:rsidRDefault="00BC4B4E" w:rsidP="00BC4B4E"/>
    <w:p w14:paraId="0F987E16" w14:textId="77777777" w:rsidR="00BC4B4E" w:rsidRPr="00BC4B4E" w:rsidRDefault="00BC4B4E" w:rsidP="00BC4B4E"/>
    <w:p w14:paraId="62B2ED1E" w14:textId="222486FC" w:rsidR="00AC1661" w:rsidRDefault="00AC1661" w:rsidP="00AC1661">
      <w:pPr>
        <w:pStyle w:val="Heading1"/>
      </w:pPr>
      <w:r>
        <w:lastRenderedPageBreak/>
        <w:t>References</w:t>
      </w:r>
    </w:p>
    <w:p w14:paraId="0AE63E49" w14:textId="77777777" w:rsidR="00AC1661" w:rsidRDefault="00AC1661" w:rsidP="00AC1661">
      <w:proofErr w:type="spellStart"/>
      <w:r w:rsidRPr="004632D2">
        <w:t>Alavipour</w:t>
      </w:r>
      <w:proofErr w:type="spellEnd"/>
      <w:r w:rsidRPr="004632D2">
        <w:t xml:space="preserve">, S.R. and </w:t>
      </w:r>
      <w:proofErr w:type="spellStart"/>
      <w:r w:rsidRPr="004632D2">
        <w:t>Arditi</w:t>
      </w:r>
      <w:proofErr w:type="spellEnd"/>
      <w:r w:rsidRPr="004632D2">
        <w:t>, D., 2018. Optimizing financing cost in construction projects with fixed project duration. </w:t>
      </w:r>
      <w:r w:rsidRPr="004632D2">
        <w:rPr>
          <w:i/>
          <w:iCs/>
        </w:rPr>
        <w:t>Journal of Construction Engineering and Management</w:t>
      </w:r>
      <w:r w:rsidRPr="004632D2">
        <w:t>, </w:t>
      </w:r>
      <w:r w:rsidRPr="004632D2">
        <w:rPr>
          <w:i/>
          <w:iCs/>
        </w:rPr>
        <w:t>144</w:t>
      </w:r>
      <w:r w:rsidRPr="004632D2">
        <w:t>(4), p.04018012.</w:t>
      </w:r>
    </w:p>
    <w:p w14:paraId="3DF03B87" w14:textId="77777777" w:rsidR="00AC1661" w:rsidRDefault="00AC1661" w:rsidP="00AC1661">
      <w:r w:rsidRPr="004632D2">
        <w:t xml:space="preserve">An, Q., Wang, P., </w:t>
      </w:r>
      <w:proofErr w:type="spellStart"/>
      <w:r w:rsidRPr="004632D2">
        <w:t>Emrouznejad</w:t>
      </w:r>
      <w:proofErr w:type="spellEnd"/>
      <w:r w:rsidRPr="004632D2">
        <w:t>, A. and Hu, J., 2020. Fixed cost allocation based on the principle of efficiency invariance in two-stage systems. </w:t>
      </w:r>
      <w:r w:rsidRPr="004632D2">
        <w:rPr>
          <w:i/>
          <w:iCs/>
        </w:rPr>
        <w:t>European Journal of Operational Research</w:t>
      </w:r>
      <w:r w:rsidRPr="004632D2">
        <w:t>, </w:t>
      </w:r>
      <w:r w:rsidRPr="004632D2">
        <w:rPr>
          <w:i/>
          <w:iCs/>
        </w:rPr>
        <w:t>283</w:t>
      </w:r>
      <w:r w:rsidRPr="004632D2">
        <w:t>(2), pp.662-675.</w:t>
      </w:r>
    </w:p>
    <w:p w14:paraId="44288F0C" w14:textId="77777777" w:rsidR="00AC1661" w:rsidRDefault="00AC1661" w:rsidP="00AC1661">
      <w:r w:rsidRPr="003F7D32">
        <w:t>Bent, K. and Caplan, D., 2017. Lattice allocations: A better way to do cost allocations. </w:t>
      </w:r>
      <w:r w:rsidRPr="004632D2">
        <w:rPr>
          <w:i/>
          <w:iCs/>
        </w:rPr>
        <w:t>Advances in accounting</w:t>
      </w:r>
      <w:r w:rsidRPr="003F7D32">
        <w:t>, </w:t>
      </w:r>
      <w:r w:rsidRPr="004632D2">
        <w:rPr>
          <w:i/>
          <w:iCs/>
        </w:rPr>
        <w:t>38</w:t>
      </w:r>
      <w:r w:rsidRPr="003F7D32">
        <w:t>, pp.99-105.</w:t>
      </w:r>
    </w:p>
    <w:p w14:paraId="63049381" w14:textId="77777777" w:rsidR="00AC1661" w:rsidRDefault="00AC1661" w:rsidP="00AC1661">
      <w:proofErr w:type="spellStart"/>
      <w:r w:rsidRPr="003F7D32">
        <w:t>Johantri</w:t>
      </w:r>
      <w:proofErr w:type="spellEnd"/>
      <w:r w:rsidRPr="003F7D32">
        <w:t>, B., 2020. BREAK EVENT POINT ANALYSIS OF STANDARD INPUT COST OF PUBLIC SERVICE AGENCY’S COMPUTER ASSISTED TEST ACTIVITIES (CASE STUDY IN POLYTECHNIC OF XXX YEAR 2019). </w:t>
      </w:r>
      <w:r w:rsidRPr="004632D2">
        <w:rPr>
          <w:i/>
          <w:iCs/>
        </w:rPr>
        <w:t>Journal of Applied Business Administration</w:t>
      </w:r>
      <w:r w:rsidRPr="003F7D32">
        <w:t>, </w:t>
      </w:r>
      <w:r w:rsidRPr="004632D2">
        <w:rPr>
          <w:i/>
          <w:iCs/>
        </w:rPr>
        <w:t>4</w:t>
      </w:r>
      <w:r w:rsidRPr="003F7D32">
        <w:t>(1), pp.50-57.</w:t>
      </w:r>
    </w:p>
    <w:p w14:paraId="419B9507" w14:textId="77777777" w:rsidR="00AC1661" w:rsidRDefault="00AC1661" w:rsidP="00AC1661">
      <w:r w:rsidRPr="004632D2">
        <w:t xml:space="preserve">McLeod, M., Osborne, M.A. and Roberts, S.J., 2017. Practical </w:t>
      </w:r>
      <w:proofErr w:type="spellStart"/>
      <w:r w:rsidRPr="004632D2">
        <w:t>bayesian</w:t>
      </w:r>
      <w:proofErr w:type="spellEnd"/>
      <w:r w:rsidRPr="004632D2">
        <w:t xml:space="preserve"> optimization for variable cost objectives. </w:t>
      </w:r>
      <w:proofErr w:type="spellStart"/>
      <w:r w:rsidRPr="004632D2">
        <w:rPr>
          <w:i/>
          <w:iCs/>
        </w:rPr>
        <w:t>arXiv</w:t>
      </w:r>
      <w:proofErr w:type="spellEnd"/>
      <w:r w:rsidRPr="004632D2">
        <w:rPr>
          <w:i/>
          <w:iCs/>
        </w:rPr>
        <w:t xml:space="preserve"> preprint arXiv:1703.04335</w:t>
      </w:r>
      <w:r w:rsidRPr="004632D2">
        <w:t>.</w:t>
      </w:r>
    </w:p>
    <w:p w14:paraId="08B10D3B" w14:textId="77777777" w:rsidR="00AC1661" w:rsidRDefault="00AC1661" w:rsidP="00AC1661">
      <w:r w:rsidRPr="003F7D32">
        <w:t>Mohr, Z. ed., 2017. </w:t>
      </w:r>
      <w:r w:rsidRPr="004632D2">
        <w:rPr>
          <w:i/>
          <w:iCs/>
        </w:rPr>
        <w:t>Cost accounting in government: Theory and applications</w:t>
      </w:r>
      <w:r w:rsidRPr="003F7D32">
        <w:t>. Taylor &amp; Francis.</w:t>
      </w:r>
    </w:p>
    <w:p w14:paraId="0B554231" w14:textId="77777777" w:rsidR="00AC1661" w:rsidRDefault="00AC1661" w:rsidP="00AC1661">
      <w:proofErr w:type="spellStart"/>
      <w:r w:rsidRPr="004632D2">
        <w:t>Nasution</w:t>
      </w:r>
      <w:proofErr w:type="spellEnd"/>
      <w:r w:rsidRPr="004632D2">
        <w:t xml:space="preserve">, A.A. and </w:t>
      </w:r>
      <w:proofErr w:type="spellStart"/>
      <w:r w:rsidRPr="004632D2">
        <w:t>Siregar</w:t>
      </w:r>
      <w:proofErr w:type="spellEnd"/>
      <w:r w:rsidRPr="004632D2">
        <w:t>, I., 2018, September. Determination of production cost with activity based costing at PT. XYZ. In </w:t>
      </w:r>
      <w:r w:rsidRPr="004632D2">
        <w:rPr>
          <w:i/>
          <w:iCs/>
        </w:rPr>
        <w:t>IOP Conference Series: Materials Science and Engineering</w:t>
      </w:r>
      <w:r w:rsidRPr="004632D2">
        <w:t> (Vol. 420, No. 1, p. 012043). IOP Publishing.</w:t>
      </w:r>
    </w:p>
    <w:p w14:paraId="60D8F64A" w14:textId="77777777" w:rsidR="00AC1661" w:rsidRDefault="00AC1661" w:rsidP="00AC1661">
      <w:proofErr w:type="spellStart"/>
      <w:r w:rsidRPr="003F7D32">
        <w:t>Novák</w:t>
      </w:r>
      <w:proofErr w:type="spellEnd"/>
      <w:r w:rsidRPr="003F7D32">
        <w:t xml:space="preserve">, P., </w:t>
      </w:r>
      <w:proofErr w:type="spellStart"/>
      <w:r w:rsidRPr="003F7D32">
        <w:t>Dvorský</w:t>
      </w:r>
      <w:proofErr w:type="spellEnd"/>
      <w:r w:rsidRPr="003F7D32">
        <w:t xml:space="preserve">, J., </w:t>
      </w:r>
      <w:proofErr w:type="spellStart"/>
      <w:r w:rsidRPr="003F7D32">
        <w:t>Popesko</w:t>
      </w:r>
      <w:proofErr w:type="spellEnd"/>
      <w:r w:rsidRPr="003F7D32">
        <w:t xml:space="preserve">, B. and Strouhal, J., 2017. Analysis of overhead cost </w:t>
      </w:r>
      <w:proofErr w:type="spellStart"/>
      <w:r w:rsidRPr="003F7D32">
        <w:t>behavior</w:t>
      </w:r>
      <w:proofErr w:type="spellEnd"/>
      <w:r w:rsidRPr="003F7D32">
        <w:t>: case study on decision-making approach. </w:t>
      </w:r>
      <w:r w:rsidRPr="004632D2">
        <w:rPr>
          <w:i/>
          <w:iCs/>
        </w:rPr>
        <w:t>Journal of International Studies</w:t>
      </w:r>
      <w:r w:rsidRPr="003F7D32">
        <w:t>.</w:t>
      </w:r>
    </w:p>
    <w:p w14:paraId="7E6D6054" w14:textId="77777777" w:rsidR="00AC1661" w:rsidRDefault="00AC1661" w:rsidP="00AC1661">
      <w:proofErr w:type="spellStart"/>
      <w:r w:rsidRPr="003F7D32">
        <w:lastRenderedPageBreak/>
        <w:t>Pagare</w:t>
      </w:r>
      <w:proofErr w:type="spellEnd"/>
      <w:r w:rsidRPr="003F7D32">
        <w:t>, S., 2020. IMPORTANT DEFINITIONS COST &amp; WORKS ACCOUNTING-PAPER I.</w:t>
      </w:r>
    </w:p>
    <w:p w14:paraId="4515627D" w14:textId="77777777" w:rsidR="00AC1661" w:rsidRDefault="00AC1661" w:rsidP="00AC1661">
      <w:r w:rsidRPr="003F7D32">
        <w:t>Ren, J. and Guo, S., 2019. Research on the Cost Accounting under the Transformation of Manufacturing Industry.</w:t>
      </w:r>
    </w:p>
    <w:p w14:paraId="60702582" w14:textId="77777777" w:rsidR="00AC1661" w:rsidRDefault="00AC1661" w:rsidP="00AC1661">
      <w:proofErr w:type="spellStart"/>
      <w:r w:rsidRPr="003F7D32">
        <w:t>Tarzibashi</w:t>
      </w:r>
      <w:proofErr w:type="spellEnd"/>
      <w:r w:rsidRPr="003F7D32">
        <w:t>, O.F.F., 2017. </w:t>
      </w:r>
      <w:r w:rsidRPr="004632D2">
        <w:rPr>
          <w:i/>
          <w:iCs/>
        </w:rPr>
        <w:t>The Impact of the Magnitude of Overhead Costs on the Difference between ABC and TDABC Systems</w:t>
      </w:r>
      <w:r w:rsidRPr="003F7D32">
        <w:t> (Master's thesis).</w:t>
      </w:r>
    </w:p>
    <w:p w14:paraId="495BCCBC" w14:textId="77777777" w:rsidR="00AC1661" w:rsidRDefault="00AC1661" w:rsidP="00AC1661">
      <w:r w:rsidRPr="003F7D32">
        <w:t xml:space="preserve">Yadav, R.R. and </w:t>
      </w:r>
      <w:proofErr w:type="spellStart"/>
      <w:r w:rsidRPr="003F7D32">
        <w:t>Avhad</w:t>
      </w:r>
      <w:proofErr w:type="spellEnd"/>
      <w:r w:rsidRPr="003F7D32">
        <w:t>, S.M., 2020. INTRODUCTION TO COST AND MANAGERIAL ACCOUNTING.</w:t>
      </w:r>
    </w:p>
    <w:p w14:paraId="687C211B" w14:textId="597170FC" w:rsidR="00AC1661" w:rsidRDefault="00BC4B4E" w:rsidP="00EB108E">
      <w:pPr>
        <w:rPr>
          <w:b/>
          <w:bCs/>
          <w:color w:val="000000" w:themeColor="text1"/>
        </w:rPr>
      </w:pPr>
      <w:r w:rsidRPr="00BC4B4E">
        <w:rPr>
          <w:b/>
          <w:bCs/>
          <w:color w:val="000000" w:themeColor="text1"/>
        </w:rPr>
        <w:t>Online sources:</w:t>
      </w:r>
    </w:p>
    <w:p w14:paraId="70085FAA" w14:textId="6AE6E9D8" w:rsidR="00BC4B4E" w:rsidRDefault="00223E1D" w:rsidP="00EB108E">
      <w:pPr>
        <w:rPr>
          <w:color w:val="000000" w:themeColor="text1"/>
        </w:rPr>
      </w:pPr>
      <w:hyperlink r:id="rId9" w:history="1">
        <w:r w:rsidRPr="004539C2">
          <w:rPr>
            <w:rStyle w:val="Hyperlink"/>
          </w:rPr>
          <w:t>https://www.freshbooks.com/hub/accounting/management-accounting</w:t>
        </w:r>
      </w:hyperlink>
    </w:p>
    <w:p w14:paraId="134368D4" w14:textId="5B361084" w:rsidR="00223E1D" w:rsidRPr="00223E1D" w:rsidRDefault="00223E1D" w:rsidP="00EB108E">
      <w:pPr>
        <w:rPr>
          <w:color w:val="000000" w:themeColor="text1"/>
        </w:rPr>
      </w:pPr>
      <w:hyperlink r:id="rId10" w:history="1">
        <w:r w:rsidRPr="004539C2">
          <w:rPr>
            <w:rStyle w:val="Hyperlink"/>
          </w:rPr>
          <w:t>https://www.investopedia.com/articles/professionals/041713/what-management-accountants-do.asp</w:t>
        </w:r>
      </w:hyperlink>
      <w:r>
        <w:rPr>
          <w:color w:val="000000" w:themeColor="text1"/>
        </w:rPr>
        <w:t xml:space="preserve"> </w:t>
      </w:r>
    </w:p>
    <w:sectPr w:rsidR="00223E1D" w:rsidRPr="00223E1D" w:rsidSect="00643979">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900" w:left="14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AFA9A7" w14:textId="77777777" w:rsidR="007B4573" w:rsidRDefault="007B4573" w:rsidP="00F100E1">
      <w:pPr>
        <w:spacing w:after="0" w:line="240" w:lineRule="auto"/>
      </w:pPr>
      <w:r>
        <w:separator/>
      </w:r>
    </w:p>
  </w:endnote>
  <w:endnote w:type="continuationSeparator" w:id="0">
    <w:p w14:paraId="4DB31148" w14:textId="77777777" w:rsidR="007B4573" w:rsidRDefault="007B4573" w:rsidP="00F10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CE207" w14:textId="77777777" w:rsidR="006034A5" w:rsidRDefault="006034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AB000" w14:textId="77777777" w:rsidR="006034A5" w:rsidRDefault="006034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B2AC4" w14:textId="77777777" w:rsidR="006034A5" w:rsidRDefault="00603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102E8" w14:textId="77777777" w:rsidR="007B4573" w:rsidRDefault="007B4573" w:rsidP="00F100E1">
      <w:pPr>
        <w:spacing w:after="0" w:line="240" w:lineRule="auto"/>
      </w:pPr>
      <w:r>
        <w:separator/>
      </w:r>
    </w:p>
  </w:footnote>
  <w:footnote w:type="continuationSeparator" w:id="0">
    <w:p w14:paraId="025BB433" w14:textId="77777777" w:rsidR="007B4573" w:rsidRDefault="007B4573" w:rsidP="00F10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F803A" w14:textId="77777777" w:rsidR="001E7D8D" w:rsidRDefault="001E7D8D">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7E52E" w14:textId="77777777" w:rsidR="001E7D8D" w:rsidRDefault="007B4573">
    <w:pPr>
      <w:pStyle w:val="Header"/>
    </w:pPr>
    <w:r>
      <w:rPr>
        <w:noProof/>
        <w:lang w:val="en-IN" w:eastAsia="en-IN"/>
      </w:rPr>
      <w:pict w14:anchorId="345669B0">
        <v:shapetype id="_x0000_t202" coordsize="21600,21600" o:spt="202" path="m,l,21600r21600,l21600,xe">
          <v:stroke joinstyle="miter"/>
          <v:path gradientshapeok="t" o:connecttype="rect"/>
        </v:shapetype>
        <v:shape id="Text Box 2" o:spid="_x0000_s2050" type="#_x0000_t202" style="position:absolute;left:0;text-align:left;margin-left:-34.35pt;margin-top:17.15pt;width:451.1pt;height:13.8pt;z-index:251661312;visibility:visible;mso-width-percent:1000;mso-position-horizontal-relative:margin;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" o:allowincell="f" filled="f" stroked="f">
          <v:textbox style="mso-fit-shape-to-text:t" inset=",0,,0">
            <w:txbxContent>
              <w:p w14:paraId="031E90CC" w14:textId="77777777" w:rsidR="001E7D8D" w:rsidRPr="00F019C9" w:rsidRDefault="00215639" w:rsidP="00167B9E">
                <w:pPr>
                  <w:pStyle w:val="Header"/>
                  <w:jc w:val="left"/>
                </w:pPr>
                <w:r w:rsidRPr="00215639">
                  <w:t>MANAGEMENT ACCOUNTING</w:t>
                </w:r>
              </w:p>
            </w:txbxContent>
          </v:textbox>
          <w10:wrap anchorx="margin" anchory="margin"/>
        </v:shape>
      </w:pict>
    </w:r>
    <w:r>
      <w:rPr>
        <w:noProof/>
        <w:lang w:val="en-IN" w:eastAsia="en-IN"/>
      </w:rPr>
      <w:pict w14:anchorId="7221509D">
        <v:shape id="Text Box 1" o:spid="_x0000_s2049" type="#_x0000_t202" style="position:absolute;left:0;text-align:left;margin-left:196.15pt;margin-top:0;width:71.75pt;height:13.8pt;z-index:251660288;visibility:visible;mso-width-percent:100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" o:allowincell="f" fillcolor="#4f81bd [3204]" stroked="f">
          <v:textbox style="mso-fit-shape-to-text:t" inset=",0,,0">
            <w:txbxContent>
              <w:p w14:paraId="5A5FA20B" w14:textId="77777777" w:rsidR="001E7D8D" w:rsidRDefault="00D33E16">
                <w:pPr>
                  <w:spacing w:after="0" w:line="240" w:lineRule="auto"/>
                  <w:rPr>
                    <w:color w:val="FFFFFF" w:themeColor="background1"/>
                  </w:rPr>
                </w:pPr>
                <w:r>
                  <w:rPr>
                    <w:noProof/>
                    <w:color w:val="FFFFFF" w:themeColor="background1"/>
                  </w:rPr>
                  <w:fldChar w:fldCharType="begin"/>
                </w:r>
                <w:r w:rsidR="001E7D8D">
                  <w:rPr>
                    <w:noProof/>
                    <w:color w:val="FFFFFF" w:themeColor="background1"/>
                  </w:rPr>
                  <w:instrText xml:space="preserve"> PAGE   \* MERGEFORMAT </w:instrText>
                </w:r>
                <w:r>
                  <w:rPr>
                    <w:noProof/>
                    <w:color w:val="FFFFFF" w:themeColor="background1"/>
                  </w:rPr>
                  <w:fldChar w:fldCharType="separate"/>
                </w:r>
                <w:r w:rsidR="00784FE5">
                  <w:rPr>
                    <w:noProof/>
                    <w:color w:val="FFFFFF" w:themeColor="background1"/>
                  </w:rPr>
                  <w:t>3</w:t>
                </w:r>
                <w:r>
                  <w:rPr>
                    <w:noProof/>
                    <w:color w:val="FFFFFF" w:themeColor="background1"/>
                  </w:rPr>
                  <w:fldChar w:fldCharType="end"/>
                </w:r>
              </w:p>
            </w:txbxContent>
          </v:textbox>
          <w10:wrap anchorx="page"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39434" w14:textId="77777777" w:rsidR="00F50B0F" w:rsidRDefault="00F50B0F" w:rsidP="00002EA6">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FE697F"/>
    <w:multiLevelType w:val="multilevel"/>
    <w:tmpl w:val="01F0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CwMDU3NTQxsTQxMjRW0lEKTi0uzszPAykwrAUANq/liCwAAAA="/>
    <w:docVar w:name="dgnword-docGUID" w:val="{9E20036A-ACAB-48EF-92A2-BA626FB46E6C}"/>
    <w:docVar w:name="dgnword-eventsink" w:val="538803776"/>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CA182A"/>
    <w:rsid w:val="0000017F"/>
    <w:rsid w:val="000002DC"/>
    <w:rsid w:val="00000B35"/>
    <w:rsid w:val="0000121E"/>
    <w:rsid w:val="00001F39"/>
    <w:rsid w:val="00001FA7"/>
    <w:rsid w:val="00002476"/>
    <w:rsid w:val="00002EA6"/>
    <w:rsid w:val="000036B8"/>
    <w:rsid w:val="00003738"/>
    <w:rsid w:val="000037F5"/>
    <w:rsid w:val="00003EC2"/>
    <w:rsid w:val="00004441"/>
    <w:rsid w:val="000049AB"/>
    <w:rsid w:val="00005970"/>
    <w:rsid w:val="000062B3"/>
    <w:rsid w:val="0000669F"/>
    <w:rsid w:val="00006842"/>
    <w:rsid w:val="0000696A"/>
    <w:rsid w:val="0000722C"/>
    <w:rsid w:val="00007F8D"/>
    <w:rsid w:val="00010967"/>
    <w:rsid w:val="00010F1B"/>
    <w:rsid w:val="00011388"/>
    <w:rsid w:val="00012A71"/>
    <w:rsid w:val="00012AE2"/>
    <w:rsid w:val="00014A33"/>
    <w:rsid w:val="000153BA"/>
    <w:rsid w:val="000157AB"/>
    <w:rsid w:val="00015BCD"/>
    <w:rsid w:val="00015BE4"/>
    <w:rsid w:val="00016647"/>
    <w:rsid w:val="0001685D"/>
    <w:rsid w:val="000169CF"/>
    <w:rsid w:val="00017281"/>
    <w:rsid w:val="00021450"/>
    <w:rsid w:val="000215DD"/>
    <w:rsid w:val="00022006"/>
    <w:rsid w:val="000220C4"/>
    <w:rsid w:val="00022A82"/>
    <w:rsid w:val="00023755"/>
    <w:rsid w:val="00023A8B"/>
    <w:rsid w:val="000249A5"/>
    <w:rsid w:val="00024F01"/>
    <w:rsid w:val="00025DA8"/>
    <w:rsid w:val="00026A09"/>
    <w:rsid w:val="00027D82"/>
    <w:rsid w:val="000311D2"/>
    <w:rsid w:val="00031AE0"/>
    <w:rsid w:val="00031B05"/>
    <w:rsid w:val="00031B5E"/>
    <w:rsid w:val="00031C0A"/>
    <w:rsid w:val="000323DF"/>
    <w:rsid w:val="00032947"/>
    <w:rsid w:val="00032B63"/>
    <w:rsid w:val="000330D3"/>
    <w:rsid w:val="00033881"/>
    <w:rsid w:val="00034141"/>
    <w:rsid w:val="000341EB"/>
    <w:rsid w:val="00034D1E"/>
    <w:rsid w:val="00035C26"/>
    <w:rsid w:val="00035E84"/>
    <w:rsid w:val="00036D0A"/>
    <w:rsid w:val="00036FAB"/>
    <w:rsid w:val="000371F3"/>
    <w:rsid w:val="00040B61"/>
    <w:rsid w:val="00040C1C"/>
    <w:rsid w:val="00040D9B"/>
    <w:rsid w:val="00040E32"/>
    <w:rsid w:val="00041337"/>
    <w:rsid w:val="0004164A"/>
    <w:rsid w:val="0004245F"/>
    <w:rsid w:val="00042E52"/>
    <w:rsid w:val="00043120"/>
    <w:rsid w:val="0004392A"/>
    <w:rsid w:val="00043DB6"/>
    <w:rsid w:val="000442EB"/>
    <w:rsid w:val="0004566E"/>
    <w:rsid w:val="00046144"/>
    <w:rsid w:val="00046356"/>
    <w:rsid w:val="00046D63"/>
    <w:rsid w:val="000472F3"/>
    <w:rsid w:val="00047328"/>
    <w:rsid w:val="000473A8"/>
    <w:rsid w:val="0004788B"/>
    <w:rsid w:val="00047D7F"/>
    <w:rsid w:val="00047EBA"/>
    <w:rsid w:val="00050947"/>
    <w:rsid w:val="00050AEB"/>
    <w:rsid w:val="00052216"/>
    <w:rsid w:val="0005249F"/>
    <w:rsid w:val="000534BE"/>
    <w:rsid w:val="00053A6A"/>
    <w:rsid w:val="000543BD"/>
    <w:rsid w:val="000545C4"/>
    <w:rsid w:val="0005471F"/>
    <w:rsid w:val="00054BB3"/>
    <w:rsid w:val="00055595"/>
    <w:rsid w:val="0005568F"/>
    <w:rsid w:val="000558BA"/>
    <w:rsid w:val="000558C4"/>
    <w:rsid w:val="00056B67"/>
    <w:rsid w:val="00056BCF"/>
    <w:rsid w:val="00056D20"/>
    <w:rsid w:val="00057138"/>
    <w:rsid w:val="000572B7"/>
    <w:rsid w:val="000603A4"/>
    <w:rsid w:val="0006143B"/>
    <w:rsid w:val="00061468"/>
    <w:rsid w:val="00061857"/>
    <w:rsid w:val="00061A50"/>
    <w:rsid w:val="0006299C"/>
    <w:rsid w:val="000629B4"/>
    <w:rsid w:val="00063BC1"/>
    <w:rsid w:val="00063C63"/>
    <w:rsid w:val="00064190"/>
    <w:rsid w:val="000641CF"/>
    <w:rsid w:val="000641D6"/>
    <w:rsid w:val="00064639"/>
    <w:rsid w:val="00064B43"/>
    <w:rsid w:val="00065127"/>
    <w:rsid w:val="0006549A"/>
    <w:rsid w:val="000663FF"/>
    <w:rsid w:val="0006693A"/>
    <w:rsid w:val="0006712E"/>
    <w:rsid w:val="00067656"/>
    <w:rsid w:val="00067A46"/>
    <w:rsid w:val="00067D90"/>
    <w:rsid w:val="00067FD3"/>
    <w:rsid w:val="000705DE"/>
    <w:rsid w:val="000714A3"/>
    <w:rsid w:val="0007251F"/>
    <w:rsid w:val="00072611"/>
    <w:rsid w:val="0007281E"/>
    <w:rsid w:val="00072B4E"/>
    <w:rsid w:val="00072FAF"/>
    <w:rsid w:val="00073111"/>
    <w:rsid w:val="0007340A"/>
    <w:rsid w:val="00074F0E"/>
    <w:rsid w:val="00076017"/>
    <w:rsid w:val="000765EF"/>
    <w:rsid w:val="00076B22"/>
    <w:rsid w:val="0007730D"/>
    <w:rsid w:val="00077636"/>
    <w:rsid w:val="00077DF8"/>
    <w:rsid w:val="00080D61"/>
    <w:rsid w:val="00081006"/>
    <w:rsid w:val="000810E7"/>
    <w:rsid w:val="0008171A"/>
    <w:rsid w:val="00081FA1"/>
    <w:rsid w:val="00082BBF"/>
    <w:rsid w:val="00082CAB"/>
    <w:rsid w:val="00082E11"/>
    <w:rsid w:val="000831C0"/>
    <w:rsid w:val="00084A43"/>
    <w:rsid w:val="00084E98"/>
    <w:rsid w:val="00084EBF"/>
    <w:rsid w:val="000857EA"/>
    <w:rsid w:val="00087290"/>
    <w:rsid w:val="00090A7F"/>
    <w:rsid w:val="00090A9F"/>
    <w:rsid w:val="00091E34"/>
    <w:rsid w:val="000926EE"/>
    <w:rsid w:val="00093DC6"/>
    <w:rsid w:val="00093F5E"/>
    <w:rsid w:val="000958BE"/>
    <w:rsid w:val="00096D36"/>
    <w:rsid w:val="000977FE"/>
    <w:rsid w:val="000A054E"/>
    <w:rsid w:val="000A077B"/>
    <w:rsid w:val="000A08C1"/>
    <w:rsid w:val="000A0961"/>
    <w:rsid w:val="000A17C8"/>
    <w:rsid w:val="000A227A"/>
    <w:rsid w:val="000A26F4"/>
    <w:rsid w:val="000A2A59"/>
    <w:rsid w:val="000A2F51"/>
    <w:rsid w:val="000A344F"/>
    <w:rsid w:val="000A3BF1"/>
    <w:rsid w:val="000A3F0B"/>
    <w:rsid w:val="000A4FA1"/>
    <w:rsid w:val="000A4FDD"/>
    <w:rsid w:val="000A572F"/>
    <w:rsid w:val="000A592A"/>
    <w:rsid w:val="000A7B4F"/>
    <w:rsid w:val="000A7D6C"/>
    <w:rsid w:val="000B0A90"/>
    <w:rsid w:val="000B1D8D"/>
    <w:rsid w:val="000B262B"/>
    <w:rsid w:val="000B30D5"/>
    <w:rsid w:val="000B385E"/>
    <w:rsid w:val="000B3CDB"/>
    <w:rsid w:val="000B3D7B"/>
    <w:rsid w:val="000B45F0"/>
    <w:rsid w:val="000B462B"/>
    <w:rsid w:val="000B4C66"/>
    <w:rsid w:val="000C00B4"/>
    <w:rsid w:val="000C0B07"/>
    <w:rsid w:val="000C0CC6"/>
    <w:rsid w:val="000C1765"/>
    <w:rsid w:val="000C1AC0"/>
    <w:rsid w:val="000C1B5E"/>
    <w:rsid w:val="000C1C8C"/>
    <w:rsid w:val="000C1F58"/>
    <w:rsid w:val="000C2162"/>
    <w:rsid w:val="000C309E"/>
    <w:rsid w:val="000C343C"/>
    <w:rsid w:val="000C3851"/>
    <w:rsid w:val="000C3C24"/>
    <w:rsid w:val="000C3D0B"/>
    <w:rsid w:val="000C3F6A"/>
    <w:rsid w:val="000C48C9"/>
    <w:rsid w:val="000C5D8C"/>
    <w:rsid w:val="000C60C6"/>
    <w:rsid w:val="000C6566"/>
    <w:rsid w:val="000C75FF"/>
    <w:rsid w:val="000C7644"/>
    <w:rsid w:val="000C7EA3"/>
    <w:rsid w:val="000D0276"/>
    <w:rsid w:val="000D02B5"/>
    <w:rsid w:val="000D0EA3"/>
    <w:rsid w:val="000D0F3D"/>
    <w:rsid w:val="000D0F65"/>
    <w:rsid w:val="000D17F0"/>
    <w:rsid w:val="000D2243"/>
    <w:rsid w:val="000D2952"/>
    <w:rsid w:val="000D40DE"/>
    <w:rsid w:val="000D46A5"/>
    <w:rsid w:val="000D573E"/>
    <w:rsid w:val="000D60B6"/>
    <w:rsid w:val="000D627F"/>
    <w:rsid w:val="000D687B"/>
    <w:rsid w:val="000D6F51"/>
    <w:rsid w:val="000D7A10"/>
    <w:rsid w:val="000D7E95"/>
    <w:rsid w:val="000E0915"/>
    <w:rsid w:val="000E1447"/>
    <w:rsid w:val="000E1F77"/>
    <w:rsid w:val="000E21ED"/>
    <w:rsid w:val="000E4D0B"/>
    <w:rsid w:val="000E4E36"/>
    <w:rsid w:val="000E54D9"/>
    <w:rsid w:val="000E67FC"/>
    <w:rsid w:val="000E6F6E"/>
    <w:rsid w:val="000E7C84"/>
    <w:rsid w:val="000E7D23"/>
    <w:rsid w:val="000F08AE"/>
    <w:rsid w:val="000F1A93"/>
    <w:rsid w:val="000F1E26"/>
    <w:rsid w:val="000F2536"/>
    <w:rsid w:val="000F2695"/>
    <w:rsid w:val="000F2C7A"/>
    <w:rsid w:val="000F3358"/>
    <w:rsid w:val="000F3CE3"/>
    <w:rsid w:val="000F52D6"/>
    <w:rsid w:val="000F624A"/>
    <w:rsid w:val="000F65E1"/>
    <w:rsid w:val="000F7157"/>
    <w:rsid w:val="000F74BD"/>
    <w:rsid w:val="000F79DF"/>
    <w:rsid w:val="00100969"/>
    <w:rsid w:val="001009D9"/>
    <w:rsid w:val="00102BBA"/>
    <w:rsid w:val="00102EFE"/>
    <w:rsid w:val="00104036"/>
    <w:rsid w:val="00104BC9"/>
    <w:rsid w:val="00105FAE"/>
    <w:rsid w:val="00106A1E"/>
    <w:rsid w:val="0010753D"/>
    <w:rsid w:val="00107BEB"/>
    <w:rsid w:val="00110325"/>
    <w:rsid w:val="00110593"/>
    <w:rsid w:val="00110DA2"/>
    <w:rsid w:val="00112A5B"/>
    <w:rsid w:val="00113422"/>
    <w:rsid w:val="001165C0"/>
    <w:rsid w:val="001166F8"/>
    <w:rsid w:val="00116834"/>
    <w:rsid w:val="00116B3E"/>
    <w:rsid w:val="00116EBA"/>
    <w:rsid w:val="0011711C"/>
    <w:rsid w:val="00120A9C"/>
    <w:rsid w:val="00120C68"/>
    <w:rsid w:val="00120D2B"/>
    <w:rsid w:val="00123292"/>
    <w:rsid w:val="00123978"/>
    <w:rsid w:val="00123C63"/>
    <w:rsid w:val="0012422A"/>
    <w:rsid w:val="001249C2"/>
    <w:rsid w:val="00124F05"/>
    <w:rsid w:val="0012536E"/>
    <w:rsid w:val="0012599D"/>
    <w:rsid w:val="00126BF7"/>
    <w:rsid w:val="00127565"/>
    <w:rsid w:val="00131745"/>
    <w:rsid w:val="00131F54"/>
    <w:rsid w:val="00132D62"/>
    <w:rsid w:val="00133329"/>
    <w:rsid w:val="00134152"/>
    <w:rsid w:val="001341DC"/>
    <w:rsid w:val="00134DCE"/>
    <w:rsid w:val="00134FD7"/>
    <w:rsid w:val="001353CC"/>
    <w:rsid w:val="0013564C"/>
    <w:rsid w:val="00135920"/>
    <w:rsid w:val="001366AA"/>
    <w:rsid w:val="00136BE0"/>
    <w:rsid w:val="001407C7"/>
    <w:rsid w:val="00141EF1"/>
    <w:rsid w:val="00142029"/>
    <w:rsid w:val="001423F1"/>
    <w:rsid w:val="0014246B"/>
    <w:rsid w:val="00142C1A"/>
    <w:rsid w:val="00143542"/>
    <w:rsid w:val="00143661"/>
    <w:rsid w:val="00144360"/>
    <w:rsid w:val="001449FC"/>
    <w:rsid w:val="00145587"/>
    <w:rsid w:val="00146865"/>
    <w:rsid w:val="00147932"/>
    <w:rsid w:val="00150B0F"/>
    <w:rsid w:val="00150B8D"/>
    <w:rsid w:val="0015240B"/>
    <w:rsid w:val="00153457"/>
    <w:rsid w:val="00153A72"/>
    <w:rsid w:val="00155023"/>
    <w:rsid w:val="001551C9"/>
    <w:rsid w:val="00155D92"/>
    <w:rsid w:val="00156322"/>
    <w:rsid w:val="0015644E"/>
    <w:rsid w:val="001565F3"/>
    <w:rsid w:val="001566CD"/>
    <w:rsid w:val="00157296"/>
    <w:rsid w:val="001606B7"/>
    <w:rsid w:val="00160782"/>
    <w:rsid w:val="00161221"/>
    <w:rsid w:val="001614B7"/>
    <w:rsid w:val="00161668"/>
    <w:rsid w:val="00161DA3"/>
    <w:rsid w:val="00162770"/>
    <w:rsid w:val="00162CEB"/>
    <w:rsid w:val="00162DF8"/>
    <w:rsid w:val="00162E5A"/>
    <w:rsid w:val="00163071"/>
    <w:rsid w:val="00163233"/>
    <w:rsid w:val="0016331F"/>
    <w:rsid w:val="001633CE"/>
    <w:rsid w:val="001635FF"/>
    <w:rsid w:val="00163804"/>
    <w:rsid w:val="001644CA"/>
    <w:rsid w:val="001646DE"/>
    <w:rsid w:val="001648A5"/>
    <w:rsid w:val="00164908"/>
    <w:rsid w:val="00164C24"/>
    <w:rsid w:val="001650AE"/>
    <w:rsid w:val="00165648"/>
    <w:rsid w:val="001657BA"/>
    <w:rsid w:val="00165B0F"/>
    <w:rsid w:val="001669CA"/>
    <w:rsid w:val="00167AC6"/>
    <w:rsid w:val="00167B9E"/>
    <w:rsid w:val="00167DBA"/>
    <w:rsid w:val="00167E47"/>
    <w:rsid w:val="00167F3C"/>
    <w:rsid w:val="00167F50"/>
    <w:rsid w:val="00170BF2"/>
    <w:rsid w:val="00170D4C"/>
    <w:rsid w:val="00170FAE"/>
    <w:rsid w:val="00171731"/>
    <w:rsid w:val="00171DBC"/>
    <w:rsid w:val="00171EE8"/>
    <w:rsid w:val="001722A0"/>
    <w:rsid w:val="00173A27"/>
    <w:rsid w:val="00173E05"/>
    <w:rsid w:val="00173EE7"/>
    <w:rsid w:val="001744CE"/>
    <w:rsid w:val="00174C0D"/>
    <w:rsid w:val="00175415"/>
    <w:rsid w:val="00175923"/>
    <w:rsid w:val="0017606A"/>
    <w:rsid w:val="00177047"/>
    <w:rsid w:val="00177544"/>
    <w:rsid w:val="0018043F"/>
    <w:rsid w:val="00180DAB"/>
    <w:rsid w:val="00181354"/>
    <w:rsid w:val="0018177A"/>
    <w:rsid w:val="0018177B"/>
    <w:rsid w:val="00181CD2"/>
    <w:rsid w:val="00182331"/>
    <w:rsid w:val="00182A08"/>
    <w:rsid w:val="001834C1"/>
    <w:rsid w:val="0018381D"/>
    <w:rsid w:val="00183ABF"/>
    <w:rsid w:val="00183BF9"/>
    <w:rsid w:val="00183FE0"/>
    <w:rsid w:val="001843EF"/>
    <w:rsid w:val="00184AF9"/>
    <w:rsid w:val="00184C91"/>
    <w:rsid w:val="00185357"/>
    <w:rsid w:val="00186353"/>
    <w:rsid w:val="001863CF"/>
    <w:rsid w:val="00186899"/>
    <w:rsid w:val="00186EF2"/>
    <w:rsid w:val="00190E60"/>
    <w:rsid w:val="00190ED5"/>
    <w:rsid w:val="00191CEF"/>
    <w:rsid w:val="00191EB5"/>
    <w:rsid w:val="00192B95"/>
    <w:rsid w:val="001934E9"/>
    <w:rsid w:val="00193EA1"/>
    <w:rsid w:val="00194F62"/>
    <w:rsid w:val="0019536C"/>
    <w:rsid w:val="00195EA1"/>
    <w:rsid w:val="00195F03"/>
    <w:rsid w:val="0019644B"/>
    <w:rsid w:val="00197B6C"/>
    <w:rsid w:val="00197CD5"/>
    <w:rsid w:val="001A04C1"/>
    <w:rsid w:val="001A0638"/>
    <w:rsid w:val="001A097E"/>
    <w:rsid w:val="001A0C21"/>
    <w:rsid w:val="001A0F4E"/>
    <w:rsid w:val="001A154C"/>
    <w:rsid w:val="001A1806"/>
    <w:rsid w:val="001A18F6"/>
    <w:rsid w:val="001A2274"/>
    <w:rsid w:val="001A2538"/>
    <w:rsid w:val="001A2D3D"/>
    <w:rsid w:val="001A31CF"/>
    <w:rsid w:val="001A36D1"/>
    <w:rsid w:val="001A37C9"/>
    <w:rsid w:val="001A43D1"/>
    <w:rsid w:val="001A55ED"/>
    <w:rsid w:val="001A5C3F"/>
    <w:rsid w:val="001A604C"/>
    <w:rsid w:val="001A66E8"/>
    <w:rsid w:val="001A6D7A"/>
    <w:rsid w:val="001A6E0A"/>
    <w:rsid w:val="001A72E4"/>
    <w:rsid w:val="001A77FB"/>
    <w:rsid w:val="001A7B80"/>
    <w:rsid w:val="001A7D9D"/>
    <w:rsid w:val="001A7EBD"/>
    <w:rsid w:val="001B1112"/>
    <w:rsid w:val="001B19D5"/>
    <w:rsid w:val="001B1A8D"/>
    <w:rsid w:val="001B1D50"/>
    <w:rsid w:val="001B2783"/>
    <w:rsid w:val="001B3047"/>
    <w:rsid w:val="001B3C8E"/>
    <w:rsid w:val="001B3F4B"/>
    <w:rsid w:val="001B44B5"/>
    <w:rsid w:val="001B514A"/>
    <w:rsid w:val="001B5533"/>
    <w:rsid w:val="001B66EC"/>
    <w:rsid w:val="001B6A84"/>
    <w:rsid w:val="001B6C8E"/>
    <w:rsid w:val="001B6FD3"/>
    <w:rsid w:val="001B73A3"/>
    <w:rsid w:val="001B7E9C"/>
    <w:rsid w:val="001B7EEB"/>
    <w:rsid w:val="001C0098"/>
    <w:rsid w:val="001C05BE"/>
    <w:rsid w:val="001C0C80"/>
    <w:rsid w:val="001C1083"/>
    <w:rsid w:val="001C1583"/>
    <w:rsid w:val="001C20BD"/>
    <w:rsid w:val="001C23E0"/>
    <w:rsid w:val="001C2A46"/>
    <w:rsid w:val="001C37C9"/>
    <w:rsid w:val="001C3EE0"/>
    <w:rsid w:val="001C4082"/>
    <w:rsid w:val="001C4284"/>
    <w:rsid w:val="001C4EE3"/>
    <w:rsid w:val="001C51F7"/>
    <w:rsid w:val="001C5ACA"/>
    <w:rsid w:val="001C67BF"/>
    <w:rsid w:val="001C764D"/>
    <w:rsid w:val="001C7ABC"/>
    <w:rsid w:val="001C7C0F"/>
    <w:rsid w:val="001D0061"/>
    <w:rsid w:val="001D0695"/>
    <w:rsid w:val="001D1046"/>
    <w:rsid w:val="001D1C8F"/>
    <w:rsid w:val="001D22E4"/>
    <w:rsid w:val="001D2BDC"/>
    <w:rsid w:val="001D2C22"/>
    <w:rsid w:val="001D431F"/>
    <w:rsid w:val="001D439B"/>
    <w:rsid w:val="001D569C"/>
    <w:rsid w:val="001D5B8D"/>
    <w:rsid w:val="001D5D81"/>
    <w:rsid w:val="001D6B0B"/>
    <w:rsid w:val="001D6DED"/>
    <w:rsid w:val="001D6E01"/>
    <w:rsid w:val="001D775F"/>
    <w:rsid w:val="001D78C3"/>
    <w:rsid w:val="001D7FAA"/>
    <w:rsid w:val="001E0CFB"/>
    <w:rsid w:val="001E1424"/>
    <w:rsid w:val="001E16CD"/>
    <w:rsid w:val="001E1994"/>
    <w:rsid w:val="001E1A2B"/>
    <w:rsid w:val="001E262B"/>
    <w:rsid w:val="001E2F35"/>
    <w:rsid w:val="001E3361"/>
    <w:rsid w:val="001E33BF"/>
    <w:rsid w:val="001E36A2"/>
    <w:rsid w:val="001E3842"/>
    <w:rsid w:val="001E40C6"/>
    <w:rsid w:val="001E56D9"/>
    <w:rsid w:val="001E5A51"/>
    <w:rsid w:val="001E62A7"/>
    <w:rsid w:val="001E7091"/>
    <w:rsid w:val="001E72C9"/>
    <w:rsid w:val="001E7660"/>
    <w:rsid w:val="001E7D8D"/>
    <w:rsid w:val="001F005D"/>
    <w:rsid w:val="001F00C2"/>
    <w:rsid w:val="001F0196"/>
    <w:rsid w:val="001F23A2"/>
    <w:rsid w:val="001F30C5"/>
    <w:rsid w:val="001F3E84"/>
    <w:rsid w:val="001F55F4"/>
    <w:rsid w:val="001F58D9"/>
    <w:rsid w:val="001F62C3"/>
    <w:rsid w:val="001F6D5D"/>
    <w:rsid w:val="00200DA2"/>
    <w:rsid w:val="00201D96"/>
    <w:rsid w:val="00201F11"/>
    <w:rsid w:val="00201F97"/>
    <w:rsid w:val="0020207E"/>
    <w:rsid w:val="00202574"/>
    <w:rsid w:val="002036E8"/>
    <w:rsid w:val="00203EAA"/>
    <w:rsid w:val="002045C6"/>
    <w:rsid w:val="00204755"/>
    <w:rsid w:val="00204A6B"/>
    <w:rsid w:val="00204C6F"/>
    <w:rsid w:val="00206412"/>
    <w:rsid w:val="00206632"/>
    <w:rsid w:val="00206B8F"/>
    <w:rsid w:val="00210A6F"/>
    <w:rsid w:val="00210C40"/>
    <w:rsid w:val="002112DD"/>
    <w:rsid w:val="0021154A"/>
    <w:rsid w:val="00212094"/>
    <w:rsid w:val="00212567"/>
    <w:rsid w:val="0021353C"/>
    <w:rsid w:val="00213B7E"/>
    <w:rsid w:val="0021431E"/>
    <w:rsid w:val="00215639"/>
    <w:rsid w:val="002156ED"/>
    <w:rsid w:val="00216E6F"/>
    <w:rsid w:val="00217301"/>
    <w:rsid w:val="0021774C"/>
    <w:rsid w:val="00217E07"/>
    <w:rsid w:val="00220C13"/>
    <w:rsid w:val="002214AB"/>
    <w:rsid w:val="00221E92"/>
    <w:rsid w:val="00222C45"/>
    <w:rsid w:val="00222D1B"/>
    <w:rsid w:val="002231EA"/>
    <w:rsid w:val="00223460"/>
    <w:rsid w:val="002238B9"/>
    <w:rsid w:val="00223B4E"/>
    <w:rsid w:val="00223E1D"/>
    <w:rsid w:val="002242AB"/>
    <w:rsid w:val="00224BFC"/>
    <w:rsid w:val="00224C05"/>
    <w:rsid w:val="00224F3D"/>
    <w:rsid w:val="00225F25"/>
    <w:rsid w:val="00226634"/>
    <w:rsid w:val="002266F3"/>
    <w:rsid w:val="002271B2"/>
    <w:rsid w:val="00227F7F"/>
    <w:rsid w:val="0023099F"/>
    <w:rsid w:val="002310E9"/>
    <w:rsid w:val="00231302"/>
    <w:rsid w:val="002329AC"/>
    <w:rsid w:val="00233FEA"/>
    <w:rsid w:val="00236DCD"/>
    <w:rsid w:val="0023706F"/>
    <w:rsid w:val="002402F9"/>
    <w:rsid w:val="0024170E"/>
    <w:rsid w:val="002419F0"/>
    <w:rsid w:val="00243D4B"/>
    <w:rsid w:val="00244044"/>
    <w:rsid w:val="00244B92"/>
    <w:rsid w:val="002454BC"/>
    <w:rsid w:val="002457C5"/>
    <w:rsid w:val="002458BE"/>
    <w:rsid w:val="002459D8"/>
    <w:rsid w:val="00245CB4"/>
    <w:rsid w:val="002463B6"/>
    <w:rsid w:val="00246595"/>
    <w:rsid w:val="00247156"/>
    <w:rsid w:val="00247C25"/>
    <w:rsid w:val="00250054"/>
    <w:rsid w:val="00250723"/>
    <w:rsid w:val="002509B5"/>
    <w:rsid w:val="002514FB"/>
    <w:rsid w:val="00251927"/>
    <w:rsid w:val="002520F0"/>
    <w:rsid w:val="00253504"/>
    <w:rsid w:val="002548D0"/>
    <w:rsid w:val="0025496E"/>
    <w:rsid w:val="00254E5D"/>
    <w:rsid w:val="00255295"/>
    <w:rsid w:val="00255AFC"/>
    <w:rsid w:val="00260327"/>
    <w:rsid w:val="002605FC"/>
    <w:rsid w:val="002608FB"/>
    <w:rsid w:val="002613BB"/>
    <w:rsid w:val="00261B43"/>
    <w:rsid w:val="00262167"/>
    <w:rsid w:val="0026221F"/>
    <w:rsid w:val="002624D9"/>
    <w:rsid w:val="00262ABB"/>
    <w:rsid w:val="0026354F"/>
    <w:rsid w:val="002640AC"/>
    <w:rsid w:val="002648AD"/>
    <w:rsid w:val="00265765"/>
    <w:rsid w:val="00265D0E"/>
    <w:rsid w:val="00265EBD"/>
    <w:rsid w:val="00266240"/>
    <w:rsid w:val="00266B3F"/>
    <w:rsid w:val="00266D74"/>
    <w:rsid w:val="0026728B"/>
    <w:rsid w:val="00267B98"/>
    <w:rsid w:val="002703BD"/>
    <w:rsid w:val="00271478"/>
    <w:rsid w:val="00271BDE"/>
    <w:rsid w:val="002721C9"/>
    <w:rsid w:val="002730DD"/>
    <w:rsid w:val="00273186"/>
    <w:rsid w:val="0027355E"/>
    <w:rsid w:val="00273F84"/>
    <w:rsid w:val="002746DB"/>
    <w:rsid w:val="00274D01"/>
    <w:rsid w:val="00274F62"/>
    <w:rsid w:val="00274F93"/>
    <w:rsid w:val="0027510F"/>
    <w:rsid w:val="00275111"/>
    <w:rsid w:val="00275120"/>
    <w:rsid w:val="002761E1"/>
    <w:rsid w:val="0027685D"/>
    <w:rsid w:val="00276DAB"/>
    <w:rsid w:val="002770F6"/>
    <w:rsid w:val="00280A6C"/>
    <w:rsid w:val="00280AFD"/>
    <w:rsid w:val="00280EF7"/>
    <w:rsid w:val="0028115E"/>
    <w:rsid w:val="00282464"/>
    <w:rsid w:val="00282961"/>
    <w:rsid w:val="00282AAC"/>
    <w:rsid w:val="0028375B"/>
    <w:rsid w:val="00283F71"/>
    <w:rsid w:val="00284315"/>
    <w:rsid w:val="00284887"/>
    <w:rsid w:val="00284AB1"/>
    <w:rsid w:val="00284AEE"/>
    <w:rsid w:val="00285729"/>
    <w:rsid w:val="002857BD"/>
    <w:rsid w:val="00285C45"/>
    <w:rsid w:val="00285FFE"/>
    <w:rsid w:val="002871A3"/>
    <w:rsid w:val="002908F5"/>
    <w:rsid w:val="00291BE4"/>
    <w:rsid w:val="0029329B"/>
    <w:rsid w:val="00293716"/>
    <w:rsid w:val="00293EFF"/>
    <w:rsid w:val="002948B6"/>
    <w:rsid w:val="00295B7A"/>
    <w:rsid w:val="00296538"/>
    <w:rsid w:val="002968BC"/>
    <w:rsid w:val="00296CF6"/>
    <w:rsid w:val="00297666"/>
    <w:rsid w:val="002977F3"/>
    <w:rsid w:val="00297C91"/>
    <w:rsid w:val="002A12A9"/>
    <w:rsid w:val="002A1576"/>
    <w:rsid w:val="002A1A54"/>
    <w:rsid w:val="002A23FA"/>
    <w:rsid w:val="002A2B27"/>
    <w:rsid w:val="002A35D1"/>
    <w:rsid w:val="002A37E8"/>
    <w:rsid w:val="002A3DC8"/>
    <w:rsid w:val="002A4486"/>
    <w:rsid w:val="002A481C"/>
    <w:rsid w:val="002A4CC9"/>
    <w:rsid w:val="002A52F8"/>
    <w:rsid w:val="002A7309"/>
    <w:rsid w:val="002A7CC5"/>
    <w:rsid w:val="002A7D87"/>
    <w:rsid w:val="002B00E6"/>
    <w:rsid w:val="002B0CF6"/>
    <w:rsid w:val="002B1116"/>
    <w:rsid w:val="002B1304"/>
    <w:rsid w:val="002B1D6A"/>
    <w:rsid w:val="002B2ABE"/>
    <w:rsid w:val="002B2F7F"/>
    <w:rsid w:val="002B3C42"/>
    <w:rsid w:val="002B3D52"/>
    <w:rsid w:val="002B3DF7"/>
    <w:rsid w:val="002B3F77"/>
    <w:rsid w:val="002B4036"/>
    <w:rsid w:val="002B4307"/>
    <w:rsid w:val="002B4BD6"/>
    <w:rsid w:val="002B4CD3"/>
    <w:rsid w:val="002B603D"/>
    <w:rsid w:val="002B71AF"/>
    <w:rsid w:val="002B71D7"/>
    <w:rsid w:val="002B7E73"/>
    <w:rsid w:val="002C0690"/>
    <w:rsid w:val="002C0783"/>
    <w:rsid w:val="002C07BD"/>
    <w:rsid w:val="002C0F95"/>
    <w:rsid w:val="002C19BB"/>
    <w:rsid w:val="002C2632"/>
    <w:rsid w:val="002C28FE"/>
    <w:rsid w:val="002C2DDD"/>
    <w:rsid w:val="002C4A3D"/>
    <w:rsid w:val="002C4D1A"/>
    <w:rsid w:val="002C4FAC"/>
    <w:rsid w:val="002C5A0C"/>
    <w:rsid w:val="002C6498"/>
    <w:rsid w:val="002C6C8F"/>
    <w:rsid w:val="002C6CAA"/>
    <w:rsid w:val="002C721B"/>
    <w:rsid w:val="002D109D"/>
    <w:rsid w:val="002D12EB"/>
    <w:rsid w:val="002D1E8B"/>
    <w:rsid w:val="002D1ECF"/>
    <w:rsid w:val="002D26A8"/>
    <w:rsid w:val="002D2AAD"/>
    <w:rsid w:val="002D3552"/>
    <w:rsid w:val="002D4571"/>
    <w:rsid w:val="002D49FA"/>
    <w:rsid w:val="002D67A7"/>
    <w:rsid w:val="002D67B1"/>
    <w:rsid w:val="002D6E82"/>
    <w:rsid w:val="002D7511"/>
    <w:rsid w:val="002D7EF6"/>
    <w:rsid w:val="002D7F61"/>
    <w:rsid w:val="002E0735"/>
    <w:rsid w:val="002E078F"/>
    <w:rsid w:val="002E1D82"/>
    <w:rsid w:val="002E2314"/>
    <w:rsid w:val="002E38DA"/>
    <w:rsid w:val="002E3B65"/>
    <w:rsid w:val="002E3EE8"/>
    <w:rsid w:val="002E4A3A"/>
    <w:rsid w:val="002E6EB3"/>
    <w:rsid w:val="002E7C0A"/>
    <w:rsid w:val="002E7D90"/>
    <w:rsid w:val="002E7E99"/>
    <w:rsid w:val="002F044F"/>
    <w:rsid w:val="002F3066"/>
    <w:rsid w:val="002F30D2"/>
    <w:rsid w:val="002F3823"/>
    <w:rsid w:val="002F489B"/>
    <w:rsid w:val="002F4BB7"/>
    <w:rsid w:val="002F4DA9"/>
    <w:rsid w:val="002F4EDC"/>
    <w:rsid w:val="002F4F4B"/>
    <w:rsid w:val="002F5517"/>
    <w:rsid w:val="002F59A4"/>
    <w:rsid w:val="002F5AC9"/>
    <w:rsid w:val="002F60E2"/>
    <w:rsid w:val="002F6295"/>
    <w:rsid w:val="002F62CE"/>
    <w:rsid w:val="002F6E55"/>
    <w:rsid w:val="002F70A8"/>
    <w:rsid w:val="002F7D29"/>
    <w:rsid w:val="00300B81"/>
    <w:rsid w:val="00300C43"/>
    <w:rsid w:val="00301A73"/>
    <w:rsid w:val="00301F37"/>
    <w:rsid w:val="0030214D"/>
    <w:rsid w:val="00302AFA"/>
    <w:rsid w:val="00303D40"/>
    <w:rsid w:val="00305617"/>
    <w:rsid w:val="003059BC"/>
    <w:rsid w:val="00305CC3"/>
    <w:rsid w:val="00305D6A"/>
    <w:rsid w:val="00305EF1"/>
    <w:rsid w:val="00306C6F"/>
    <w:rsid w:val="00306E75"/>
    <w:rsid w:val="0030798B"/>
    <w:rsid w:val="00307A60"/>
    <w:rsid w:val="00307D60"/>
    <w:rsid w:val="00307DD6"/>
    <w:rsid w:val="003104C7"/>
    <w:rsid w:val="0031094B"/>
    <w:rsid w:val="00311324"/>
    <w:rsid w:val="00311385"/>
    <w:rsid w:val="003123C3"/>
    <w:rsid w:val="0031260C"/>
    <w:rsid w:val="0031296E"/>
    <w:rsid w:val="00313ADB"/>
    <w:rsid w:val="00313C61"/>
    <w:rsid w:val="00314182"/>
    <w:rsid w:val="003144F8"/>
    <w:rsid w:val="00314EEC"/>
    <w:rsid w:val="00315C57"/>
    <w:rsid w:val="0031605B"/>
    <w:rsid w:val="0031668E"/>
    <w:rsid w:val="00316826"/>
    <w:rsid w:val="00316B7C"/>
    <w:rsid w:val="00317986"/>
    <w:rsid w:val="00317A21"/>
    <w:rsid w:val="00317D0A"/>
    <w:rsid w:val="003201F2"/>
    <w:rsid w:val="00320405"/>
    <w:rsid w:val="0032144D"/>
    <w:rsid w:val="003215DC"/>
    <w:rsid w:val="003220B8"/>
    <w:rsid w:val="003231C7"/>
    <w:rsid w:val="00323318"/>
    <w:rsid w:val="00323798"/>
    <w:rsid w:val="00324347"/>
    <w:rsid w:val="0032465E"/>
    <w:rsid w:val="00325AAA"/>
    <w:rsid w:val="0032645E"/>
    <w:rsid w:val="0032654B"/>
    <w:rsid w:val="00326CF6"/>
    <w:rsid w:val="00330295"/>
    <w:rsid w:val="00330637"/>
    <w:rsid w:val="00331061"/>
    <w:rsid w:val="00331299"/>
    <w:rsid w:val="0033172C"/>
    <w:rsid w:val="003317E3"/>
    <w:rsid w:val="00331D39"/>
    <w:rsid w:val="003321B5"/>
    <w:rsid w:val="0033328B"/>
    <w:rsid w:val="0033350E"/>
    <w:rsid w:val="00333954"/>
    <w:rsid w:val="00333A25"/>
    <w:rsid w:val="00334824"/>
    <w:rsid w:val="00334CFE"/>
    <w:rsid w:val="00335172"/>
    <w:rsid w:val="0033583F"/>
    <w:rsid w:val="0033597A"/>
    <w:rsid w:val="00336628"/>
    <w:rsid w:val="00336E10"/>
    <w:rsid w:val="00337786"/>
    <w:rsid w:val="00340365"/>
    <w:rsid w:val="00340A1E"/>
    <w:rsid w:val="003411C0"/>
    <w:rsid w:val="003415FA"/>
    <w:rsid w:val="003417CC"/>
    <w:rsid w:val="003441FC"/>
    <w:rsid w:val="00344F19"/>
    <w:rsid w:val="00345C06"/>
    <w:rsid w:val="00345CA0"/>
    <w:rsid w:val="00345DC1"/>
    <w:rsid w:val="00345FB1"/>
    <w:rsid w:val="003463C6"/>
    <w:rsid w:val="00346808"/>
    <w:rsid w:val="00346B9F"/>
    <w:rsid w:val="0034731B"/>
    <w:rsid w:val="0034774B"/>
    <w:rsid w:val="00350172"/>
    <w:rsid w:val="003502B9"/>
    <w:rsid w:val="00350A64"/>
    <w:rsid w:val="00351517"/>
    <w:rsid w:val="00351632"/>
    <w:rsid w:val="00352271"/>
    <w:rsid w:val="003545EC"/>
    <w:rsid w:val="00354617"/>
    <w:rsid w:val="00354722"/>
    <w:rsid w:val="003547B5"/>
    <w:rsid w:val="0035511D"/>
    <w:rsid w:val="003552F8"/>
    <w:rsid w:val="003554FB"/>
    <w:rsid w:val="00356192"/>
    <w:rsid w:val="00356C67"/>
    <w:rsid w:val="003577C3"/>
    <w:rsid w:val="00357814"/>
    <w:rsid w:val="00357D86"/>
    <w:rsid w:val="00357EC6"/>
    <w:rsid w:val="003609C0"/>
    <w:rsid w:val="00360C18"/>
    <w:rsid w:val="0036106C"/>
    <w:rsid w:val="00361C92"/>
    <w:rsid w:val="00362059"/>
    <w:rsid w:val="00362082"/>
    <w:rsid w:val="003620F9"/>
    <w:rsid w:val="00362BDB"/>
    <w:rsid w:val="00363216"/>
    <w:rsid w:val="0036409B"/>
    <w:rsid w:val="003648BA"/>
    <w:rsid w:val="0036494F"/>
    <w:rsid w:val="003653D9"/>
    <w:rsid w:val="0036548A"/>
    <w:rsid w:val="00365B53"/>
    <w:rsid w:val="003664AC"/>
    <w:rsid w:val="00366500"/>
    <w:rsid w:val="00366F10"/>
    <w:rsid w:val="00367D1C"/>
    <w:rsid w:val="00371410"/>
    <w:rsid w:val="00371428"/>
    <w:rsid w:val="00371CB7"/>
    <w:rsid w:val="003723DE"/>
    <w:rsid w:val="00372E41"/>
    <w:rsid w:val="00373325"/>
    <w:rsid w:val="00373C42"/>
    <w:rsid w:val="0037414F"/>
    <w:rsid w:val="0037433F"/>
    <w:rsid w:val="003748E3"/>
    <w:rsid w:val="00375309"/>
    <w:rsid w:val="00375475"/>
    <w:rsid w:val="00375A5B"/>
    <w:rsid w:val="00375B91"/>
    <w:rsid w:val="003763C0"/>
    <w:rsid w:val="0037675F"/>
    <w:rsid w:val="00376A80"/>
    <w:rsid w:val="00376D65"/>
    <w:rsid w:val="00377982"/>
    <w:rsid w:val="003804D9"/>
    <w:rsid w:val="00380D08"/>
    <w:rsid w:val="0038160D"/>
    <w:rsid w:val="003816AD"/>
    <w:rsid w:val="00381933"/>
    <w:rsid w:val="00382793"/>
    <w:rsid w:val="00382AF3"/>
    <w:rsid w:val="00382D7D"/>
    <w:rsid w:val="00382EC9"/>
    <w:rsid w:val="003835F9"/>
    <w:rsid w:val="0038390C"/>
    <w:rsid w:val="00383DA2"/>
    <w:rsid w:val="00383EE1"/>
    <w:rsid w:val="00384C19"/>
    <w:rsid w:val="003850A4"/>
    <w:rsid w:val="00387192"/>
    <w:rsid w:val="00387BD7"/>
    <w:rsid w:val="0039129A"/>
    <w:rsid w:val="0039211F"/>
    <w:rsid w:val="003922C1"/>
    <w:rsid w:val="003922D7"/>
    <w:rsid w:val="003933EE"/>
    <w:rsid w:val="00393E8A"/>
    <w:rsid w:val="00393F8E"/>
    <w:rsid w:val="0039467A"/>
    <w:rsid w:val="00394BCA"/>
    <w:rsid w:val="00394F04"/>
    <w:rsid w:val="003952D6"/>
    <w:rsid w:val="0039587C"/>
    <w:rsid w:val="0039619D"/>
    <w:rsid w:val="00396933"/>
    <w:rsid w:val="003979A2"/>
    <w:rsid w:val="003A0589"/>
    <w:rsid w:val="003A0D39"/>
    <w:rsid w:val="003A0D9B"/>
    <w:rsid w:val="003A16E0"/>
    <w:rsid w:val="003A1D15"/>
    <w:rsid w:val="003A1FC8"/>
    <w:rsid w:val="003A214E"/>
    <w:rsid w:val="003A25DD"/>
    <w:rsid w:val="003A36B7"/>
    <w:rsid w:val="003A3B40"/>
    <w:rsid w:val="003A42A0"/>
    <w:rsid w:val="003A42B2"/>
    <w:rsid w:val="003A4766"/>
    <w:rsid w:val="003A47A0"/>
    <w:rsid w:val="003A4834"/>
    <w:rsid w:val="003A4D12"/>
    <w:rsid w:val="003A4F81"/>
    <w:rsid w:val="003A56EC"/>
    <w:rsid w:val="003A581C"/>
    <w:rsid w:val="003A5DF1"/>
    <w:rsid w:val="003A62BB"/>
    <w:rsid w:val="003A6E4F"/>
    <w:rsid w:val="003A7B8D"/>
    <w:rsid w:val="003A7BAC"/>
    <w:rsid w:val="003A7C55"/>
    <w:rsid w:val="003B0115"/>
    <w:rsid w:val="003B0406"/>
    <w:rsid w:val="003B0505"/>
    <w:rsid w:val="003B0827"/>
    <w:rsid w:val="003B0843"/>
    <w:rsid w:val="003B14D0"/>
    <w:rsid w:val="003B19A7"/>
    <w:rsid w:val="003B19C7"/>
    <w:rsid w:val="003B27F9"/>
    <w:rsid w:val="003B28E8"/>
    <w:rsid w:val="003B31DA"/>
    <w:rsid w:val="003B3300"/>
    <w:rsid w:val="003B3337"/>
    <w:rsid w:val="003B38EE"/>
    <w:rsid w:val="003B406D"/>
    <w:rsid w:val="003B4EE1"/>
    <w:rsid w:val="003B5D8D"/>
    <w:rsid w:val="003B612A"/>
    <w:rsid w:val="003B7845"/>
    <w:rsid w:val="003C0B4C"/>
    <w:rsid w:val="003C1040"/>
    <w:rsid w:val="003C11BF"/>
    <w:rsid w:val="003C1D4C"/>
    <w:rsid w:val="003C237E"/>
    <w:rsid w:val="003C277E"/>
    <w:rsid w:val="003C2F78"/>
    <w:rsid w:val="003C2FBD"/>
    <w:rsid w:val="003C32E2"/>
    <w:rsid w:val="003C32FB"/>
    <w:rsid w:val="003C35A8"/>
    <w:rsid w:val="003C4CF9"/>
    <w:rsid w:val="003C5696"/>
    <w:rsid w:val="003C6195"/>
    <w:rsid w:val="003C6666"/>
    <w:rsid w:val="003C6C47"/>
    <w:rsid w:val="003C730A"/>
    <w:rsid w:val="003C7712"/>
    <w:rsid w:val="003C7F46"/>
    <w:rsid w:val="003D0F0A"/>
    <w:rsid w:val="003D0F64"/>
    <w:rsid w:val="003D1594"/>
    <w:rsid w:val="003D1D19"/>
    <w:rsid w:val="003D1E73"/>
    <w:rsid w:val="003D3795"/>
    <w:rsid w:val="003D3D4A"/>
    <w:rsid w:val="003D4464"/>
    <w:rsid w:val="003D4849"/>
    <w:rsid w:val="003D4D21"/>
    <w:rsid w:val="003D4DEB"/>
    <w:rsid w:val="003D51F2"/>
    <w:rsid w:val="003D570F"/>
    <w:rsid w:val="003D5C80"/>
    <w:rsid w:val="003D5F2A"/>
    <w:rsid w:val="003D60D2"/>
    <w:rsid w:val="003D6446"/>
    <w:rsid w:val="003D6F3C"/>
    <w:rsid w:val="003D72F6"/>
    <w:rsid w:val="003E01AC"/>
    <w:rsid w:val="003E03F0"/>
    <w:rsid w:val="003E0E73"/>
    <w:rsid w:val="003E1283"/>
    <w:rsid w:val="003E17A3"/>
    <w:rsid w:val="003E1B04"/>
    <w:rsid w:val="003E2EAC"/>
    <w:rsid w:val="003E3DDE"/>
    <w:rsid w:val="003E4D1B"/>
    <w:rsid w:val="003E53BA"/>
    <w:rsid w:val="003E5EEB"/>
    <w:rsid w:val="003E693A"/>
    <w:rsid w:val="003E6C09"/>
    <w:rsid w:val="003E6ED9"/>
    <w:rsid w:val="003E7541"/>
    <w:rsid w:val="003E7F77"/>
    <w:rsid w:val="003F12B4"/>
    <w:rsid w:val="003F1F37"/>
    <w:rsid w:val="003F23F7"/>
    <w:rsid w:val="003F2686"/>
    <w:rsid w:val="003F2B06"/>
    <w:rsid w:val="003F2E5B"/>
    <w:rsid w:val="003F323E"/>
    <w:rsid w:val="003F45F7"/>
    <w:rsid w:val="003F4651"/>
    <w:rsid w:val="003F5EC3"/>
    <w:rsid w:val="003F68C0"/>
    <w:rsid w:val="003F691A"/>
    <w:rsid w:val="003F6C24"/>
    <w:rsid w:val="003F6CD2"/>
    <w:rsid w:val="003F6DF8"/>
    <w:rsid w:val="003F74F8"/>
    <w:rsid w:val="00400707"/>
    <w:rsid w:val="0040131E"/>
    <w:rsid w:val="00401742"/>
    <w:rsid w:val="00401ED2"/>
    <w:rsid w:val="004022AC"/>
    <w:rsid w:val="00402A65"/>
    <w:rsid w:val="00402F6B"/>
    <w:rsid w:val="00402FFB"/>
    <w:rsid w:val="00403370"/>
    <w:rsid w:val="004036E2"/>
    <w:rsid w:val="00405A8B"/>
    <w:rsid w:val="004063F8"/>
    <w:rsid w:val="00406670"/>
    <w:rsid w:val="004075FA"/>
    <w:rsid w:val="00407B03"/>
    <w:rsid w:val="00407D3C"/>
    <w:rsid w:val="00410411"/>
    <w:rsid w:val="004104D5"/>
    <w:rsid w:val="004109B9"/>
    <w:rsid w:val="004115AB"/>
    <w:rsid w:val="00412048"/>
    <w:rsid w:val="00412423"/>
    <w:rsid w:val="004134A9"/>
    <w:rsid w:val="004137EA"/>
    <w:rsid w:val="004143AF"/>
    <w:rsid w:val="00414703"/>
    <w:rsid w:val="0041507E"/>
    <w:rsid w:val="0041567C"/>
    <w:rsid w:val="004156F4"/>
    <w:rsid w:val="004166FC"/>
    <w:rsid w:val="004171A6"/>
    <w:rsid w:val="0042002D"/>
    <w:rsid w:val="00420556"/>
    <w:rsid w:val="004205FC"/>
    <w:rsid w:val="004216F1"/>
    <w:rsid w:val="00421975"/>
    <w:rsid w:val="00421B25"/>
    <w:rsid w:val="00422B13"/>
    <w:rsid w:val="00422E26"/>
    <w:rsid w:val="004237CA"/>
    <w:rsid w:val="0042420B"/>
    <w:rsid w:val="00424731"/>
    <w:rsid w:val="004247E0"/>
    <w:rsid w:val="00424FA2"/>
    <w:rsid w:val="004256DA"/>
    <w:rsid w:val="00427762"/>
    <w:rsid w:val="004300C0"/>
    <w:rsid w:val="0043058A"/>
    <w:rsid w:val="00431374"/>
    <w:rsid w:val="00431463"/>
    <w:rsid w:val="00431E22"/>
    <w:rsid w:val="00432150"/>
    <w:rsid w:val="0043215D"/>
    <w:rsid w:val="0043299B"/>
    <w:rsid w:val="00432A01"/>
    <w:rsid w:val="00432D18"/>
    <w:rsid w:val="00433222"/>
    <w:rsid w:val="004356BE"/>
    <w:rsid w:val="00436410"/>
    <w:rsid w:val="0044033B"/>
    <w:rsid w:val="0044049C"/>
    <w:rsid w:val="004404E5"/>
    <w:rsid w:val="004407FB"/>
    <w:rsid w:val="0044162B"/>
    <w:rsid w:val="00441BA1"/>
    <w:rsid w:val="00441E26"/>
    <w:rsid w:val="004421A8"/>
    <w:rsid w:val="0044270B"/>
    <w:rsid w:val="00444BF3"/>
    <w:rsid w:val="0044503C"/>
    <w:rsid w:val="0044654A"/>
    <w:rsid w:val="00446C72"/>
    <w:rsid w:val="0045116B"/>
    <w:rsid w:val="0045186F"/>
    <w:rsid w:val="004526FC"/>
    <w:rsid w:val="00452BF6"/>
    <w:rsid w:val="00452FCA"/>
    <w:rsid w:val="0045333A"/>
    <w:rsid w:val="00453755"/>
    <w:rsid w:val="00453865"/>
    <w:rsid w:val="004543F0"/>
    <w:rsid w:val="004548D1"/>
    <w:rsid w:val="00454AD6"/>
    <w:rsid w:val="004556EE"/>
    <w:rsid w:val="00455B79"/>
    <w:rsid w:val="00455BC5"/>
    <w:rsid w:val="00455DA1"/>
    <w:rsid w:val="0045623D"/>
    <w:rsid w:val="00460646"/>
    <w:rsid w:val="004618C8"/>
    <w:rsid w:val="00461D68"/>
    <w:rsid w:val="004622CF"/>
    <w:rsid w:val="00462574"/>
    <w:rsid w:val="00462588"/>
    <w:rsid w:val="004627AE"/>
    <w:rsid w:val="0046292E"/>
    <w:rsid w:val="00462A0D"/>
    <w:rsid w:val="0046318C"/>
    <w:rsid w:val="004645AD"/>
    <w:rsid w:val="00465BD0"/>
    <w:rsid w:val="00465FD5"/>
    <w:rsid w:val="004664E3"/>
    <w:rsid w:val="00466BD9"/>
    <w:rsid w:val="00466FC9"/>
    <w:rsid w:val="0046702E"/>
    <w:rsid w:val="00467417"/>
    <w:rsid w:val="0046750A"/>
    <w:rsid w:val="00467721"/>
    <w:rsid w:val="004679ED"/>
    <w:rsid w:val="00467AE3"/>
    <w:rsid w:val="00470A06"/>
    <w:rsid w:val="00471557"/>
    <w:rsid w:val="004716E8"/>
    <w:rsid w:val="00471879"/>
    <w:rsid w:val="004732B7"/>
    <w:rsid w:val="0047368E"/>
    <w:rsid w:val="00473888"/>
    <w:rsid w:val="00473B42"/>
    <w:rsid w:val="004741E3"/>
    <w:rsid w:val="004748AC"/>
    <w:rsid w:val="00475B94"/>
    <w:rsid w:val="00475CC7"/>
    <w:rsid w:val="00475F52"/>
    <w:rsid w:val="0047749A"/>
    <w:rsid w:val="00477796"/>
    <w:rsid w:val="0047784D"/>
    <w:rsid w:val="00477BAD"/>
    <w:rsid w:val="004805F7"/>
    <w:rsid w:val="00480AFC"/>
    <w:rsid w:val="00480B28"/>
    <w:rsid w:val="004815E5"/>
    <w:rsid w:val="00481763"/>
    <w:rsid w:val="00481D1C"/>
    <w:rsid w:val="00481EBF"/>
    <w:rsid w:val="00481F28"/>
    <w:rsid w:val="00482325"/>
    <w:rsid w:val="00482401"/>
    <w:rsid w:val="004827F5"/>
    <w:rsid w:val="0048298D"/>
    <w:rsid w:val="004835F2"/>
    <w:rsid w:val="00483978"/>
    <w:rsid w:val="00484A18"/>
    <w:rsid w:val="00484BF9"/>
    <w:rsid w:val="00485137"/>
    <w:rsid w:val="0048566F"/>
    <w:rsid w:val="00485BFE"/>
    <w:rsid w:val="00485FDB"/>
    <w:rsid w:val="0048667D"/>
    <w:rsid w:val="004866AB"/>
    <w:rsid w:val="004867F2"/>
    <w:rsid w:val="00486EF2"/>
    <w:rsid w:val="004870CE"/>
    <w:rsid w:val="00487234"/>
    <w:rsid w:val="00487C0A"/>
    <w:rsid w:val="00487F0C"/>
    <w:rsid w:val="00490251"/>
    <w:rsid w:val="00490933"/>
    <w:rsid w:val="00490D5C"/>
    <w:rsid w:val="00491B9F"/>
    <w:rsid w:val="00491C02"/>
    <w:rsid w:val="004925C7"/>
    <w:rsid w:val="004927ED"/>
    <w:rsid w:val="00493911"/>
    <w:rsid w:val="004943A6"/>
    <w:rsid w:val="00494843"/>
    <w:rsid w:val="00494C4E"/>
    <w:rsid w:val="00495443"/>
    <w:rsid w:val="00496203"/>
    <w:rsid w:val="004965D0"/>
    <w:rsid w:val="004966A5"/>
    <w:rsid w:val="00496A01"/>
    <w:rsid w:val="00497679"/>
    <w:rsid w:val="0049792B"/>
    <w:rsid w:val="004A0462"/>
    <w:rsid w:val="004A04B0"/>
    <w:rsid w:val="004A051A"/>
    <w:rsid w:val="004A0577"/>
    <w:rsid w:val="004A0BBA"/>
    <w:rsid w:val="004A0D09"/>
    <w:rsid w:val="004A0E9E"/>
    <w:rsid w:val="004A1196"/>
    <w:rsid w:val="004A1288"/>
    <w:rsid w:val="004A164D"/>
    <w:rsid w:val="004A183C"/>
    <w:rsid w:val="004A1F71"/>
    <w:rsid w:val="004A22A3"/>
    <w:rsid w:val="004A251F"/>
    <w:rsid w:val="004A2A2D"/>
    <w:rsid w:val="004A2F42"/>
    <w:rsid w:val="004A2F5E"/>
    <w:rsid w:val="004A359F"/>
    <w:rsid w:val="004A374B"/>
    <w:rsid w:val="004A4839"/>
    <w:rsid w:val="004A49D7"/>
    <w:rsid w:val="004A4B98"/>
    <w:rsid w:val="004A59E4"/>
    <w:rsid w:val="004A62D4"/>
    <w:rsid w:val="004A6410"/>
    <w:rsid w:val="004A6AF4"/>
    <w:rsid w:val="004A7216"/>
    <w:rsid w:val="004B02D5"/>
    <w:rsid w:val="004B0E5D"/>
    <w:rsid w:val="004B13A0"/>
    <w:rsid w:val="004B1D75"/>
    <w:rsid w:val="004B334C"/>
    <w:rsid w:val="004B3694"/>
    <w:rsid w:val="004B374E"/>
    <w:rsid w:val="004B3D17"/>
    <w:rsid w:val="004B5615"/>
    <w:rsid w:val="004B5B5D"/>
    <w:rsid w:val="004B5EFA"/>
    <w:rsid w:val="004B6109"/>
    <w:rsid w:val="004B6B81"/>
    <w:rsid w:val="004B6C92"/>
    <w:rsid w:val="004B6DB0"/>
    <w:rsid w:val="004B6DC5"/>
    <w:rsid w:val="004B74BA"/>
    <w:rsid w:val="004B75CF"/>
    <w:rsid w:val="004B7A4E"/>
    <w:rsid w:val="004C0F88"/>
    <w:rsid w:val="004C15C4"/>
    <w:rsid w:val="004C1DEF"/>
    <w:rsid w:val="004C2678"/>
    <w:rsid w:val="004C2AD3"/>
    <w:rsid w:val="004C30E2"/>
    <w:rsid w:val="004C3F51"/>
    <w:rsid w:val="004C4274"/>
    <w:rsid w:val="004C4E62"/>
    <w:rsid w:val="004C59DB"/>
    <w:rsid w:val="004C5CF8"/>
    <w:rsid w:val="004C6877"/>
    <w:rsid w:val="004C7825"/>
    <w:rsid w:val="004C7B16"/>
    <w:rsid w:val="004D0D6E"/>
    <w:rsid w:val="004D0DD3"/>
    <w:rsid w:val="004D1386"/>
    <w:rsid w:val="004D2087"/>
    <w:rsid w:val="004D3749"/>
    <w:rsid w:val="004D3C86"/>
    <w:rsid w:val="004D3FDE"/>
    <w:rsid w:val="004D4AF8"/>
    <w:rsid w:val="004D4F21"/>
    <w:rsid w:val="004D5CD4"/>
    <w:rsid w:val="004D6A22"/>
    <w:rsid w:val="004D6C35"/>
    <w:rsid w:val="004D7281"/>
    <w:rsid w:val="004D7BA1"/>
    <w:rsid w:val="004D7CCF"/>
    <w:rsid w:val="004E0850"/>
    <w:rsid w:val="004E0E7E"/>
    <w:rsid w:val="004E164A"/>
    <w:rsid w:val="004E16B5"/>
    <w:rsid w:val="004E1940"/>
    <w:rsid w:val="004E2C9E"/>
    <w:rsid w:val="004E348D"/>
    <w:rsid w:val="004E3F15"/>
    <w:rsid w:val="004E4039"/>
    <w:rsid w:val="004E47F6"/>
    <w:rsid w:val="004E48B0"/>
    <w:rsid w:val="004E5A50"/>
    <w:rsid w:val="004E5E87"/>
    <w:rsid w:val="004E634F"/>
    <w:rsid w:val="004E7B49"/>
    <w:rsid w:val="004E7CD7"/>
    <w:rsid w:val="004F036E"/>
    <w:rsid w:val="004F0E57"/>
    <w:rsid w:val="004F1A27"/>
    <w:rsid w:val="004F1F8B"/>
    <w:rsid w:val="004F34C2"/>
    <w:rsid w:val="004F3829"/>
    <w:rsid w:val="004F3CCA"/>
    <w:rsid w:val="004F4310"/>
    <w:rsid w:val="004F4A14"/>
    <w:rsid w:val="004F52A0"/>
    <w:rsid w:val="004F64E5"/>
    <w:rsid w:val="004F6F0F"/>
    <w:rsid w:val="00500881"/>
    <w:rsid w:val="00502798"/>
    <w:rsid w:val="00503C70"/>
    <w:rsid w:val="00504039"/>
    <w:rsid w:val="00504654"/>
    <w:rsid w:val="00504974"/>
    <w:rsid w:val="00504BC3"/>
    <w:rsid w:val="005063B4"/>
    <w:rsid w:val="00506DA6"/>
    <w:rsid w:val="00506E70"/>
    <w:rsid w:val="00506EDC"/>
    <w:rsid w:val="00506F36"/>
    <w:rsid w:val="00510564"/>
    <w:rsid w:val="00511C6B"/>
    <w:rsid w:val="00511F23"/>
    <w:rsid w:val="0051259B"/>
    <w:rsid w:val="00512644"/>
    <w:rsid w:val="00512DD2"/>
    <w:rsid w:val="005135D6"/>
    <w:rsid w:val="005138C6"/>
    <w:rsid w:val="005150E4"/>
    <w:rsid w:val="00515232"/>
    <w:rsid w:val="00515D1B"/>
    <w:rsid w:val="00515F82"/>
    <w:rsid w:val="005163AB"/>
    <w:rsid w:val="005171B1"/>
    <w:rsid w:val="00517A50"/>
    <w:rsid w:val="00517B61"/>
    <w:rsid w:val="005200C5"/>
    <w:rsid w:val="00520516"/>
    <w:rsid w:val="00520602"/>
    <w:rsid w:val="00522493"/>
    <w:rsid w:val="00522653"/>
    <w:rsid w:val="0052279B"/>
    <w:rsid w:val="005230BE"/>
    <w:rsid w:val="005242FA"/>
    <w:rsid w:val="005245A8"/>
    <w:rsid w:val="0052469A"/>
    <w:rsid w:val="00524AFE"/>
    <w:rsid w:val="00525C2F"/>
    <w:rsid w:val="0052618E"/>
    <w:rsid w:val="0052685B"/>
    <w:rsid w:val="005274A8"/>
    <w:rsid w:val="005276DD"/>
    <w:rsid w:val="00531ACF"/>
    <w:rsid w:val="0053258F"/>
    <w:rsid w:val="00532B38"/>
    <w:rsid w:val="00533D67"/>
    <w:rsid w:val="00533DAF"/>
    <w:rsid w:val="005348C1"/>
    <w:rsid w:val="0053576C"/>
    <w:rsid w:val="005357A6"/>
    <w:rsid w:val="00535DF4"/>
    <w:rsid w:val="00536617"/>
    <w:rsid w:val="00536940"/>
    <w:rsid w:val="00536FC8"/>
    <w:rsid w:val="005372A2"/>
    <w:rsid w:val="005373BE"/>
    <w:rsid w:val="005378F8"/>
    <w:rsid w:val="005420A7"/>
    <w:rsid w:val="00542863"/>
    <w:rsid w:val="005436B0"/>
    <w:rsid w:val="00543AEA"/>
    <w:rsid w:val="0054470A"/>
    <w:rsid w:val="00544DC6"/>
    <w:rsid w:val="00545B5F"/>
    <w:rsid w:val="00546482"/>
    <w:rsid w:val="00546BE1"/>
    <w:rsid w:val="00546E64"/>
    <w:rsid w:val="0054743E"/>
    <w:rsid w:val="0055051A"/>
    <w:rsid w:val="0055067A"/>
    <w:rsid w:val="00551568"/>
    <w:rsid w:val="00551770"/>
    <w:rsid w:val="00551A16"/>
    <w:rsid w:val="00551B25"/>
    <w:rsid w:val="00553481"/>
    <w:rsid w:val="005537A4"/>
    <w:rsid w:val="005539A8"/>
    <w:rsid w:val="00553D47"/>
    <w:rsid w:val="00554BAC"/>
    <w:rsid w:val="00554ED6"/>
    <w:rsid w:val="00554FF0"/>
    <w:rsid w:val="00555B99"/>
    <w:rsid w:val="0055627B"/>
    <w:rsid w:val="00557603"/>
    <w:rsid w:val="005576C7"/>
    <w:rsid w:val="00557EFE"/>
    <w:rsid w:val="00560133"/>
    <w:rsid w:val="005605E8"/>
    <w:rsid w:val="00560F78"/>
    <w:rsid w:val="0056178D"/>
    <w:rsid w:val="005617DA"/>
    <w:rsid w:val="0056197D"/>
    <w:rsid w:val="00561ECE"/>
    <w:rsid w:val="00563211"/>
    <w:rsid w:val="00563611"/>
    <w:rsid w:val="005648E2"/>
    <w:rsid w:val="005649F5"/>
    <w:rsid w:val="00565195"/>
    <w:rsid w:val="00565215"/>
    <w:rsid w:val="00565E5B"/>
    <w:rsid w:val="00565E92"/>
    <w:rsid w:val="005661D0"/>
    <w:rsid w:val="00567862"/>
    <w:rsid w:val="00567E2C"/>
    <w:rsid w:val="0057003C"/>
    <w:rsid w:val="00570707"/>
    <w:rsid w:val="005707C5"/>
    <w:rsid w:val="005708C4"/>
    <w:rsid w:val="0057172D"/>
    <w:rsid w:val="0057185E"/>
    <w:rsid w:val="00571F65"/>
    <w:rsid w:val="00573645"/>
    <w:rsid w:val="005739C5"/>
    <w:rsid w:val="005740E4"/>
    <w:rsid w:val="005742DB"/>
    <w:rsid w:val="005744BE"/>
    <w:rsid w:val="0057523A"/>
    <w:rsid w:val="00575291"/>
    <w:rsid w:val="00577576"/>
    <w:rsid w:val="005808B8"/>
    <w:rsid w:val="00580A93"/>
    <w:rsid w:val="00580AB9"/>
    <w:rsid w:val="00581D43"/>
    <w:rsid w:val="005832C8"/>
    <w:rsid w:val="005838A3"/>
    <w:rsid w:val="005838C2"/>
    <w:rsid w:val="00584423"/>
    <w:rsid w:val="0058448A"/>
    <w:rsid w:val="00585410"/>
    <w:rsid w:val="00586211"/>
    <w:rsid w:val="00587EC9"/>
    <w:rsid w:val="00590033"/>
    <w:rsid w:val="00590D39"/>
    <w:rsid w:val="005913AE"/>
    <w:rsid w:val="0059188E"/>
    <w:rsid w:val="005919E4"/>
    <w:rsid w:val="00593F9A"/>
    <w:rsid w:val="0059407A"/>
    <w:rsid w:val="00594397"/>
    <w:rsid w:val="00594706"/>
    <w:rsid w:val="00596E3F"/>
    <w:rsid w:val="00596FC3"/>
    <w:rsid w:val="005979A4"/>
    <w:rsid w:val="00597DCB"/>
    <w:rsid w:val="005A00FC"/>
    <w:rsid w:val="005A03F3"/>
    <w:rsid w:val="005A118B"/>
    <w:rsid w:val="005A155D"/>
    <w:rsid w:val="005A1A73"/>
    <w:rsid w:val="005A2229"/>
    <w:rsid w:val="005A2593"/>
    <w:rsid w:val="005A2D41"/>
    <w:rsid w:val="005A3361"/>
    <w:rsid w:val="005A3A72"/>
    <w:rsid w:val="005A5500"/>
    <w:rsid w:val="005A5645"/>
    <w:rsid w:val="005A5A9D"/>
    <w:rsid w:val="005A6514"/>
    <w:rsid w:val="005A6D30"/>
    <w:rsid w:val="005A7C64"/>
    <w:rsid w:val="005B0D76"/>
    <w:rsid w:val="005B1671"/>
    <w:rsid w:val="005B1C71"/>
    <w:rsid w:val="005B3206"/>
    <w:rsid w:val="005B36D0"/>
    <w:rsid w:val="005B41FB"/>
    <w:rsid w:val="005B4339"/>
    <w:rsid w:val="005B4942"/>
    <w:rsid w:val="005B4B7D"/>
    <w:rsid w:val="005B50D6"/>
    <w:rsid w:val="005B56E8"/>
    <w:rsid w:val="005B5DE6"/>
    <w:rsid w:val="005B64A1"/>
    <w:rsid w:val="005B688A"/>
    <w:rsid w:val="005B6E8B"/>
    <w:rsid w:val="005B6F75"/>
    <w:rsid w:val="005B7192"/>
    <w:rsid w:val="005B71A3"/>
    <w:rsid w:val="005B72F5"/>
    <w:rsid w:val="005B74FF"/>
    <w:rsid w:val="005B7552"/>
    <w:rsid w:val="005B7BF2"/>
    <w:rsid w:val="005C0D08"/>
    <w:rsid w:val="005C19FF"/>
    <w:rsid w:val="005C2DCB"/>
    <w:rsid w:val="005C2FBB"/>
    <w:rsid w:val="005C424F"/>
    <w:rsid w:val="005C4343"/>
    <w:rsid w:val="005C4765"/>
    <w:rsid w:val="005C578F"/>
    <w:rsid w:val="005C596E"/>
    <w:rsid w:val="005C5B81"/>
    <w:rsid w:val="005C5BB9"/>
    <w:rsid w:val="005C633F"/>
    <w:rsid w:val="005C6F0F"/>
    <w:rsid w:val="005C71EB"/>
    <w:rsid w:val="005D022A"/>
    <w:rsid w:val="005D025E"/>
    <w:rsid w:val="005D0524"/>
    <w:rsid w:val="005D0967"/>
    <w:rsid w:val="005D0EBF"/>
    <w:rsid w:val="005D0F70"/>
    <w:rsid w:val="005D116C"/>
    <w:rsid w:val="005D1226"/>
    <w:rsid w:val="005D14F3"/>
    <w:rsid w:val="005D1A75"/>
    <w:rsid w:val="005D1CA2"/>
    <w:rsid w:val="005D2295"/>
    <w:rsid w:val="005D309C"/>
    <w:rsid w:val="005D411B"/>
    <w:rsid w:val="005D422A"/>
    <w:rsid w:val="005D45F4"/>
    <w:rsid w:val="005D4801"/>
    <w:rsid w:val="005D5977"/>
    <w:rsid w:val="005D5B4B"/>
    <w:rsid w:val="005D60F6"/>
    <w:rsid w:val="005D6EDE"/>
    <w:rsid w:val="005D6F3F"/>
    <w:rsid w:val="005D7280"/>
    <w:rsid w:val="005D77F4"/>
    <w:rsid w:val="005E0322"/>
    <w:rsid w:val="005E0D77"/>
    <w:rsid w:val="005E0F32"/>
    <w:rsid w:val="005E14FE"/>
    <w:rsid w:val="005E19CE"/>
    <w:rsid w:val="005E1CA9"/>
    <w:rsid w:val="005E1FD3"/>
    <w:rsid w:val="005E3688"/>
    <w:rsid w:val="005E3973"/>
    <w:rsid w:val="005E419F"/>
    <w:rsid w:val="005E42E4"/>
    <w:rsid w:val="005E48AF"/>
    <w:rsid w:val="005E4C8E"/>
    <w:rsid w:val="005E781F"/>
    <w:rsid w:val="005E7D54"/>
    <w:rsid w:val="005E7E9E"/>
    <w:rsid w:val="005F0AB6"/>
    <w:rsid w:val="005F23CA"/>
    <w:rsid w:val="005F28B1"/>
    <w:rsid w:val="005F40EF"/>
    <w:rsid w:val="005F46BE"/>
    <w:rsid w:val="005F4915"/>
    <w:rsid w:val="005F50B7"/>
    <w:rsid w:val="005F577F"/>
    <w:rsid w:val="005F5EDD"/>
    <w:rsid w:val="005F6218"/>
    <w:rsid w:val="005F70D5"/>
    <w:rsid w:val="005F74A1"/>
    <w:rsid w:val="005F79B8"/>
    <w:rsid w:val="006001EA"/>
    <w:rsid w:val="0060023D"/>
    <w:rsid w:val="00600681"/>
    <w:rsid w:val="00601EDF"/>
    <w:rsid w:val="00602063"/>
    <w:rsid w:val="00602074"/>
    <w:rsid w:val="0060266D"/>
    <w:rsid w:val="00602E36"/>
    <w:rsid w:val="006034A5"/>
    <w:rsid w:val="00604DBB"/>
    <w:rsid w:val="0060539A"/>
    <w:rsid w:val="0060555C"/>
    <w:rsid w:val="0060655C"/>
    <w:rsid w:val="006103C7"/>
    <w:rsid w:val="006107E6"/>
    <w:rsid w:val="00611B77"/>
    <w:rsid w:val="006122AA"/>
    <w:rsid w:val="00612526"/>
    <w:rsid w:val="00612BBA"/>
    <w:rsid w:val="00612C6F"/>
    <w:rsid w:val="00613AB1"/>
    <w:rsid w:val="00614593"/>
    <w:rsid w:val="00615587"/>
    <w:rsid w:val="00615BBD"/>
    <w:rsid w:val="00615BC2"/>
    <w:rsid w:val="00615C0A"/>
    <w:rsid w:val="0061625A"/>
    <w:rsid w:val="00616F2F"/>
    <w:rsid w:val="006170A2"/>
    <w:rsid w:val="006171C6"/>
    <w:rsid w:val="006172FE"/>
    <w:rsid w:val="0062110C"/>
    <w:rsid w:val="00621191"/>
    <w:rsid w:val="006212D2"/>
    <w:rsid w:val="0062193D"/>
    <w:rsid w:val="00622357"/>
    <w:rsid w:val="0062294F"/>
    <w:rsid w:val="00622D0F"/>
    <w:rsid w:val="00622E53"/>
    <w:rsid w:val="00623306"/>
    <w:rsid w:val="00623540"/>
    <w:rsid w:val="006239B9"/>
    <w:rsid w:val="00623B03"/>
    <w:rsid w:val="00624CA9"/>
    <w:rsid w:val="00625576"/>
    <w:rsid w:val="00625617"/>
    <w:rsid w:val="00626975"/>
    <w:rsid w:val="00627E06"/>
    <w:rsid w:val="00630239"/>
    <w:rsid w:val="00631246"/>
    <w:rsid w:val="00631E92"/>
    <w:rsid w:val="00632114"/>
    <w:rsid w:val="00632B51"/>
    <w:rsid w:val="006338E6"/>
    <w:rsid w:val="00633958"/>
    <w:rsid w:val="00633F81"/>
    <w:rsid w:val="006343D0"/>
    <w:rsid w:val="00634974"/>
    <w:rsid w:val="00634F58"/>
    <w:rsid w:val="0063648A"/>
    <w:rsid w:val="006366D1"/>
    <w:rsid w:val="006375A7"/>
    <w:rsid w:val="00637968"/>
    <w:rsid w:val="00637D39"/>
    <w:rsid w:val="0064052B"/>
    <w:rsid w:val="00640AFA"/>
    <w:rsid w:val="00641F49"/>
    <w:rsid w:val="00643979"/>
    <w:rsid w:val="00644697"/>
    <w:rsid w:val="00645881"/>
    <w:rsid w:val="00645F36"/>
    <w:rsid w:val="00646DAD"/>
    <w:rsid w:val="0065156F"/>
    <w:rsid w:val="0065242E"/>
    <w:rsid w:val="00652CFB"/>
    <w:rsid w:val="006533A9"/>
    <w:rsid w:val="006534F2"/>
    <w:rsid w:val="00653ECD"/>
    <w:rsid w:val="0065475F"/>
    <w:rsid w:val="00655274"/>
    <w:rsid w:val="0065570A"/>
    <w:rsid w:val="00655ACD"/>
    <w:rsid w:val="00655F31"/>
    <w:rsid w:val="006565D4"/>
    <w:rsid w:val="00657249"/>
    <w:rsid w:val="006573DB"/>
    <w:rsid w:val="006575DF"/>
    <w:rsid w:val="00657A4B"/>
    <w:rsid w:val="00657BBF"/>
    <w:rsid w:val="00657D2A"/>
    <w:rsid w:val="00660662"/>
    <w:rsid w:val="006612A9"/>
    <w:rsid w:val="00661386"/>
    <w:rsid w:val="00662F8A"/>
    <w:rsid w:val="00663421"/>
    <w:rsid w:val="00663EA0"/>
    <w:rsid w:val="00663F09"/>
    <w:rsid w:val="00664B09"/>
    <w:rsid w:val="00666514"/>
    <w:rsid w:val="00667103"/>
    <w:rsid w:val="00667430"/>
    <w:rsid w:val="00667546"/>
    <w:rsid w:val="00667632"/>
    <w:rsid w:val="0066791A"/>
    <w:rsid w:val="006705E1"/>
    <w:rsid w:val="00670699"/>
    <w:rsid w:val="006707E6"/>
    <w:rsid w:val="0067110B"/>
    <w:rsid w:val="00672482"/>
    <w:rsid w:val="006725EC"/>
    <w:rsid w:val="00674810"/>
    <w:rsid w:val="00675725"/>
    <w:rsid w:val="0067587F"/>
    <w:rsid w:val="00676F8A"/>
    <w:rsid w:val="0067707F"/>
    <w:rsid w:val="006771F8"/>
    <w:rsid w:val="006779DF"/>
    <w:rsid w:val="00677EB0"/>
    <w:rsid w:val="00680005"/>
    <w:rsid w:val="00682929"/>
    <w:rsid w:val="00682CFE"/>
    <w:rsid w:val="00683938"/>
    <w:rsid w:val="006839A6"/>
    <w:rsid w:val="00685E32"/>
    <w:rsid w:val="00691385"/>
    <w:rsid w:val="00691725"/>
    <w:rsid w:val="00691EB5"/>
    <w:rsid w:val="00691FBC"/>
    <w:rsid w:val="00694063"/>
    <w:rsid w:val="00694099"/>
    <w:rsid w:val="006945AD"/>
    <w:rsid w:val="0069636C"/>
    <w:rsid w:val="0069698B"/>
    <w:rsid w:val="006976BB"/>
    <w:rsid w:val="006A099C"/>
    <w:rsid w:val="006A15F1"/>
    <w:rsid w:val="006A1C60"/>
    <w:rsid w:val="006A2873"/>
    <w:rsid w:val="006A2BCF"/>
    <w:rsid w:val="006A32CB"/>
    <w:rsid w:val="006A3FD5"/>
    <w:rsid w:val="006A4469"/>
    <w:rsid w:val="006A5D9F"/>
    <w:rsid w:val="006A5E9C"/>
    <w:rsid w:val="006A614E"/>
    <w:rsid w:val="006A62AF"/>
    <w:rsid w:val="006A65E0"/>
    <w:rsid w:val="006A69F3"/>
    <w:rsid w:val="006A6B78"/>
    <w:rsid w:val="006A6F36"/>
    <w:rsid w:val="006A792F"/>
    <w:rsid w:val="006B05B7"/>
    <w:rsid w:val="006B0687"/>
    <w:rsid w:val="006B0A30"/>
    <w:rsid w:val="006B0DF9"/>
    <w:rsid w:val="006B10C8"/>
    <w:rsid w:val="006B17E6"/>
    <w:rsid w:val="006B1AD8"/>
    <w:rsid w:val="006B1C25"/>
    <w:rsid w:val="006B2793"/>
    <w:rsid w:val="006B3CFF"/>
    <w:rsid w:val="006B47AF"/>
    <w:rsid w:val="006B4C26"/>
    <w:rsid w:val="006B520D"/>
    <w:rsid w:val="006B5D4F"/>
    <w:rsid w:val="006B6A3C"/>
    <w:rsid w:val="006B6F0D"/>
    <w:rsid w:val="006C0ED4"/>
    <w:rsid w:val="006C13B7"/>
    <w:rsid w:val="006C19DD"/>
    <w:rsid w:val="006C2164"/>
    <w:rsid w:val="006C24F5"/>
    <w:rsid w:val="006C3231"/>
    <w:rsid w:val="006C3690"/>
    <w:rsid w:val="006C3C59"/>
    <w:rsid w:val="006C48F3"/>
    <w:rsid w:val="006C4A95"/>
    <w:rsid w:val="006C6801"/>
    <w:rsid w:val="006C7995"/>
    <w:rsid w:val="006D02E1"/>
    <w:rsid w:val="006D15F9"/>
    <w:rsid w:val="006D207A"/>
    <w:rsid w:val="006D20F0"/>
    <w:rsid w:val="006D31D6"/>
    <w:rsid w:val="006D31DC"/>
    <w:rsid w:val="006D3454"/>
    <w:rsid w:val="006D3573"/>
    <w:rsid w:val="006D37F7"/>
    <w:rsid w:val="006D3BE3"/>
    <w:rsid w:val="006D449D"/>
    <w:rsid w:val="006D4A10"/>
    <w:rsid w:val="006D53AA"/>
    <w:rsid w:val="006D62D1"/>
    <w:rsid w:val="006D6DBC"/>
    <w:rsid w:val="006D7187"/>
    <w:rsid w:val="006D7543"/>
    <w:rsid w:val="006D79A2"/>
    <w:rsid w:val="006E026F"/>
    <w:rsid w:val="006E0D8F"/>
    <w:rsid w:val="006E29C6"/>
    <w:rsid w:val="006E2C76"/>
    <w:rsid w:val="006E3C20"/>
    <w:rsid w:val="006E3D01"/>
    <w:rsid w:val="006E7004"/>
    <w:rsid w:val="006E7060"/>
    <w:rsid w:val="006E7D01"/>
    <w:rsid w:val="006F175C"/>
    <w:rsid w:val="006F1F41"/>
    <w:rsid w:val="006F2C6E"/>
    <w:rsid w:val="006F4076"/>
    <w:rsid w:val="006F4105"/>
    <w:rsid w:val="006F41FC"/>
    <w:rsid w:val="006F4445"/>
    <w:rsid w:val="006F4447"/>
    <w:rsid w:val="006F4526"/>
    <w:rsid w:val="006F689F"/>
    <w:rsid w:val="006F698C"/>
    <w:rsid w:val="006F7702"/>
    <w:rsid w:val="00700195"/>
    <w:rsid w:val="007001EF"/>
    <w:rsid w:val="00700499"/>
    <w:rsid w:val="007008B9"/>
    <w:rsid w:val="00700FCC"/>
    <w:rsid w:val="00701364"/>
    <w:rsid w:val="00701D6E"/>
    <w:rsid w:val="007025CB"/>
    <w:rsid w:val="00703B07"/>
    <w:rsid w:val="007042B3"/>
    <w:rsid w:val="00706137"/>
    <w:rsid w:val="0070702D"/>
    <w:rsid w:val="007079B2"/>
    <w:rsid w:val="007103CA"/>
    <w:rsid w:val="00710AF3"/>
    <w:rsid w:val="00710F25"/>
    <w:rsid w:val="00711550"/>
    <w:rsid w:val="007124FB"/>
    <w:rsid w:val="0071313F"/>
    <w:rsid w:val="0071369D"/>
    <w:rsid w:val="007136E5"/>
    <w:rsid w:val="00713CC4"/>
    <w:rsid w:val="00714D75"/>
    <w:rsid w:val="00714E5C"/>
    <w:rsid w:val="00717ECD"/>
    <w:rsid w:val="00721116"/>
    <w:rsid w:val="00721899"/>
    <w:rsid w:val="00722304"/>
    <w:rsid w:val="007227BD"/>
    <w:rsid w:val="00722820"/>
    <w:rsid w:val="00722A76"/>
    <w:rsid w:val="00722CDA"/>
    <w:rsid w:val="00722F94"/>
    <w:rsid w:val="00723515"/>
    <w:rsid w:val="007238CB"/>
    <w:rsid w:val="00723FD2"/>
    <w:rsid w:val="0072430A"/>
    <w:rsid w:val="0072438D"/>
    <w:rsid w:val="00724AE3"/>
    <w:rsid w:val="00725E2D"/>
    <w:rsid w:val="007262D3"/>
    <w:rsid w:val="007262E2"/>
    <w:rsid w:val="0072634B"/>
    <w:rsid w:val="00726995"/>
    <w:rsid w:val="007272DC"/>
    <w:rsid w:val="00727A56"/>
    <w:rsid w:val="00730281"/>
    <w:rsid w:val="00730A44"/>
    <w:rsid w:val="00731029"/>
    <w:rsid w:val="00731403"/>
    <w:rsid w:val="00731659"/>
    <w:rsid w:val="007319A9"/>
    <w:rsid w:val="00731BD5"/>
    <w:rsid w:val="00731C4D"/>
    <w:rsid w:val="00732B52"/>
    <w:rsid w:val="00733174"/>
    <w:rsid w:val="00733428"/>
    <w:rsid w:val="00733585"/>
    <w:rsid w:val="007346E5"/>
    <w:rsid w:val="007347FC"/>
    <w:rsid w:val="00734DF0"/>
    <w:rsid w:val="00734F88"/>
    <w:rsid w:val="007359ED"/>
    <w:rsid w:val="00735CB8"/>
    <w:rsid w:val="00735DBE"/>
    <w:rsid w:val="00736038"/>
    <w:rsid w:val="0073645B"/>
    <w:rsid w:val="007369DA"/>
    <w:rsid w:val="00737EC5"/>
    <w:rsid w:val="00737F44"/>
    <w:rsid w:val="00740FDA"/>
    <w:rsid w:val="0074128D"/>
    <w:rsid w:val="0074138F"/>
    <w:rsid w:val="007424A4"/>
    <w:rsid w:val="00743960"/>
    <w:rsid w:val="00743C8D"/>
    <w:rsid w:val="007449FE"/>
    <w:rsid w:val="007451DA"/>
    <w:rsid w:val="00746595"/>
    <w:rsid w:val="007467E9"/>
    <w:rsid w:val="00746F59"/>
    <w:rsid w:val="0074718A"/>
    <w:rsid w:val="00747A99"/>
    <w:rsid w:val="00750AFE"/>
    <w:rsid w:val="00751637"/>
    <w:rsid w:val="007517F4"/>
    <w:rsid w:val="00753B0A"/>
    <w:rsid w:val="0075547A"/>
    <w:rsid w:val="00755B7A"/>
    <w:rsid w:val="00755FD6"/>
    <w:rsid w:val="007567CC"/>
    <w:rsid w:val="007572BA"/>
    <w:rsid w:val="007579D5"/>
    <w:rsid w:val="00757E5A"/>
    <w:rsid w:val="00761701"/>
    <w:rsid w:val="00762013"/>
    <w:rsid w:val="00763954"/>
    <w:rsid w:val="00764217"/>
    <w:rsid w:val="00764A55"/>
    <w:rsid w:val="007652D6"/>
    <w:rsid w:val="0076642E"/>
    <w:rsid w:val="00766C06"/>
    <w:rsid w:val="00767DA6"/>
    <w:rsid w:val="00770E08"/>
    <w:rsid w:val="00770EC5"/>
    <w:rsid w:val="0077165E"/>
    <w:rsid w:val="0077175F"/>
    <w:rsid w:val="00771F71"/>
    <w:rsid w:val="00773094"/>
    <w:rsid w:val="00773142"/>
    <w:rsid w:val="007739D6"/>
    <w:rsid w:val="0077465E"/>
    <w:rsid w:val="007746E1"/>
    <w:rsid w:val="0077491A"/>
    <w:rsid w:val="00774B5E"/>
    <w:rsid w:val="00774EE2"/>
    <w:rsid w:val="00775792"/>
    <w:rsid w:val="007758F2"/>
    <w:rsid w:val="0077698A"/>
    <w:rsid w:val="00776D11"/>
    <w:rsid w:val="00776F32"/>
    <w:rsid w:val="00776FBC"/>
    <w:rsid w:val="00780305"/>
    <w:rsid w:val="0078140F"/>
    <w:rsid w:val="00781C7D"/>
    <w:rsid w:val="0078235B"/>
    <w:rsid w:val="007825EF"/>
    <w:rsid w:val="007826D4"/>
    <w:rsid w:val="0078278D"/>
    <w:rsid w:val="00782880"/>
    <w:rsid w:val="0078368D"/>
    <w:rsid w:val="0078371C"/>
    <w:rsid w:val="0078393D"/>
    <w:rsid w:val="00783CA3"/>
    <w:rsid w:val="0078453A"/>
    <w:rsid w:val="007847A8"/>
    <w:rsid w:val="00784FBC"/>
    <w:rsid w:val="00784FE5"/>
    <w:rsid w:val="00785A3F"/>
    <w:rsid w:val="0079066D"/>
    <w:rsid w:val="00790D0F"/>
    <w:rsid w:val="00790DD1"/>
    <w:rsid w:val="0079147A"/>
    <w:rsid w:val="007921AE"/>
    <w:rsid w:val="007928DD"/>
    <w:rsid w:val="0079569F"/>
    <w:rsid w:val="007958C9"/>
    <w:rsid w:val="00795D10"/>
    <w:rsid w:val="00795D59"/>
    <w:rsid w:val="00797379"/>
    <w:rsid w:val="0079757C"/>
    <w:rsid w:val="00797BDC"/>
    <w:rsid w:val="00797F09"/>
    <w:rsid w:val="007A0040"/>
    <w:rsid w:val="007A05B5"/>
    <w:rsid w:val="007A11AE"/>
    <w:rsid w:val="007A161C"/>
    <w:rsid w:val="007A18E3"/>
    <w:rsid w:val="007A28FE"/>
    <w:rsid w:val="007A2A6F"/>
    <w:rsid w:val="007A2C06"/>
    <w:rsid w:val="007A2C0E"/>
    <w:rsid w:val="007A2C2E"/>
    <w:rsid w:val="007A2E51"/>
    <w:rsid w:val="007A3C7E"/>
    <w:rsid w:val="007A5EBE"/>
    <w:rsid w:val="007A6CE9"/>
    <w:rsid w:val="007A77A5"/>
    <w:rsid w:val="007A7AAE"/>
    <w:rsid w:val="007A7AEF"/>
    <w:rsid w:val="007B0BA2"/>
    <w:rsid w:val="007B1767"/>
    <w:rsid w:val="007B195F"/>
    <w:rsid w:val="007B2F3E"/>
    <w:rsid w:val="007B3336"/>
    <w:rsid w:val="007B350D"/>
    <w:rsid w:val="007B3D4F"/>
    <w:rsid w:val="007B3D9A"/>
    <w:rsid w:val="007B3EDA"/>
    <w:rsid w:val="007B4573"/>
    <w:rsid w:val="007B5302"/>
    <w:rsid w:val="007B6BF0"/>
    <w:rsid w:val="007B7AAF"/>
    <w:rsid w:val="007B7C5C"/>
    <w:rsid w:val="007B7EA1"/>
    <w:rsid w:val="007C0AC2"/>
    <w:rsid w:val="007C1711"/>
    <w:rsid w:val="007C2414"/>
    <w:rsid w:val="007C283E"/>
    <w:rsid w:val="007C3ADF"/>
    <w:rsid w:val="007C49E0"/>
    <w:rsid w:val="007C5082"/>
    <w:rsid w:val="007C56E2"/>
    <w:rsid w:val="007C5A19"/>
    <w:rsid w:val="007C6786"/>
    <w:rsid w:val="007C6CE3"/>
    <w:rsid w:val="007C72C0"/>
    <w:rsid w:val="007C791B"/>
    <w:rsid w:val="007C7B24"/>
    <w:rsid w:val="007D03E6"/>
    <w:rsid w:val="007D0A9D"/>
    <w:rsid w:val="007D1179"/>
    <w:rsid w:val="007D1711"/>
    <w:rsid w:val="007D27E6"/>
    <w:rsid w:val="007D2F28"/>
    <w:rsid w:val="007D33AE"/>
    <w:rsid w:val="007D3480"/>
    <w:rsid w:val="007D450E"/>
    <w:rsid w:val="007D4880"/>
    <w:rsid w:val="007D4BA3"/>
    <w:rsid w:val="007D4C39"/>
    <w:rsid w:val="007D4DDF"/>
    <w:rsid w:val="007D4FCA"/>
    <w:rsid w:val="007D511E"/>
    <w:rsid w:val="007D6BBA"/>
    <w:rsid w:val="007D71A3"/>
    <w:rsid w:val="007D760E"/>
    <w:rsid w:val="007D76A6"/>
    <w:rsid w:val="007D76CC"/>
    <w:rsid w:val="007D781E"/>
    <w:rsid w:val="007E1089"/>
    <w:rsid w:val="007E2AC7"/>
    <w:rsid w:val="007E39BE"/>
    <w:rsid w:val="007E3D14"/>
    <w:rsid w:val="007E3DD4"/>
    <w:rsid w:val="007E43A7"/>
    <w:rsid w:val="007E43CF"/>
    <w:rsid w:val="007E5260"/>
    <w:rsid w:val="007E60CF"/>
    <w:rsid w:val="007E64BD"/>
    <w:rsid w:val="007E6BC3"/>
    <w:rsid w:val="007E6F4B"/>
    <w:rsid w:val="007E7C67"/>
    <w:rsid w:val="007E7CCE"/>
    <w:rsid w:val="007F02EA"/>
    <w:rsid w:val="007F0CF2"/>
    <w:rsid w:val="007F18BC"/>
    <w:rsid w:val="007F1F2D"/>
    <w:rsid w:val="007F2155"/>
    <w:rsid w:val="007F3011"/>
    <w:rsid w:val="007F3477"/>
    <w:rsid w:val="007F3EE4"/>
    <w:rsid w:val="007F4444"/>
    <w:rsid w:val="007F4EFF"/>
    <w:rsid w:val="007F6069"/>
    <w:rsid w:val="007F61BB"/>
    <w:rsid w:val="007F6DC4"/>
    <w:rsid w:val="007F72E0"/>
    <w:rsid w:val="007F73AB"/>
    <w:rsid w:val="007F7A40"/>
    <w:rsid w:val="008000FB"/>
    <w:rsid w:val="00800420"/>
    <w:rsid w:val="008004BB"/>
    <w:rsid w:val="00801549"/>
    <w:rsid w:val="008017F2"/>
    <w:rsid w:val="008020B5"/>
    <w:rsid w:val="0080268D"/>
    <w:rsid w:val="00802878"/>
    <w:rsid w:val="00803339"/>
    <w:rsid w:val="00804175"/>
    <w:rsid w:val="00804C83"/>
    <w:rsid w:val="00804DA2"/>
    <w:rsid w:val="00806913"/>
    <w:rsid w:val="00806968"/>
    <w:rsid w:val="00806A1B"/>
    <w:rsid w:val="00806F27"/>
    <w:rsid w:val="00807FFB"/>
    <w:rsid w:val="0081011F"/>
    <w:rsid w:val="008123DE"/>
    <w:rsid w:val="00812502"/>
    <w:rsid w:val="00812D79"/>
    <w:rsid w:val="008130E2"/>
    <w:rsid w:val="00813355"/>
    <w:rsid w:val="00813AFD"/>
    <w:rsid w:val="00813C6D"/>
    <w:rsid w:val="00813C96"/>
    <w:rsid w:val="00814875"/>
    <w:rsid w:val="00814B5A"/>
    <w:rsid w:val="008154D7"/>
    <w:rsid w:val="00815B90"/>
    <w:rsid w:val="00815CC7"/>
    <w:rsid w:val="008162C6"/>
    <w:rsid w:val="00816550"/>
    <w:rsid w:val="0081671C"/>
    <w:rsid w:val="008167C0"/>
    <w:rsid w:val="00816E6E"/>
    <w:rsid w:val="0081726D"/>
    <w:rsid w:val="00817862"/>
    <w:rsid w:val="00817BEB"/>
    <w:rsid w:val="00817DB1"/>
    <w:rsid w:val="00820056"/>
    <w:rsid w:val="008201D7"/>
    <w:rsid w:val="00821250"/>
    <w:rsid w:val="008217F1"/>
    <w:rsid w:val="008218FA"/>
    <w:rsid w:val="00821AE1"/>
    <w:rsid w:val="00821CA7"/>
    <w:rsid w:val="00821E55"/>
    <w:rsid w:val="00822A51"/>
    <w:rsid w:val="00822EBE"/>
    <w:rsid w:val="00823638"/>
    <w:rsid w:val="00824239"/>
    <w:rsid w:val="00824930"/>
    <w:rsid w:val="00824BA1"/>
    <w:rsid w:val="00824DC6"/>
    <w:rsid w:val="00825390"/>
    <w:rsid w:val="00825DD0"/>
    <w:rsid w:val="00826C18"/>
    <w:rsid w:val="00827408"/>
    <w:rsid w:val="00827CA2"/>
    <w:rsid w:val="0083161B"/>
    <w:rsid w:val="00831A3F"/>
    <w:rsid w:val="00831D03"/>
    <w:rsid w:val="00831EE5"/>
    <w:rsid w:val="00832E45"/>
    <w:rsid w:val="00833989"/>
    <w:rsid w:val="008344DF"/>
    <w:rsid w:val="00834F31"/>
    <w:rsid w:val="008353A4"/>
    <w:rsid w:val="008358DD"/>
    <w:rsid w:val="00836315"/>
    <w:rsid w:val="00836860"/>
    <w:rsid w:val="00836E6D"/>
    <w:rsid w:val="008372B3"/>
    <w:rsid w:val="00840B25"/>
    <w:rsid w:val="00841057"/>
    <w:rsid w:val="008414A8"/>
    <w:rsid w:val="00842035"/>
    <w:rsid w:val="00842E28"/>
    <w:rsid w:val="0084409D"/>
    <w:rsid w:val="0084415E"/>
    <w:rsid w:val="00844A56"/>
    <w:rsid w:val="00845196"/>
    <w:rsid w:val="00845205"/>
    <w:rsid w:val="008452BE"/>
    <w:rsid w:val="008453CA"/>
    <w:rsid w:val="008458F3"/>
    <w:rsid w:val="008460A1"/>
    <w:rsid w:val="008461F3"/>
    <w:rsid w:val="00846227"/>
    <w:rsid w:val="00847054"/>
    <w:rsid w:val="008478F8"/>
    <w:rsid w:val="00847C0D"/>
    <w:rsid w:val="0085038D"/>
    <w:rsid w:val="008516DD"/>
    <w:rsid w:val="0085209E"/>
    <w:rsid w:val="008524B2"/>
    <w:rsid w:val="00852B85"/>
    <w:rsid w:val="00852C08"/>
    <w:rsid w:val="00853172"/>
    <w:rsid w:val="008534CA"/>
    <w:rsid w:val="00854FB5"/>
    <w:rsid w:val="00855092"/>
    <w:rsid w:val="00855915"/>
    <w:rsid w:val="00855E6E"/>
    <w:rsid w:val="008563C4"/>
    <w:rsid w:val="008565F8"/>
    <w:rsid w:val="008571BF"/>
    <w:rsid w:val="008574AB"/>
    <w:rsid w:val="00860F92"/>
    <w:rsid w:val="00860FA7"/>
    <w:rsid w:val="008610D2"/>
    <w:rsid w:val="0086120B"/>
    <w:rsid w:val="008615F9"/>
    <w:rsid w:val="00861CB7"/>
    <w:rsid w:val="00861F8F"/>
    <w:rsid w:val="00862A8C"/>
    <w:rsid w:val="00862F4F"/>
    <w:rsid w:val="00863A44"/>
    <w:rsid w:val="00864A50"/>
    <w:rsid w:val="00864DAF"/>
    <w:rsid w:val="0087043E"/>
    <w:rsid w:val="0087095B"/>
    <w:rsid w:val="00870DB4"/>
    <w:rsid w:val="0087104A"/>
    <w:rsid w:val="0087154D"/>
    <w:rsid w:val="00872473"/>
    <w:rsid w:val="00873961"/>
    <w:rsid w:val="0087464B"/>
    <w:rsid w:val="00874D9D"/>
    <w:rsid w:val="00875929"/>
    <w:rsid w:val="0087608A"/>
    <w:rsid w:val="008760E5"/>
    <w:rsid w:val="008760F3"/>
    <w:rsid w:val="008764DD"/>
    <w:rsid w:val="008765CC"/>
    <w:rsid w:val="00876FA8"/>
    <w:rsid w:val="00877E1E"/>
    <w:rsid w:val="00880616"/>
    <w:rsid w:val="008815AE"/>
    <w:rsid w:val="00881DB5"/>
    <w:rsid w:val="00881FC4"/>
    <w:rsid w:val="008844EC"/>
    <w:rsid w:val="008858A9"/>
    <w:rsid w:val="00886241"/>
    <w:rsid w:val="00886DF8"/>
    <w:rsid w:val="008870AB"/>
    <w:rsid w:val="00887787"/>
    <w:rsid w:val="00887A3A"/>
    <w:rsid w:val="0089004A"/>
    <w:rsid w:val="0089056D"/>
    <w:rsid w:val="00890600"/>
    <w:rsid w:val="008906E9"/>
    <w:rsid w:val="008925E0"/>
    <w:rsid w:val="008926EA"/>
    <w:rsid w:val="00892EFE"/>
    <w:rsid w:val="0089352A"/>
    <w:rsid w:val="00893A82"/>
    <w:rsid w:val="008940D9"/>
    <w:rsid w:val="0089524C"/>
    <w:rsid w:val="00895467"/>
    <w:rsid w:val="00896D00"/>
    <w:rsid w:val="0089786B"/>
    <w:rsid w:val="0089794B"/>
    <w:rsid w:val="00897B75"/>
    <w:rsid w:val="008A02AA"/>
    <w:rsid w:val="008A17AD"/>
    <w:rsid w:val="008A1E86"/>
    <w:rsid w:val="008A2A8B"/>
    <w:rsid w:val="008A2C3A"/>
    <w:rsid w:val="008A31D3"/>
    <w:rsid w:val="008A396B"/>
    <w:rsid w:val="008A3A52"/>
    <w:rsid w:val="008A4B50"/>
    <w:rsid w:val="008A4DC1"/>
    <w:rsid w:val="008A572A"/>
    <w:rsid w:val="008A58B2"/>
    <w:rsid w:val="008A5BFB"/>
    <w:rsid w:val="008A71CE"/>
    <w:rsid w:val="008A7960"/>
    <w:rsid w:val="008B0001"/>
    <w:rsid w:val="008B00EC"/>
    <w:rsid w:val="008B035E"/>
    <w:rsid w:val="008B042C"/>
    <w:rsid w:val="008B0483"/>
    <w:rsid w:val="008B05D8"/>
    <w:rsid w:val="008B11DD"/>
    <w:rsid w:val="008B1915"/>
    <w:rsid w:val="008B1EAF"/>
    <w:rsid w:val="008B20D9"/>
    <w:rsid w:val="008B220E"/>
    <w:rsid w:val="008B22F1"/>
    <w:rsid w:val="008B286F"/>
    <w:rsid w:val="008B2997"/>
    <w:rsid w:val="008B2DA1"/>
    <w:rsid w:val="008B3FA1"/>
    <w:rsid w:val="008B4A8D"/>
    <w:rsid w:val="008B4FBB"/>
    <w:rsid w:val="008B5239"/>
    <w:rsid w:val="008B5CB2"/>
    <w:rsid w:val="008B5DA7"/>
    <w:rsid w:val="008B698F"/>
    <w:rsid w:val="008B6E2C"/>
    <w:rsid w:val="008B7269"/>
    <w:rsid w:val="008B7406"/>
    <w:rsid w:val="008B7B80"/>
    <w:rsid w:val="008C0BA4"/>
    <w:rsid w:val="008C233D"/>
    <w:rsid w:val="008C25AD"/>
    <w:rsid w:val="008C4087"/>
    <w:rsid w:val="008C47D9"/>
    <w:rsid w:val="008C4CE5"/>
    <w:rsid w:val="008C4D16"/>
    <w:rsid w:val="008C53FE"/>
    <w:rsid w:val="008C5D8E"/>
    <w:rsid w:val="008C6217"/>
    <w:rsid w:val="008C688E"/>
    <w:rsid w:val="008C7532"/>
    <w:rsid w:val="008C7ED8"/>
    <w:rsid w:val="008D02B9"/>
    <w:rsid w:val="008D0422"/>
    <w:rsid w:val="008D061E"/>
    <w:rsid w:val="008D0A18"/>
    <w:rsid w:val="008D0C05"/>
    <w:rsid w:val="008D2233"/>
    <w:rsid w:val="008D3003"/>
    <w:rsid w:val="008D3637"/>
    <w:rsid w:val="008D3930"/>
    <w:rsid w:val="008D4676"/>
    <w:rsid w:val="008D4FAC"/>
    <w:rsid w:val="008D56BF"/>
    <w:rsid w:val="008D601B"/>
    <w:rsid w:val="008D6C42"/>
    <w:rsid w:val="008E0151"/>
    <w:rsid w:val="008E01E2"/>
    <w:rsid w:val="008E0313"/>
    <w:rsid w:val="008E0A21"/>
    <w:rsid w:val="008E107C"/>
    <w:rsid w:val="008E1221"/>
    <w:rsid w:val="008E2539"/>
    <w:rsid w:val="008E2CE3"/>
    <w:rsid w:val="008E2E27"/>
    <w:rsid w:val="008E41A2"/>
    <w:rsid w:val="008E45BF"/>
    <w:rsid w:val="008E4A29"/>
    <w:rsid w:val="008E4C99"/>
    <w:rsid w:val="008E59D8"/>
    <w:rsid w:val="008E60DC"/>
    <w:rsid w:val="008E744C"/>
    <w:rsid w:val="008E7CEC"/>
    <w:rsid w:val="008F0003"/>
    <w:rsid w:val="008F0032"/>
    <w:rsid w:val="008F0170"/>
    <w:rsid w:val="008F0547"/>
    <w:rsid w:val="008F08E1"/>
    <w:rsid w:val="008F15DD"/>
    <w:rsid w:val="008F2665"/>
    <w:rsid w:val="008F2844"/>
    <w:rsid w:val="008F3A9C"/>
    <w:rsid w:val="008F3EE9"/>
    <w:rsid w:val="008F4F25"/>
    <w:rsid w:val="008F543F"/>
    <w:rsid w:val="008F618E"/>
    <w:rsid w:val="008F64C9"/>
    <w:rsid w:val="008F6743"/>
    <w:rsid w:val="008F7936"/>
    <w:rsid w:val="009003D7"/>
    <w:rsid w:val="009005F4"/>
    <w:rsid w:val="00902706"/>
    <w:rsid w:val="009028D4"/>
    <w:rsid w:val="009035E3"/>
    <w:rsid w:val="00903B58"/>
    <w:rsid w:val="00903D3F"/>
    <w:rsid w:val="00904809"/>
    <w:rsid w:val="00904848"/>
    <w:rsid w:val="009058A0"/>
    <w:rsid w:val="00906201"/>
    <w:rsid w:val="009063B0"/>
    <w:rsid w:val="00906809"/>
    <w:rsid w:val="00906B19"/>
    <w:rsid w:val="00907511"/>
    <w:rsid w:val="009075FA"/>
    <w:rsid w:val="00907C3F"/>
    <w:rsid w:val="00907ED0"/>
    <w:rsid w:val="00910471"/>
    <w:rsid w:val="00911127"/>
    <w:rsid w:val="009112AB"/>
    <w:rsid w:val="00913770"/>
    <w:rsid w:val="0091518C"/>
    <w:rsid w:val="00915EF5"/>
    <w:rsid w:val="00916AB4"/>
    <w:rsid w:val="00916B92"/>
    <w:rsid w:val="00916F72"/>
    <w:rsid w:val="009170D3"/>
    <w:rsid w:val="0091714E"/>
    <w:rsid w:val="00917D7A"/>
    <w:rsid w:val="00920319"/>
    <w:rsid w:val="00920C89"/>
    <w:rsid w:val="0092115D"/>
    <w:rsid w:val="0092197F"/>
    <w:rsid w:val="00921E5D"/>
    <w:rsid w:val="00921FB7"/>
    <w:rsid w:val="00922379"/>
    <w:rsid w:val="00922576"/>
    <w:rsid w:val="00922BB7"/>
    <w:rsid w:val="00923013"/>
    <w:rsid w:val="0092310F"/>
    <w:rsid w:val="009246B9"/>
    <w:rsid w:val="00924AD8"/>
    <w:rsid w:val="00924FF1"/>
    <w:rsid w:val="00925166"/>
    <w:rsid w:val="009251C9"/>
    <w:rsid w:val="009257D9"/>
    <w:rsid w:val="00925CB7"/>
    <w:rsid w:val="00926404"/>
    <w:rsid w:val="00926467"/>
    <w:rsid w:val="0092711A"/>
    <w:rsid w:val="009277A2"/>
    <w:rsid w:val="00927F9D"/>
    <w:rsid w:val="00930524"/>
    <w:rsid w:val="00930AFC"/>
    <w:rsid w:val="0093106E"/>
    <w:rsid w:val="0093114D"/>
    <w:rsid w:val="009318D8"/>
    <w:rsid w:val="00931E8C"/>
    <w:rsid w:val="009336D3"/>
    <w:rsid w:val="009339DB"/>
    <w:rsid w:val="00933FC3"/>
    <w:rsid w:val="009347E0"/>
    <w:rsid w:val="00935550"/>
    <w:rsid w:val="00936458"/>
    <w:rsid w:val="0093712D"/>
    <w:rsid w:val="009376AF"/>
    <w:rsid w:val="009377A2"/>
    <w:rsid w:val="00937CF3"/>
    <w:rsid w:val="0094049A"/>
    <w:rsid w:val="00940637"/>
    <w:rsid w:val="009406AF"/>
    <w:rsid w:val="00940D21"/>
    <w:rsid w:val="0094292B"/>
    <w:rsid w:val="00943DA6"/>
    <w:rsid w:val="009447A1"/>
    <w:rsid w:val="0094498C"/>
    <w:rsid w:val="00944BDD"/>
    <w:rsid w:val="00945193"/>
    <w:rsid w:val="0094787B"/>
    <w:rsid w:val="0095015D"/>
    <w:rsid w:val="00950464"/>
    <w:rsid w:val="00950CCB"/>
    <w:rsid w:val="009513DC"/>
    <w:rsid w:val="009521EC"/>
    <w:rsid w:val="00952A9A"/>
    <w:rsid w:val="00953CE3"/>
    <w:rsid w:val="00954524"/>
    <w:rsid w:val="0095498C"/>
    <w:rsid w:val="00954B1F"/>
    <w:rsid w:val="00954D51"/>
    <w:rsid w:val="00955343"/>
    <w:rsid w:val="009569BB"/>
    <w:rsid w:val="00956A98"/>
    <w:rsid w:val="00956BD6"/>
    <w:rsid w:val="00956DB9"/>
    <w:rsid w:val="00956E3F"/>
    <w:rsid w:val="00957CE7"/>
    <w:rsid w:val="0096013D"/>
    <w:rsid w:val="00960574"/>
    <w:rsid w:val="009612FF"/>
    <w:rsid w:val="00961354"/>
    <w:rsid w:val="00961628"/>
    <w:rsid w:val="009618D3"/>
    <w:rsid w:val="00961E00"/>
    <w:rsid w:val="00961EAD"/>
    <w:rsid w:val="00963E33"/>
    <w:rsid w:val="00965BDD"/>
    <w:rsid w:val="0096644D"/>
    <w:rsid w:val="00967748"/>
    <w:rsid w:val="009677EB"/>
    <w:rsid w:val="00967A36"/>
    <w:rsid w:val="009706E6"/>
    <w:rsid w:val="00970E97"/>
    <w:rsid w:val="00972C68"/>
    <w:rsid w:val="00972EC7"/>
    <w:rsid w:val="009734F8"/>
    <w:rsid w:val="00973CF1"/>
    <w:rsid w:val="00973D8F"/>
    <w:rsid w:val="0097443A"/>
    <w:rsid w:val="00974BE2"/>
    <w:rsid w:val="00974FDB"/>
    <w:rsid w:val="00975361"/>
    <w:rsid w:val="0097572A"/>
    <w:rsid w:val="00975E53"/>
    <w:rsid w:val="00980217"/>
    <w:rsid w:val="009802F2"/>
    <w:rsid w:val="0098069A"/>
    <w:rsid w:val="00980C8B"/>
    <w:rsid w:val="009813D3"/>
    <w:rsid w:val="009813E9"/>
    <w:rsid w:val="00981D0A"/>
    <w:rsid w:val="00982252"/>
    <w:rsid w:val="009825FA"/>
    <w:rsid w:val="00982F33"/>
    <w:rsid w:val="00983346"/>
    <w:rsid w:val="00984EA6"/>
    <w:rsid w:val="009854AD"/>
    <w:rsid w:val="00985597"/>
    <w:rsid w:val="009868D3"/>
    <w:rsid w:val="00986E65"/>
    <w:rsid w:val="00987715"/>
    <w:rsid w:val="00990753"/>
    <w:rsid w:val="00991191"/>
    <w:rsid w:val="009911C5"/>
    <w:rsid w:val="009913EF"/>
    <w:rsid w:val="0099243A"/>
    <w:rsid w:val="009928A3"/>
    <w:rsid w:val="00992A65"/>
    <w:rsid w:val="00992FB7"/>
    <w:rsid w:val="0099358B"/>
    <w:rsid w:val="00993D3D"/>
    <w:rsid w:val="00994553"/>
    <w:rsid w:val="00994FCA"/>
    <w:rsid w:val="00996274"/>
    <w:rsid w:val="009976F3"/>
    <w:rsid w:val="009A0059"/>
    <w:rsid w:val="009A06E7"/>
    <w:rsid w:val="009A080E"/>
    <w:rsid w:val="009A1CC5"/>
    <w:rsid w:val="009A2D27"/>
    <w:rsid w:val="009A325D"/>
    <w:rsid w:val="009A333F"/>
    <w:rsid w:val="009A3343"/>
    <w:rsid w:val="009A3576"/>
    <w:rsid w:val="009A3AD6"/>
    <w:rsid w:val="009A4759"/>
    <w:rsid w:val="009A4779"/>
    <w:rsid w:val="009A6937"/>
    <w:rsid w:val="009A6D0F"/>
    <w:rsid w:val="009A6D8E"/>
    <w:rsid w:val="009A6E22"/>
    <w:rsid w:val="009A7E0E"/>
    <w:rsid w:val="009B0D64"/>
    <w:rsid w:val="009B1825"/>
    <w:rsid w:val="009B1BAC"/>
    <w:rsid w:val="009B26EA"/>
    <w:rsid w:val="009B2F3C"/>
    <w:rsid w:val="009B3815"/>
    <w:rsid w:val="009B42F1"/>
    <w:rsid w:val="009B43AE"/>
    <w:rsid w:val="009B5800"/>
    <w:rsid w:val="009B5E77"/>
    <w:rsid w:val="009B674C"/>
    <w:rsid w:val="009B6CF6"/>
    <w:rsid w:val="009B6D22"/>
    <w:rsid w:val="009C0782"/>
    <w:rsid w:val="009C0796"/>
    <w:rsid w:val="009C0F09"/>
    <w:rsid w:val="009C12BF"/>
    <w:rsid w:val="009C2C4C"/>
    <w:rsid w:val="009C4268"/>
    <w:rsid w:val="009C4793"/>
    <w:rsid w:val="009C49F1"/>
    <w:rsid w:val="009C4B73"/>
    <w:rsid w:val="009C4DAB"/>
    <w:rsid w:val="009C6ADF"/>
    <w:rsid w:val="009C715A"/>
    <w:rsid w:val="009D1578"/>
    <w:rsid w:val="009D16E3"/>
    <w:rsid w:val="009D2072"/>
    <w:rsid w:val="009D32F8"/>
    <w:rsid w:val="009D3531"/>
    <w:rsid w:val="009D4374"/>
    <w:rsid w:val="009D4726"/>
    <w:rsid w:val="009D5689"/>
    <w:rsid w:val="009D5A4E"/>
    <w:rsid w:val="009D5E7A"/>
    <w:rsid w:val="009D5F50"/>
    <w:rsid w:val="009D6E42"/>
    <w:rsid w:val="009D73CC"/>
    <w:rsid w:val="009E0BB5"/>
    <w:rsid w:val="009E0F5A"/>
    <w:rsid w:val="009E103F"/>
    <w:rsid w:val="009E1335"/>
    <w:rsid w:val="009E17F1"/>
    <w:rsid w:val="009E1F33"/>
    <w:rsid w:val="009E2013"/>
    <w:rsid w:val="009E4B9A"/>
    <w:rsid w:val="009E5820"/>
    <w:rsid w:val="009E5A96"/>
    <w:rsid w:val="009E675E"/>
    <w:rsid w:val="009E7E36"/>
    <w:rsid w:val="009F077A"/>
    <w:rsid w:val="009F0AB7"/>
    <w:rsid w:val="009F0C18"/>
    <w:rsid w:val="009F0C55"/>
    <w:rsid w:val="009F0CF4"/>
    <w:rsid w:val="009F0F52"/>
    <w:rsid w:val="009F1249"/>
    <w:rsid w:val="009F178E"/>
    <w:rsid w:val="009F1C0D"/>
    <w:rsid w:val="009F2B1F"/>
    <w:rsid w:val="009F4520"/>
    <w:rsid w:val="009F50EF"/>
    <w:rsid w:val="009F57FA"/>
    <w:rsid w:val="009F5880"/>
    <w:rsid w:val="009F6C83"/>
    <w:rsid w:val="009F6E7D"/>
    <w:rsid w:val="009F6F52"/>
    <w:rsid w:val="009F78C6"/>
    <w:rsid w:val="00A0082D"/>
    <w:rsid w:val="00A01186"/>
    <w:rsid w:val="00A019D0"/>
    <w:rsid w:val="00A01B3C"/>
    <w:rsid w:val="00A0217D"/>
    <w:rsid w:val="00A02835"/>
    <w:rsid w:val="00A031F9"/>
    <w:rsid w:val="00A03325"/>
    <w:rsid w:val="00A03C74"/>
    <w:rsid w:val="00A04E08"/>
    <w:rsid w:val="00A0624F"/>
    <w:rsid w:val="00A069BB"/>
    <w:rsid w:val="00A0732E"/>
    <w:rsid w:val="00A10655"/>
    <w:rsid w:val="00A10C4D"/>
    <w:rsid w:val="00A11032"/>
    <w:rsid w:val="00A11140"/>
    <w:rsid w:val="00A11531"/>
    <w:rsid w:val="00A12D20"/>
    <w:rsid w:val="00A134D2"/>
    <w:rsid w:val="00A13851"/>
    <w:rsid w:val="00A14266"/>
    <w:rsid w:val="00A17EB4"/>
    <w:rsid w:val="00A20150"/>
    <w:rsid w:val="00A2032F"/>
    <w:rsid w:val="00A21169"/>
    <w:rsid w:val="00A2138A"/>
    <w:rsid w:val="00A21B7F"/>
    <w:rsid w:val="00A21C0A"/>
    <w:rsid w:val="00A22473"/>
    <w:rsid w:val="00A22BC5"/>
    <w:rsid w:val="00A22C65"/>
    <w:rsid w:val="00A22C90"/>
    <w:rsid w:val="00A23152"/>
    <w:rsid w:val="00A2360B"/>
    <w:rsid w:val="00A2362B"/>
    <w:rsid w:val="00A239A8"/>
    <w:rsid w:val="00A23A0D"/>
    <w:rsid w:val="00A247BD"/>
    <w:rsid w:val="00A247FB"/>
    <w:rsid w:val="00A253D2"/>
    <w:rsid w:val="00A25744"/>
    <w:rsid w:val="00A26692"/>
    <w:rsid w:val="00A26B21"/>
    <w:rsid w:val="00A26E8C"/>
    <w:rsid w:val="00A272A0"/>
    <w:rsid w:val="00A274F0"/>
    <w:rsid w:val="00A27ACA"/>
    <w:rsid w:val="00A3030A"/>
    <w:rsid w:val="00A31C7D"/>
    <w:rsid w:val="00A32001"/>
    <w:rsid w:val="00A33735"/>
    <w:rsid w:val="00A3447E"/>
    <w:rsid w:val="00A34829"/>
    <w:rsid w:val="00A34AF4"/>
    <w:rsid w:val="00A3508B"/>
    <w:rsid w:val="00A3514B"/>
    <w:rsid w:val="00A35D51"/>
    <w:rsid w:val="00A36038"/>
    <w:rsid w:val="00A372AE"/>
    <w:rsid w:val="00A37D44"/>
    <w:rsid w:val="00A40CF2"/>
    <w:rsid w:val="00A4264A"/>
    <w:rsid w:val="00A42702"/>
    <w:rsid w:val="00A43A6B"/>
    <w:rsid w:val="00A45F85"/>
    <w:rsid w:val="00A4685C"/>
    <w:rsid w:val="00A46991"/>
    <w:rsid w:val="00A46B95"/>
    <w:rsid w:val="00A475E5"/>
    <w:rsid w:val="00A47A64"/>
    <w:rsid w:val="00A5056D"/>
    <w:rsid w:val="00A5214B"/>
    <w:rsid w:val="00A53F31"/>
    <w:rsid w:val="00A547A9"/>
    <w:rsid w:val="00A548EF"/>
    <w:rsid w:val="00A55BF9"/>
    <w:rsid w:val="00A55E0F"/>
    <w:rsid w:val="00A566DC"/>
    <w:rsid w:val="00A572AD"/>
    <w:rsid w:val="00A574C5"/>
    <w:rsid w:val="00A60762"/>
    <w:rsid w:val="00A60B16"/>
    <w:rsid w:val="00A61453"/>
    <w:rsid w:val="00A61813"/>
    <w:rsid w:val="00A6194C"/>
    <w:rsid w:val="00A6237B"/>
    <w:rsid w:val="00A623C8"/>
    <w:rsid w:val="00A63BE8"/>
    <w:rsid w:val="00A64695"/>
    <w:rsid w:val="00A64C34"/>
    <w:rsid w:val="00A64F84"/>
    <w:rsid w:val="00A65ED3"/>
    <w:rsid w:val="00A6641B"/>
    <w:rsid w:val="00A668EC"/>
    <w:rsid w:val="00A673C9"/>
    <w:rsid w:val="00A70C37"/>
    <w:rsid w:val="00A70F12"/>
    <w:rsid w:val="00A71A23"/>
    <w:rsid w:val="00A71C3C"/>
    <w:rsid w:val="00A71C94"/>
    <w:rsid w:val="00A71EFE"/>
    <w:rsid w:val="00A7257D"/>
    <w:rsid w:val="00A72B40"/>
    <w:rsid w:val="00A72E27"/>
    <w:rsid w:val="00A736D8"/>
    <w:rsid w:val="00A73AC9"/>
    <w:rsid w:val="00A73B66"/>
    <w:rsid w:val="00A73D86"/>
    <w:rsid w:val="00A752E6"/>
    <w:rsid w:val="00A756A2"/>
    <w:rsid w:val="00A7649D"/>
    <w:rsid w:val="00A771D3"/>
    <w:rsid w:val="00A7720F"/>
    <w:rsid w:val="00A77947"/>
    <w:rsid w:val="00A805F1"/>
    <w:rsid w:val="00A80664"/>
    <w:rsid w:val="00A812EB"/>
    <w:rsid w:val="00A814BE"/>
    <w:rsid w:val="00A815EE"/>
    <w:rsid w:val="00A81A00"/>
    <w:rsid w:val="00A82F1D"/>
    <w:rsid w:val="00A831B6"/>
    <w:rsid w:val="00A83293"/>
    <w:rsid w:val="00A8390D"/>
    <w:rsid w:val="00A84296"/>
    <w:rsid w:val="00A8496F"/>
    <w:rsid w:val="00A84BA1"/>
    <w:rsid w:val="00A84F2F"/>
    <w:rsid w:val="00A85411"/>
    <w:rsid w:val="00A85451"/>
    <w:rsid w:val="00A8549C"/>
    <w:rsid w:val="00A8584F"/>
    <w:rsid w:val="00A866BC"/>
    <w:rsid w:val="00A87EEB"/>
    <w:rsid w:val="00A90062"/>
    <w:rsid w:val="00A90207"/>
    <w:rsid w:val="00A90319"/>
    <w:rsid w:val="00A90338"/>
    <w:rsid w:val="00A903FA"/>
    <w:rsid w:val="00A90720"/>
    <w:rsid w:val="00A92509"/>
    <w:rsid w:val="00A927AE"/>
    <w:rsid w:val="00A92933"/>
    <w:rsid w:val="00A92C95"/>
    <w:rsid w:val="00A9399E"/>
    <w:rsid w:val="00A93CBB"/>
    <w:rsid w:val="00A93D8E"/>
    <w:rsid w:val="00A944AA"/>
    <w:rsid w:val="00A947AA"/>
    <w:rsid w:val="00A947F6"/>
    <w:rsid w:val="00A94896"/>
    <w:rsid w:val="00A94ECB"/>
    <w:rsid w:val="00A95B08"/>
    <w:rsid w:val="00A967A6"/>
    <w:rsid w:val="00A97C45"/>
    <w:rsid w:val="00AA07AF"/>
    <w:rsid w:val="00AA09CB"/>
    <w:rsid w:val="00AA0BD8"/>
    <w:rsid w:val="00AA10CF"/>
    <w:rsid w:val="00AA16DC"/>
    <w:rsid w:val="00AA4420"/>
    <w:rsid w:val="00AA5747"/>
    <w:rsid w:val="00AA5DE8"/>
    <w:rsid w:val="00AA700D"/>
    <w:rsid w:val="00AA728A"/>
    <w:rsid w:val="00AA7D5A"/>
    <w:rsid w:val="00AA7D92"/>
    <w:rsid w:val="00AB03A7"/>
    <w:rsid w:val="00AB091F"/>
    <w:rsid w:val="00AB0EE1"/>
    <w:rsid w:val="00AB1887"/>
    <w:rsid w:val="00AB1FA4"/>
    <w:rsid w:val="00AB2544"/>
    <w:rsid w:val="00AB295B"/>
    <w:rsid w:val="00AB2E80"/>
    <w:rsid w:val="00AB3B4C"/>
    <w:rsid w:val="00AB3C40"/>
    <w:rsid w:val="00AB3C49"/>
    <w:rsid w:val="00AB4694"/>
    <w:rsid w:val="00AB4B4E"/>
    <w:rsid w:val="00AB5209"/>
    <w:rsid w:val="00AB524F"/>
    <w:rsid w:val="00AB53D5"/>
    <w:rsid w:val="00AB6458"/>
    <w:rsid w:val="00AB64D0"/>
    <w:rsid w:val="00AB69ED"/>
    <w:rsid w:val="00AB6C7D"/>
    <w:rsid w:val="00AB6DDE"/>
    <w:rsid w:val="00AB6FF5"/>
    <w:rsid w:val="00AB7F9D"/>
    <w:rsid w:val="00AC10D0"/>
    <w:rsid w:val="00AC1476"/>
    <w:rsid w:val="00AC1661"/>
    <w:rsid w:val="00AC17D9"/>
    <w:rsid w:val="00AC1E6A"/>
    <w:rsid w:val="00AC2F9E"/>
    <w:rsid w:val="00AC2FB6"/>
    <w:rsid w:val="00AC3025"/>
    <w:rsid w:val="00AC3962"/>
    <w:rsid w:val="00AC4434"/>
    <w:rsid w:val="00AC4525"/>
    <w:rsid w:val="00AC58EB"/>
    <w:rsid w:val="00AC59EE"/>
    <w:rsid w:val="00AC670D"/>
    <w:rsid w:val="00AC67DD"/>
    <w:rsid w:val="00AC70E3"/>
    <w:rsid w:val="00AC711C"/>
    <w:rsid w:val="00AC77ED"/>
    <w:rsid w:val="00AC7ABD"/>
    <w:rsid w:val="00AD08FF"/>
    <w:rsid w:val="00AD0AF3"/>
    <w:rsid w:val="00AD1456"/>
    <w:rsid w:val="00AD1B90"/>
    <w:rsid w:val="00AD2F79"/>
    <w:rsid w:val="00AD321B"/>
    <w:rsid w:val="00AD3341"/>
    <w:rsid w:val="00AD3790"/>
    <w:rsid w:val="00AD455C"/>
    <w:rsid w:val="00AD5700"/>
    <w:rsid w:val="00AD6CE0"/>
    <w:rsid w:val="00AD70AF"/>
    <w:rsid w:val="00AD740C"/>
    <w:rsid w:val="00AE1900"/>
    <w:rsid w:val="00AE1BA4"/>
    <w:rsid w:val="00AE2BFC"/>
    <w:rsid w:val="00AE33E9"/>
    <w:rsid w:val="00AE37B6"/>
    <w:rsid w:val="00AE5D5A"/>
    <w:rsid w:val="00AE5D9D"/>
    <w:rsid w:val="00AE62F4"/>
    <w:rsid w:val="00AE71C3"/>
    <w:rsid w:val="00AE7C62"/>
    <w:rsid w:val="00AE7E3A"/>
    <w:rsid w:val="00AF099B"/>
    <w:rsid w:val="00AF19A3"/>
    <w:rsid w:val="00AF1AE1"/>
    <w:rsid w:val="00AF1BC5"/>
    <w:rsid w:val="00AF23FD"/>
    <w:rsid w:val="00AF3377"/>
    <w:rsid w:val="00AF38EE"/>
    <w:rsid w:val="00AF40B7"/>
    <w:rsid w:val="00AF43B5"/>
    <w:rsid w:val="00AF4915"/>
    <w:rsid w:val="00AF5BB7"/>
    <w:rsid w:val="00AF6E1C"/>
    <w:rsid w:val="00AF7FE6"/>
    <w:rsid w:val="00B01760"/>
    <w:rsid w:val="00B01BF3"/>
    <w:rsid w:val="00B024A1"/>
    <w:rsid w:val="00B02D93"/>
    <w:rsid w:val="00B0365C"/>
    <w:rsid w:val="00B038EB"/>
    <w:rsid w:val="00B03B2B"/>
    <w:rsid w:val="00B0475C"/>
    <w:rsid w:val="00B049C0"/>
    <w:rsid w:val="00B04A64"/>
    <w:rsid w:val="00B058DA"/>
    <w:rsid w:val="00B05A97"/>
    <w:rsid w:val="00B06354"/>
    <w:rsid w:val="00B069C9"/>
    <w:rsid w:val="00B06A66"/>
    <w:rsid w:val="00B06AAC"/>
    <w:rsid w:val="00B079C6"/>
    <w:rsid w:val="00B07C0C"/>
    <w:rsid w:val="00B10544"/>
    <w:rsid w:val="00B1070B"/>
    <w:rsid w:val="00B107B6"/>
    <w:rsid w:val="00B10A1F"/>
    <w:rsid w:val="00B116AA"/>
    <w:rsid w:val="00B12209"/>
    <w:rsid w:val="00B128E7"/>
    <w:rsid w:val="00B13465"/>
    <w:rsid w:val="00B135D7"/>
    <w:rsid w:val="00B141C1"/>
    <w:rsid w:val="00B141C2"/>
    <w:rsid w:val="00B14D53"/>
    <w:rsid w:val="00B15192"/>
    <w:rsid w:val="00B159FC"/>
    <w:rsid w:val="00B16DA3"/>
    <w:rsid w:val="00B17746"/>
    <w:rsid w:val="00B17AB9"/>
    <w:rsid w:val="00B20685"/>
    <w:rsid w:val="00B209B3"/>
    <w:rsid w:val="00B2115A"/>
    <w:rsid w:val="00B21EDA"/>
    <w:rsid w:val="00B221A2"/>
    <w:rsid w:val="00B22AEE"/>
    <w:rsid w:val="00B233BE"/>
    <w:rsid w:val="00B23652"/>
    <w:rsid w:val="00B239C1"/>
    <w:rsid w:val="00B23F9F"/>
    <w:rsid w:val="00B23FBD"/>
    <w:rsid w:val="00B2412F"/>
    <w:rsid w:val="00B241C6"/>
    <w:rsid w:val="00B24787"/>
    <w:rsid w:val="00B24B46"/>
    <w:rsid w:val="00B26337"/>
    <w:rsid w:val="00B2648D"/>
    <w:rsid w:val="00B26B30"/>
    <w:rsid w:val="00B26B7C"/>
    <w:rsid w:val="00B26F11"/>
    <w:rsid w:val="00B2701B"/>
    <w:rsid w:val="00B27368"/>
    <w:rsid w:val="00B2740D"/>
    <w:rsid w:val="00B275D9"/>
    <w:rsid w:val="00B27A93"/>
    <w:rsid w:val="00B27B82"/>
    <w:rsid w:val="00B3130A"/>
    <w:rsid w:val="00B3209C"/>
    <w:rsid w:val="00B32B73"/>
    <w:rsid w:val="00B33087"/>
    <w:rsid w:val="00B33766"/>
    <w:rsid w:val="00B34BDC"/>
    <w:rsid w:val="00B34C32"/>
    <w:rsid w:val="00B34D38"/>
    <w:rsid w:val="00B351E0"/>
    <w:rsid w:val="00B355C9"/>
    <w:rsid w:val="00B360E4"/>
    <w:rsid w:val="00B36732"/>
    <w:rsid w:val="00B37135"/>
    <w:rsid w:val="00B371A0"/>
    <w:rsid w:val="00B374CF"/>
    <w:rsid w:val="00B37C31"/>
    <w:rsid w:val="00B4044E"/>
    <w:rsid w:val="00B427BF"/>
    <w:rsid w:val="00B42B72"/>
    <w:rsid w:val="00B43638"/>
    <w:rsid w:val="00B45D67"/>
    <w:rsid w:val="00B463C2"/>
    <w:rsid w:val="00B46D4A"/>
    <w:rsid w:val="00B4712E"/>
    <w:rsid w:val="00B52067"/>
    <w:rsid w:val="00B525E0"/>
    <w:rsid w:val="00B52A45"/>
    <w:rsid w:val="00B52F8F"/>
    <w:rsid w:val="00B53453"/>
    <w:rsid w:val="00B538A8"/>
    <w:rsid w:val="00B54069"/>
    <w:rsid w:val="00B5509C"/>
    <w:rsid w:val="00B56071"/>
    <w:rsid w:val="00B575E7"/>
    <w:rsid w:val="00B57733"/>
    <w:rsid w:val="00B57BD7"/>
    <w:rsid w:val="00B61F6A"/>
    <w:rsid w:val="00B629EC"/>
    <w:rsid w:val="00B635DC"/>
    <w:rsid w:val="00B6417C"/>
    <w:rsid w:val="00B641BC"/>
    <w:rsid w:val="00B64833"/>
    <w:rsid w:val="00B650F4"/>
    <w:rsid w:val="00B651B9"/>
    <w:rsid w:val="00B6572C"/>
    <w:rsid w:val="00B65AEB"/>
    <w:rsid w:val="00B7006C"/>
    <w:rsid w:val="00B707E5"/>
    <w:rsid w:val="00B708EA"/>
    <w:rsid w:val="00B70ED1"/>
    <w:rsid w:val="00B70FCE"/>
    <w:rsid w:val="00B71109"/>
    <w:rsid w:val="00B71121"/>
    <w:rsid w:val="00B71348"/>
    <w:rsid w:val="00B71E6B"/>
    <w:rsid w:val="00B72A33"/>
    <w:rsid w:val="00B734BC"/>
    <w:rsid w:val="00B73A2C"/>
    <w:rsid w:val="00B73C2A"/>
    <w:rsid w:val="00B73C43"/>
    <w:rsid w:val="00B74C4C"/>
    <w:rsid w:val="00B7533B"/>
    <w:rsid w:val="00B75841"/>
    <w:rsid w:val="00B7604E"/>
    <w:rsid w:val="00B763D8"/>
    <w:rsid w:val="00B768BE"/>
    <w:rsid w:val="00B77CE7"/>
    <w:rsid w:val="00B8185E"/>
    <w:rsid w:val="00B8188A"/>
    <w:rsid w:val="00B829C0"/>
    <w:rsid w:val="00B83060"/>
    <w:rsid w:val="00B831DE"/>
    <w:rsid w:val="00B83A75"/>
    <w:rsid w:val="00B840EB"/>
    <w:rsid w:val="00B84106"/>
    <w:rsid w:val="00B84273"/>
    <w:rsid w:val="00B851A8"/>
    <w:rsid w:val="00B85E14"/>
    <w:rsid w:val="00B8687C"/>
    <w:rsid w:val="00B874EF"/>
    <w:rsid w:val="00B877B8"/>
    <w:rsid w:val="00B9006A"/>
    <w:rsid w:val="00B905F1"/>
    <w:rsid w:val="00B9072A"/>
    <w:rsid w:val="00B90BF5"/>
    <w:rsid w:val="00B910A5"/>
    <w:rsid w:val="00B91B29"/>
    <w:rsid w:val="00B91DB8"/>
    <w:rsid w:val="00B92686"/>
    <w:rsid w:val="00B92F78"/>
    <w:rsid w:val="00B94846"/>
    <w:rsid w:val="00B94B80"/>
    <w:rsid w:val="00B94FC4"/>
    <w:rsid w:val="00B95557"/>
    <w:rsid w:val="00B957E8"/>
    <w:rsid w:val="00B95836"/>
    <w:rsid w:val="00B96178"/>
    <w:rsid w:val="00B9628F"/>
    <w:rsid w:val="00B9697B"/>
    <w:rsid w:val="00B97552"/>
    <w:rsid w:val="00BA00B1"/>
    <w:rsid w:val="00BA0344"/>
    <w:rsid w:val="00BA0347"/>
    <w:rsid w:val="00BA0B1C"/>
    <w:rsid w:val="00BA3303"/>
    <w:rsid w:val="00BA38F3"/>
    <w:rsid w:val="00BA432B"/>
    <w:rsid w:val="00BA56F8"/>
    <w:rsid w:val="00BA59A3"/>
    <w:rsid w:val="00BA610F"/>
    <w:rsid w:val="00BA657A"/>
    <w:rsid w:val="00BA6580"/>
    <w:rsid w:val="00BA7780"/>
    <w:rsid w:val="00BA7B34"/>
    <w:rsid w:val="00BA7CF3"/>
    <w:rsid w:val="00BB0106"/>
    <w:rsid w:val="00BB09E6"/>
    <w:rsid w:val="00BB0D16"/>
    <w:rsid w:val="00BB0FB1"/>
    <w:rsid w:val="00BB196E"/>
    <w:rsid w:val="00BB19E6"/>
    <w:rsid w:val="00BB25D9"/>
    <w:rsid w:val="00BB28CB"/>
    <w:rsid w:val="00BB3F58"/>
    <w:rsid w:val="00BB5445"/>
    <w:rsid w:val="00BB5ADC"/>
    <w:rsid w:val="00BB6B0B"/>
    <w:rsid w:val="00BB6D48"/>
    <w:rsid w:val="00BB74BB"/>
    <w:rsid w:val="00BB77A6"/>
    <w:rsid w:val="00BB781F"/>
    <w:rsid w:val="00BC018F"/>
    <w:rsid w:val="00BC1775"/>
    <w:rsid w:val="00BC18C2"/>
    <w:rsid w:val="00BC1DEF"/>
    <w:rsid w:val="00BC23D7"/>
    <w:rsid w:val="00BC33AD"/>
    <w:rsid w:val="00BC379F"/>
    <w:rsid w:val="00BC3B47"/>
    <w:rsid w:val="00BC3C1E"/>
    <w:rsid w:val="00BC4B4E"/>
    <w:rsid w:val="00BC4C8F"/>
    <w:rsid w:val="00BC4D7C"/>
    <w:rsid w:val="00BC4DED"/>
    <w:rsid w:val="00BC52A3"/>
    <w:rsid w:val="00BC52CD"/>
    <w:rsid w:val="00BC57AE"/>
    <w:rsid w:val="00BC5B45"/>
    <w:rsid w:val="00BD113B"/>
    <w:rsid w:val="00BD174D"/>
    <w:rsid w:val="00BD1C7B"/>
    <w:rsid w:val="00BD2A9E"/>
    <w:rsid w:val="00BD354F"/>
    <w:rsid w:val="00BD527E"/>
    <w:rsid w:val="00BD64BF"/>
    <w:rsid w:val="00BD6605"/>
    <w:rsid w:val="00BE08EE"/>
    <w:rsid w:val="00BE0D11"/>
    <w:rsid w:val="00BE1172"/>
    <w:rsid w:val="00BE1A92"/>
    <w:rsid w:val="00BE1D36"/>
    <w:rsid w:val="00BE2997"/>
    <w:rsid w:val="00BE2AA3"/>
    <w:rsid w:val="00BE4195"/>
    <w:rsid w:val="00BE4F98"/>
    <w:rsid w:val="00BE5180"/>
    <w:rsid w:val="00BE6115"/>
    <w:rsid w:val="00BE6AA0"/>
    <w:rsid w:val="00BE7103"/>
    <w:rsid w:val="00BE7C0E"/>
    <w:rsid w:val="00BE7C96"/>
    <w:rsid w:val="00BF044F"/>
    <w:rsid w:val="00BF1D26"/>
    <w:rsid w:val="00BF1FB6"/>
    <w:rsid w:val="00BF2BFD"/>
    <w:rsid w:val="00BF3AD6"/>
    <w:rsid w:val="00BF3D2E"/>
    <w:rsid w:val="00BF456A"/>
    <w:rsid w:val="00BF4C8D"/>
    <w:rsid w:val="00BF6270"/>
    <w:rsid w:val="00BF6D56"/>
    <w:rsid w:val="00BF7035"/>
    <w:rsid w:val="00BF737B"/>
    <w:rsid w:val="00C00458"/>
    <w:rsid w:val="00C00715"/>
    <w:rsid w:val="00C010C4"/>
    <w:rsid w:val="00C01F9E"/>
    <w:rsid w:val="00C02CB3"/>
    <w:rsid w:val="00C03189"/>
    <w:rsid w:val="00C04151"/>
    <w:rsid w:val="00C04175"/>
    <w:rsid w:val="00C04C2F"/>
    <w:rsid w:val="00C058DA"/>
    <w:rsid w:val="00C05F68"/>
    <w:rsid w:val="00C06254"/>
    <w:rsid w:val="00C062DC"/>
    <w:rsid w:val="00C06319"/>
    <w:rsid w:val="00C0634E"/>
    <w:rsid w:val="00C072DB"/>
    <w:rsid w:val="00C0733A"/>
    <w:rsid w:val="00C073DB"/>
    <w:rsid w:val="00C07AF8"/>
    <w:rsid w:val="00C07C8A"/>
    <w:rsid w:val="00C107F8"/>
    <w:rsid w:val="00C11074"/>
    <w:rsid w:val="00C113AD"/>
    <w:rsid w:val="00C11798"/>
    <w:rsid w:val="00C1185E"/>
    <w:rsid w:val="00C133D4"/>
    <w:rsid w:val="00C139B5"/>
    <w:rsid w:val="00C13CEE"/>
    <w:rsid w:val="00C1415D"/>
    <w:rsid w:val="00C14C1A"/>
    <w:rsid w:val="00C15178"/>
    <w:rsid w:val="00C2040F"/>
    <w:rsid w:val="00C20419"/>
    <w:rsid w:val="00C20A64"/>
    <w:rsid w:val="00C20D07"/>
    <w:rsid w:val="00C20E08"/>
    <w:rsid w:val="00C20FDD"/>
    <w:rsid w:val="00C21C55"/>
    <w:rsid w:val="00C230AC"/>
    <w:rsid w:val="00C23236"/>
    <w:rsid w:val="00C23997"/>
    <w:rsid w:val="00C23BE0"/>
    <w:rsid w:val="00C254B4"/>
    <w:rsid w:val="00C25990"/>
    <w:rsid w:val="00C25FFD"/>
    <w:rsid w:val="00C270C6"/>
    <w:rsid w:val="00C27344"/>
    <w:rsid w:val="00C278DA"/>
    <w:rsid w:val="00C27AC3"/>
    <w:rsid w:val="00C304F1"/>
    <w:rsid w:val="00C313E4"/>
    <w:rsid w:val="00C31550"/>
    <w:rsid w:val="00C32DF7"/>
    <w:rsid w:val="00C33234"/>
    <w:rsid w:val="00C335BE"/>
    <w:rsid w:val="00C35197"/>
    <w:rsid w:val="00C35432"/>
    <w:rsid w:val="00C35945"/>
    <w:rsid w:val="00C36E11"/>
    <w:rsid w:val="00C37833"/>
    <w:rsid w:val="00C378E9"/>
    <w:rsid w:val="00C37ABA"/>
    <w:rsid w:val="00C403E2"/>
    <w:rsid w:val="00C40573"/>
    <w:rsid w:val="00C40B85"/>
    <w:rsid w:val="00C432CB"/>
    <w:rsid w:val="00C43557"/>
    <w:rsid w:val="00C43F88"/>
    <w:rsid w:val="00C456CB"/>
    <w:rsid w:val="00C46A5E"/>
    <w:rsid w:val="00C47624"/>
    <w:rsid w:val="00C50952"/>
    <w:rsid w:val="00C50B46"/>
    <w:rsid w:val="00C50D5D"/>
    <w:rsid w:val="00C51707"/>
    <w:rsid w:val="00C524AD"/>
    <w:rsid w:val="00C52B97"/>
    <w:rsid w:val="00C53795"/>
    <w:rsid w:val="00C545D5"/>
    <w:rsid w:val="00C54E7B"/>
    <w:rsid w:val="00C54F52"/>
    <w:rsid w:val="00C5588D"/>
    <w:rsid w:val="00C56A2E"/>
    <w:rsid w:val="00C5709E"/>
    <w:rsid w:val="00C5714A"/>
    <w:rsid w:val="00C60936"/>
    <w:rsid w:val="00C61208"/>
    <w:rsid w:val="00C6138D"/>
    <w:rsid w:val="00C617DD"/>
    <w:rsid w:val="00C6194A"/>
    <w:rsid w:val="00C627BC"/>
    <w:rsid w:val="00C62D48"/>
    <w:rsid w:val="00C631EB"/>
    <w:rsid w:val="00C644BF"/>
    <w:rsid w:val="00C6567A"/>
    <w:rsid w:val="00C65DD6"/>
    <w:rsid w:val="00C6601C"/>
    <w:rsid w:val="00C66041"/>
    <w:rsid w:val="00C66243"/>
    <w:rsid w:val="00C66F28"/>
    <w:rsid w:val="00C678BE"/>
    <w:rsid w:val="00C700E4"/>
    <w:rsid w:val="00C701D2"/>
    <w:rsid w:val="00C70659"/>
    <w:rsid w:val="00C71CAF"/>
    <w:rsid w:val="00C71D94"/>
    <w:rsid w:val="00C721B5"/>
    <w:rsid w:val="00C7279A"/>
    <w:rsid w:val="00C7370F"/>
    <w:rsid w:val="00C7454B"/>
    <w:rsid w:val="00C74616"/>
    <w:rsid w:val="00C746DA"/>
    <w:rsid w:val="00C750F0"/>
    <w:rsid w:val="00C757C4"/>
    <w:rsid w:val="00C76218"/>
    <w:rsid w:val="00C764F6"/>
    <w:rsid w:val="00C767AD"/>
    <w:rsid w:val="00C76B28"/>
    <w:rsid w:val="00C77DFF"/>
    <w:rsid w:val="00C80210"/>
    <w:rsid w:val="00C80895"/>
    <w:rsid w:val="00C81197"/>
    <w:rsid w:val="00C811EA"/>
    <w:rsid w:val="00C81436"/>
    <w:rsid w:val="00C814A2"/>
    <w:rsid w:val="00C81B50"/>
    <w:rsid w:val="00C81D9F"/>
    <w:rsid w:val="00C81DEB"/>
    <w:rsid w:val="00C822BB"/>
    <w:rsid w:val="00C8385E"/>
    <w:rsid w:val="00C838FC"/>
    <w:rsid w:val="00C8417C"/>
    <w:rsid w:val="00C84771"/>
    <w:rsid w:val="00C84ACE"/>
    <w:rsid w:val="00C84F27"/>
    <w:rsid w:val="00C86CD7"/>
    <w:rsid w:val="00C871B0"/>
    <w:rsid w:val="00C87467"/>
    <w:rsid w:val="00C87B6A"/>
    <w:rsid w:val="00C87D26"/>
    <w:rsid w:val="00C905B6"/>
    <w:rsid w:val="00C90F5E"/>
    <w:rsid w:val="00C91118"/>
    <w:rsid w:val="00C91354"/>
    <w:rsid w:val="00C91641"/>
    <w:rsid w:val="00C91A42"/>
    <w:rsid w:val="00C91C84"/>
    <w:rsid w:val="00C93038"/>
    <w:rsid w:val="00C943B2"/>
    <w:rsid w:val="00C95525"/>
    <w:rsid w:val="00C961ED"/>
    <w:rsid w:val="00C96450"/>
    <w:rsid w:val="00C967D8"/>
    <w:rsid w:val="00C96E54"/>
    <w:rsid w:val="00CA06A3"/>
    <w:rsid w:val="00CA0DF2"/>
    <w:rsid w:val="00CA182A"/>
    <w:rsid w:val="00CA3682"/>
    <w:rsid w:val="00CA3832"/>
    <w:rsid w:val="00CA3AF7"/>
    <w:rsid w:val="00CA42B6"/>
    <w:rsid w:val="00CA43FC"/>
    <w:rsid w:val="00CA4464"/>
    <w:rsid w:val="00CA5489"/>
    <w:rsid w:val="00CA6042"/>
    <w:rsid w:val="00CA6338"/>
    <w:rsid w:val="00CA656B"/>
    <w:rsid w:val="00CA65BD"/>
    <w:rsid w:val="00CA66D7"/>
    <w:rsid w:val="00CA6943"/>
    <w:rsid w:val="00CA6D0B"/>
    <w:rsid w:val="00CA791B"/>
    <w:rsid w:val="00CA791E"/>
    <w:rsid w:val="00CA79DD"/>
    <w:rsid w:val="00CB15B4"/>
    <w:rsid w:val="00CB3157"/>
    <w:rsid w:val="00CB33FF"/>
    <w:rsid w:val="00CB345B"/>
    <w:rsid w:val="00CB3945"/>
    <w:rsid w:val="00CB3C9E"/>
    <w:rsid w:val="00CB4966"/>
    <w:rsid w:val="00CB4FFE"/>
    <w:rsid w:val="00CB61F8"/>
    <w:rsid w:val="00CB6A4D"/>
    <w:rsid w:val="00CB6CE0"/>
    <w:rsid w:val="00CB7303"/>
    <w:rsid w:val="00CC0563"/>
    <w:rsid w:val="00CC1C83"/>
    <w:rsid w:val="00CC1D8A"/>
    <w:rsid w:val="00CC26BC"/>
    <w:rsid w:val="00CC2A70"/>
    <w:rsid w:val="00CC30D8"/>
    <w:rsid w:val="00CC31DF"/>
    <w:rsid w:val="00CC4B4F"/>
    <w:rsid w:val="00CC4DDE"/>
    <w:rsid w:val="00CC51C2"/>
    <w:rsid w:val="00CC5434"/>
    <w:rsid w:val="00CC559A"/>
    <w:rsid w:val="00CC5C9F"/>
    <w:rsid w:val="00CC6B7D"/>
    <w:rsid w:val="00CC6FC3"/>
    <w:rsid w:val="00CC7071"/>
    <w:rsid w:val="00CC7F93"/>
    <w:rsid w:val="00CD144E"/>
    <w:rsid w:val="00CD187F"/>
    <w:rsid w:val="00CD24B0"/>
    <w:rsid w:val="00CD27C8"/>
    <w:rsid w:val="00CD4C02"/>
    <w:rsid w:val="00CD4CDF"/>
    <w:rsid w:val="00CD5372"/>
    <w:rsid w:val="00CD632B"/>
    <w:rsid w:val="00CD6CC8"/>
    <w:rsid w:val="00CE0311"/>
    <w:rsid w:val="00CE0354"/>
    <w:rsid w:val="00CE0850"/>
    <w:rsid w:val="00CE0BD0"/>
    <w:rsid w:val="00CE1643"/>
    <w:rsid w:val="00CE1B8C"/>
    <w:rsid w:val="00CE2308"/>
    <w:rsid w:val="00CE2AAA"/>
    <w:rsid w:val="00CE4AE8"/>
    <w:rsid w:val="00CE5D9E"/>
    <w:rsid w:val="00CE609B"/>
    <w:rsid w:val="00CE6938"/>
    <w:rsid w:val="00CE6D59"/>
    <w:rsid w:val="00CF01DC"/>
    <w:rsid w:val="00CF040A"/>
    <w:rsid w:val="00CF09FC"/>
    <w:rsid w:val="00CF1AAA"/>
    <w:rsid w:val="00CF1DB6"/>
    <w:rsid w:val="00CF2373"/>
    <w:rsid w:val="00CF343A"/>
    <w:rsid w:val="00CF364A"/>
    <w:rsid w:val="00CF44FA"/>
    <w:rsid w:val="00CF4F02"/>
    <w:rsid w:val="00CF4FB2"/>
    <w:rsid w:val="00CF6C27"/>
    <w:rsid w:val="00CF7821"/>
    <w:rsid w:val="00CF7FBA"/>
    <w:rsid w:val="00D001F6"/>
    <w:rsid w:val="00D0068E"/>
    <w:rsid w:val="00D03FA0"/>
    <w:rsid w:val="00D045FA"/>
    <w:rsid w:val="00D0491D"/>
    <w:rsid w:val="00D049BE"/>
    <w:rsid w:val="00D04A04"/>
    <w:rsid w:val="00D058D8"/>
    <w:rsid w:val="00D05C46"/>
    <w:rsid w:val="00D05FBC"/>
    <w:rsid w:val="00D06DBE"/>
    <w:rsid w:val="00D079F1"/>
    <w:rsid w:val="00D10A79"/>
    <w:rsid w:val="00D117D6"/>
    <w:rsid w:val="00D11B6D"/>
    <w:rsid w:val="00D13817"/>
    <w:rsid w:val="00D14362"/>
    <w:rsid w:val="00D150DD"/>
    <w:rsid w:val="00D152FD"/>
    <w:rsid w:val="00D15421"/>
    <w:rsid w:val="00D161E9"/>
    <w:rsid w:val="00D16215"/>
    <w:rsid w:val="00D163C6"/>
    <w:rsid w:val="00D163EA"/>
    <w:rsid w:val="00D16D90"/>
    <w:rsid w:val="00D16EA6"/>
    <w:rsid w:val="00D17953"/>
    <w:rsid w:val="00D208BC"/>
    <w:rsid w:val="00D211AE"/>
    <w:rsid w:val="00D212E1"/>
    <w:rsid w:val="00D2153A"/>
    <w:rsid w:val="00D222D3"/>
    <w:rsid w:val="00D22934"/>
    <w:rsid w:val="00D23BB5"/>
    <w:rsid w:val="00D23BC0"/>
    <w:rsid w:val="00D23BD2"/>
    <w:rsid w:val="00D23CC3"/>
    <w:rsid w:val="00D248D5"/>
    <w:rsid w:val="00D25866"/>
    <w:rsid w:val="00D26F74"/>
    <w:rsid w:val="00D272DD"/>
    <w:rsid w:val="00D27410"/>
    <w:rsid w:val="00D276CA"/>
    <w:rsid w:val="00D303BB"/>
    <w:rsid w:val="00D306C6"/>
    <w:rsid w:val="00D3139B"/>
    <w:rsid w:val="00D31BCC"/>
    <w:rsid w:val="00D32DAB"/>
    <w:rsid w:val="00D33A1A"/>
    <w:rsid w:val="00D33E16"/>
    <w:rsid w:val="00D3418A"/>
    <w:rsid w:val="00D34F8E"/>
    <w:rsid w:val="00D35106"/>
    <w:rsid w:val="00D36331"/>
    <w:rsid w:val="00D36BC0"/>
    <w:rsid w:val="00D36EDB"/>
    <w:rsid w:val="00D403D2"/>
    <w:rsid w:val="00D40B6E"/>
    <w:rsid w:val="00D41932"/>
    <w:rsid w:val="00D42066"/>
    <w:rsid w:val="00D4251B"/>
    <w:rsid w:val="00D42965"/>
    <w:rsid w:val="00D42DAC"/>
    <w:rsid w:val="00D435B0"/>
    <w:rsid w:val="00D44090"/>
    <w:rsid w:val="00D4476D"/>
    <w:rsid w:val="00D44CF5"/>
    <w:rsid w:val="00D46228"/>
    <w:rsid w:val="00D467BD"/>
    <w:rsid w:val="00D47908"/>
    <w:rsid w:val="00D5008E"/>
    <w:rsid w:val="00D50A29"/>
    <w:rsid w:val="00D50BA9"/>
    <w:rsid w:val="00D51109"/>
    <w:rsid w:val="00D51CC6"/>
    <w:rsid w:val="00D51EC8"/>
    <w:rsid w:val="00D530F9"/>
    <w:rsid w:val="00D53798"/>
    <w:rsid w:val="00D54364"/>
    <w:rsid w:val="00D54400"/>
    <w:rsid w:val="00D5467A"/>
    <w:rsid w:val="00D5470B"/>
    <w:rsid w:val="00D549ED"/>
    <w:rsid w:val="00D5575C"/>
    <w:rsid w:val="00D558E6"/>
    <w:rsid w:val="00D55C33"/>
    <w:rsid w:val="00D57E32"/>
    <w:rsid w:val="00D6066B"/>
    <w:rsid w:val="00D61B45"/>
    <w:rsid w:val="00D61EBA"/>
    <w:rsid w:val="00D62B4C"/>
    <w:rsid w:val="00D62C74"/>
    <w:rsid w:val="00D63F8F"/>
    <w:rsid w:val="00D655B3"/>
    <w:rsid w:val="00D65658"/>
    <w:rsid w:val="00D66E52"/>
    <w:rsid w:val="00D679DC"/>
    <w:rsid w:val="00D67D6E"/>
    <w:rsid w:val="00D70667"/>
    <w:rsid w:val="00D70839"/>
    <w:rsid w:val="00D71211"/>
    <w:rsid w:val="00D718A1"/>
    <w:rsid w:val="00D72D81"/>
    <w:rsid w:val="00D7331A"/>
    <w:rsid w:val="00D74693"/>
    <w:rsid w:val="00D74A5E"/>
    <w:rsid w:val="00D758CC"/>
    <w:rsid w:val="00D762C0"/>
    <w:rsid w:val="00D76947"/>
    <w:rsid w:val="00D76B25"/>
    <w:rsid w:val="00D7755E"/>
    <w:rsid w:val="00D80213"/>
    <w:rsid w:val="00D802BC"/>
    <w:rsid w:val="00D80373"/>
    <w:rsid w:val="00D80398"/>
    <w:rsid w:val="00D80E30"/>
    <w:rsid w:val="00D813CF"/>
    <w:rsid w:val="00D81438"/>
    <w:rsid w:val="00D81A39"/>
    <w:rsid w:val="00D833F6"/>
    <w:rsid w:val="00D83606"/>
    <w:rsid w:val="00D83DA5"/>
    <w:rsid w:val="00D854E7"/>
    <w:rsid w:val="00D85DCD"/>
    <w:rsid w:val="00D874E4"/>
    <w:rsid w:val="00D900C1"/>
    <w:rsid w:val="00D918A5"/>
    <w:rsid w:val="00D92336"/>
    <w:rsid w:val="00D9296A"/>
    <w:rsid w:val="00D932D5"/>
    <w:rsid w:val="00D93D18"/>
    <w:rsid w:val="00D940D2"/>
    <w:rsid w:val="00D94938"/>
    <w:rsid w:val="00D94DE2"/>
    <w:rsid w:val="00D95376"/>
    <w:rsid w:val="00D96371"/>
    <w:rsid w:val="00D976A7"/>
    <w:rsid w:val="00D977AB"/>
    <w:rsid w:val="00DA03F9"/>
    <w:rsid w:val="00DA16CD"/>
    <w:rsid w:val="00DA29DC"/>
    <w:rsid w:val="00DA34C7"/>
    <w:rsid w:val="00DA3889"/>
    <w:rsid w:val="00DA3D7D"/>
    <w:rsid w:val="00DA650D"/>
    <w:rsid w:val="00DB038D"/>
    <w:rsid w:val="00DB15EE"/>
    <w:rsid w:val="00DB190A"/>
    <w:rsid w:val="00DB1AB7"/>
    <w:rsid w:val="00DB1D87"/>
    <w:rsid w:val="00DB3779"/>
    <w:rsid w:val="00DB460F"/>
    <w:rsid w:val="00DB5171"/>
    <w:rsid w:val="00DB52D5"/>
    <w:rsid w:val="00DB60F5"/>
    <w:rsid w:val="00DB633E"/>
    <w:rsid w:val="00DB696B"/>
    <w:rsid w:val="00DB7565"/>
    <w:rsid w:val="00DB7693"/>
    <w:rsid w:val="00DC07D6"/>
    <w:rsid w:val="00DC21FE"/>
    <w:rsid w:val="00DC27AB"/>
    <w:rsid w:val="00DC3D95"/>
    <w:rsid w:val="00DC4B02"/>
    <w:rsid w:val="00DC4C15"/>
    <w:rsid w:val="00DC6A88"/>
    <w:rsid w:val="00DC6FBD"/>
    <w:rsid w:val="00DD02D7"/>
    <w:rsid w:val="00DD03F6"/>
    <w:rsid w:val="00DD0DEB"/>
    <w:rsid w:val="00DD0DF5"/>
    <w:rsid w:val="00DD0F3E"/>
    <w:rsid w:val="00DD0F9F"/>
    <w:rsid w:val="00DD2947"/>
    <w:rsid w:val="00DD29ED"/>
    <w:rsid w:val="00DD2AE1"/>
    <w:rsid w:val="00DD337B"/>
    <w:rsid w:val="00DD35DC"/>
    <w:rsid w:val="00DD392E"/>
    <w:rsid w:val="00DD4172"/>
    <w:rsid w:val="00DD609F"/>
    <w:rsid w:val="00DD60A1"/>
    <w:rsid w:val="00DD698A"/>
    <w:rsid w:val="00DD69C4"/>
    <w:rsid w:val="00DD6C53"/>
    <w:rsid w:val="00DE10EF"/>
    <w:rsid w:val="00DE1143"/>
    <w:rsid w:val="00DE1154"/>
    <w:rsid w:val="00DE241A"/>
    <w:rsid w:val="00DE3F10"/>
    <w:rsid w:val="00DE44A5"/>
    <w:rsid w:val="00DE47ED"/>
    <w:rsid w:val="00DE49E5"/>
    <w:rsid w:val="00DE5D1C"/>
    <w:rsid w:val="00DE5E2C"/>
    <w:rsid w:val="00DE6614"/>
    <w:rsid w:val="00DE68D0"/>
    <w:rsid w:val="00DE6C93"/>
    <w:rsid w:val="00DE77C1"/>
    <w:rsid w:val="00DE7920"/>
    <w:rsid w:val="00DF13B0"/>
    <w:rsid w:val="00DF153C"/>
    <w:rsid w:val="00DF2787"/>
    <w:rsid w:val="00DF299E"/>
    <w:rsid w:val="00DF37A8"/>
    <w:rsid w:val="00DF4AD7"/>
    <w:rsid w:val="00DF570F"/>
    <w:rsid w:val="00DF6131"/>
    <w:rsid w:val="00DF6623"/>
    <w:rsid w:val="00DF791D"/>
    <w:rsid w:val="00DF7D49"/>
    <w:rsid w:val="00E0028B"/>
    <w:rsid w:val="00E00B5C"/>
    <w:rsid w:val="00E0130D"/>
    <w:rsid w:val="00E01616"/>
    <w:rsid w:val="00E02595"/>
    <w:rsid w:val="00E0425B"/>
    <w:rsid w:val="00E043E2"/>
    <w:rsid w:val="00E04462"/>
    <w:rsid w:val="00E044E9"/>
    <w:rsid w:val="00E051E0"/>
    <w:rsid w:val="00E05773"/>
    <w:rsid w:val="00E05C50"/>
    <w:rsid w:val="00E060B5"/>
    <w:rsid w:val="00E0625F"/>
    <w:rsid w:val="00E064B1"/>
    <w:rsid w:val="00E065A4"/>
    <w:rsid w:val="00E06D60"/>
    <w:rsid w:val="00E07A07"/>
    <w:rsid w:val="00E07DEE"/>
    <w:rsid w:val="00E10087"/>
    <w:rsid w:val="00E1021C"/>
    <w:rsid w:val="00E10DFB"/>
    <w:rsid w:val="00E10FE9"/>
    <w:rsid w:val="00E11289"/>
    <w:rsid w:val="00E122C2"/>
    <w:rsid w:val="00E126D8"/>
    <w:rsid w:val="00E12A79"/>
    <w:rsid w:val="00E13146"/>
    <w:rsid w:val="00E13DA6"/>
    <w:rsid w:val="00E141E6"/>
    <w:rsid w:val="00E14467"/>
    <w:rsid w:val="00E14723"/>
    <w:rsid w:val="00E15A89"/>
    <w:rsid w:val="00E15CB1"/>
    <w:rsid w:val="00E15CFE"/>
    <w:rsid w:val="00E16D3A"/>
    <w:rsid w:val="00E16E55"/>
    <w:rsid w:val="00E203A8"/>
    <w:rsid w:val="00E205D3"/>
    <w:rsid w:val="00E20648"/>
    <w:rsid w:val="00E20F39"/>
    <w:rsid w:val="00E2159B"/>
    <w:rsid w:val="00E2226A"/>
    <w:rsid w:val="00E228D4"/>
    <w:rsid w:val="00E22CCE"/>
    <w:rsid w:val="00E22DDF"/>
    <w:rsid w:val="00E234DF"/>
    <w:rsid w:val="00E25F6E"/>
    <w:rsid w:val="00E263E7"/>
    <w:rsid w:val="00E26815"/>
    <w:rsid w:val="00E272B6"/>
    <w:rsid w:val="00E2738C"/>
    <w:rsid w:val="00E27A2D"/>
    <w:rsid w:val="00E27F8B"/>
    <w:rsid w:val="00E30287"/>
    <w:rsid w:val="00E306C0"/>
    <w:rsid w:val="00E3093F"/>
    <w:rsid w:val="00E30C7D"/>
    <w:rsid w:val="00E31126"/>
    <w:rsid w:val="00E3120D"/>
    <w:rsid w:val="00E32063"/>
    <w:rsid w:val="00E32344"/>
    <w:rsid w:val="00E33C6D"/>
    <w:rsid w:val="00E366E0"/>
    <w:rsid w:val="00E367D0"/>
    <w:rsid w:val="00E370C5"/>
    <w:rsid w:val="00E379D1"/>
    <w:rsid w:val="00E37C94"/>
    <w:rsid w:val="00E4148B"/>
    <w:rsid w:val="00E4168E"/>
    <w:rsid w:val="00E41C60"/>
    <w:rsid w:val="00E421B1"/>
    <w:rsid w:val="00E4263A"/>
    <w:rsid w:val="00E428E4"/>
    <w:rsid w:val="00E42FF2"/>
    <w:rsid w:val="00E432F2"/>
    <w:rsid w:val="00E44587"/>
    <w:rsid w:val="00E4552A"/>
    <w:rsid w:val="00E455D5"/>
    <w:rsid w:val="00E4577B"/>
    <w:rsid w:val="00E45965"/>
    <w:rsid w:val="00E461C2"/>
    <w:rsid w:val="00E470F7"/>
    <w:rsid w:val="00E50CF9"/>
    <w:rsid w:val="00E510B0"/>
    <w:rsid w:val="00E513B3"/>
    <w:rsid w:val="00E51959"/>
    <w:rsid w:val="00E51AE3"/>
    <w:rsid w:val="00E52937"/>
    <w:rsid w:val="00E53F3C"/>
    <w:rsid w:val="00E543B9"/>
    <w:rsid w:val="00E54943"/>
    <w:rsid w:val="00E54D74"/>
    <w:rsid w:val="00E54E6D"/>
    <w:rsid w:val="00E5511D"/>
    <w:rsid w:val="00E5603C"/>
    <w:rsid w:val="00E560C8"/>
    <w:rsid w:val="00E56EE3"/>
    <w:rsid w:val="00E57C4C"/>
    <w:rsid w:val="00E60248"/>
    <w:rsid w:val="00E60C5C"/>
    <w:rsid w:val="00E60C9C"/>
    <w:rsid w:val="00E60D76"/>
    <w:rsid w:val="00E6105E"/>
    <w:rsid w:val="00E629B6"/>
    <w:rsid w:val="00E636FD"/>
    <w:rsid w:val="00E64431"/>
    <w:rsid w:val="00E646FE"/>
    <w:rsid w:val="00E653B4"/>
    <w:rsid w:val="00E65A09"/>
    <w:rsid w:val="00E660AD"/>
    <w:rsid w:val="00E66DA7"/>
    <w:rsid w:val="00E66E35"/>
    <w:rsid w:val="00E67078"/>
    <w:rsid w:val="00E67308"/>
    <w:rsid w:val="00E6776E"/>
    <w:rsid w:val="00E67F9E"/>
    <w:rsid w:val="00E7001B"/>
    <w:rsid w:val="00E70ADB"/>
    <w:rsid w:val="00E70BCE"/>
    <w:rsid w:val="00E719EE"/>
    <w:rsid w:val="00E71EDB"/>
    <w:rsid w:val="00E72F0A"/>
    <w:rsid w:val="00E73E01"/>
    <w:rsid w:val="00E74DA5"/>
    <w:rsid w:val="00E74F78"/>
    <w:rsid w:val="00E7565A"/>
    <w:rsid w:val="00E762F7"/>
    <w:rsid w:val="00E76436"/>
    <w:rsid w:val="00E76DE6"/>
    <w:rsid w:val="00E770B5"/>
    <w:rsid w:val="00E80D2C"/>
    <w:rsid w:val="00E81699"/>
    <w:rsid w:val="00E8176D"/>
    <w:rsid w:val="00E824DA"/>
    <w:rsid w:val="00E82645"/>
    <w:rsid w:val="00E82BC9"/>
    <w:rsid w:val="00E839CD"/>
    <w:rsid w:val="00E83B87"/>
    <w:rsid w:val="00E84320"/>
    <w:rsid w:val="00E84517"/>
    <w:rsid w:val="00E859D8"/>
    <w:rsid w:val="00E85BDB"/>
    <w:rsid w:val="00E861F6"/>
    <w:rsid w:val="00E86FD9"/>
    <w:rsid w:val="00E87BFD"/>
    <w:rsid w:val="00E90040"/>
    <w:rsid w:val="00E9240A"/>
    <w:rsid w:val="00E92C12"/>
    <w:rsid w:val="00E93A4A"/>
    <w:rsid w:val="00E93AB4"/>
    <w:rsid w:val="00E94A52"/>
    <w:rsid w:val="00E94BFB"/>
    <w:rsid w:val="00E95990"/>
    <w:rsid w:val="00E95B3D"/>
    <w:rsid w:val="00E967A4"/>
    <w:rsid w:val="00E96BA4"/>
    <w:rsid w:val="00E96C0A"/>
    <w:rsid w:val="00E97344"/>
    <w:rsid w:val="00E97771"/>
    <w:rsid w:val="00E97930"/>
    <w:rsid w:val="00EA17B1"/>
    <w:rsid w:val="00EA1ADE"/>
    <w:rsid w:val="00EA1F3E"/>
    <w:rsid w:val="00EA20A0"/>
    <w:rsid w:val="00EA21E1"/>
    <w:rsid w:val="00EA38B4"/>
    <w:rsid w:val="00EA49A6"/>
    <w:rsid w:val="00EA4B70"/>
    <w:rsid w:val="00EA51AA"/>
    <w:rsid w:val="00EA5210"/>
    <w:rsid w:val="00EA525A"/>
    <w:rsid w:val="00EA5260"/>
    <w:rsid w:val="00EA55D3"/>
    <w:rsid w:val="00EA6100"/>
    <w:rsid w:val="00EA6277"/>
    <w:rsid w:val="00EA6B6B"/>
    <w:rsid w:val="00EB108E"/>
    <w:rsid w:val="00EB1625"/>
    <w:rsid w:val="00EB1779"/>
    <w:rsid w:val="00EB2239"/>
    <w:rsid w:val="00EB2300"/>
    <w:rsid w:val="00EB2681"/>
    <w:rsid w:val="00EB2D17"/>
    <w:rsid w:val="00EB3544"/>
    <w:rsid w:val="00EB4B27"/>
    <w:rsid w:val="00EB4C1C"/>
    <w:rsid w:val="00EB4E3E"/>
    <w:rsid w:val="00EB52F4"/>
    <w:rsid w:val="00EB5842"/>
    <w:rsid w:val="00EB5E06"/>
    <w:rsid w:val="00EB6637"/>
    <w:rsid w:val="00EB7361"/>
    <w:rsid w:val="00EB738E"/>
    <w:rsid w:val="00EC01C3"/>
    <w:rsid w:val="00EC01D7"/>
    <w:rsid w:val="00EC0549"/>
    <w:rsid w:val="00EC069C"/>
    <w:rsid w:val="00EC1479"/>
    <w:rsid w:val="00EC2AC0"/>
    <w:rsid w:val="00EC2E0C"/>
    <w:rsid w:val="00EC307D"/>
    <w:rsid w:val="00EC3550"/>
    <w:rsid w:val="00EC411B"/>
    <w:rsid w:val="00EC4730"/>
    <w:rsid w:val="00EC486A"/>
    <w:rsid w:val="00EC5619"/>
    <w:rsid w:val="00EC5D62"/>
    <w:rsid w:val="00ED1C0C"/>
    <w:rsid w:val="00ED1DA1"/>
    <w:rsid w:val="00ED3816"/>
    <w:rsid w:val="00ED389A"/>
    <w:rsid w:val="00ED3CF4"/>
    <w:rsid w:val="00ED3D60"/>
    <w:rsid w:val="00ED4563"/>
    <w:rsid w:val="00ED4C52"/>
    <w:rsid w:val="00ED5240"/>
    <w:rsid w:val="00ED5A39"/>
    <w:rsid w:val="00ED6620"/>
    <w:rsid w:val="00ED69B2"/>
    <w:rsid w:val="00ED77C1"/>
    <w:rsid w:val="00ED7F27"/>
    <w:rsid w:val="00EE117B"/>
    <w:rsid w:val="00EE1A75"/>
    <w:rsid w:val="00EE1B31"/>
    <w:rsid w:val="00EE2605"/>
    <w:rsid w:val="00EE3254"/>
    <w:rsid w:val="00EE3D68"/>
    <w:rsid w:val="00EE4227"/>
    <w:rsid w:val="00EE4BA1"/>
    <w:rsid w:val="00EE4C89"/>
    <w:rsid w:val="00EE53D9"/>
    <w:rsid w:val="00EE5DE5"/>
    <w:rsid w:val="00EE5F18"/>
    <w:rsid w:val="00EE7B17"/>
    <w:rsid w:val="00EF0930"/>
    <w:rsid w:val="00EF0ADB"/>
    <w:rsid w:val="00EF178D"/>
    <w:rsid w:val="00EF2164"/>
    <w:rsid w:val="00EF23DF"/>
    <w:rsid w:val="00EF28A2"/>
    <w:rsid w:val="00EF3981"/>
    <w:rsid w:val="00EF3FD7"/>
    <w:rsid w:val="00EF42D4"/>
    <w:rsid w:val="00EF4358"/>
    <w:rsid w:val="00EF544F"/>
    <w:rsid w:val="00EF563A"/>
    <w:rsid w:val="00EF5D5E"/>
    <w:rsid w:val="00EF5D7F"/>
    <w:rsid w:val="00EF5E1F"/>
    <w:rsid w:val="00EF67E3"/>
    <w:rsid w:val="00EF6F00"/>
    <w:rsid w:val="00EF793C"/>
    <w:rsid w:val="00EF7B6F"/>
    <w:rsid w:val="00EF7FED"/>
    <w:rsid w:val="00F00109"/>
    <w:rsid w:val="00F00824"/>
    <w:rsid w:val="00F008B1"/>
    <w:rsid w:val="00F01052"/>
    <w:rsid w:val="00F019C9"/>
    <w:rsid w:val="00F01CE7"/>
    <w:rsid w:val="00F02904"/>
    <w:rsid w:val="00F03EB5"/>
    <w:rsid w:val="00F04429"/>
    <w:rsid w:val="00F0444C"/>
    <w:rsid w:val="00F0501B"/>
    <w:rsid w:val="00F0553E"/>
    <w:rsid w:val="00F057BD"/>
    <w:rsid w:val="00F0757C"/>
    <w:rsid w:val="00F100E1"/>
    <w:rsid w:val="00F10C4C"/>
    <w:rsid w:val="00F119C6"/>
    <w:rsid w:val="00F11E65"/>
    <w:rsid w:val="00F122FB"/>
    <w:rsid w:val="00F12CD7"/>
    <w:rsid w:val="00F13466"/>
    <w:rsid w:val="00F151DF"/>
    <w:rsid w:val="00F155AF"/>
    <w:rsid w:val="00F15CC9"/>
    <w:rsid w:val="00F15E53"/>
    <w:rsid w:val="00F1725C"/>
    <w:rsid w:val="00F17EB9"/>
    <w:rsid w:val="00F20401"/>
    <w:rsid w:val="00F2117A"/>
    <w:rsid w:val="00F21C7D"/>
    <w:rsid w:val="00F22852"/>
    <w:rsid w:val="00F23267"/>
    <w:rsid w:val="00F23EC4"/>
    <w:rsid w:val="00F2482A"/>
    <w:rsid w:val="00F24AD9"/>
    <w:rsid w:val="00F24B73"/>
    <w:rsid w:val="00F252CD"/>
    <w:rsid w:val="00F25B07"/>
    <w:rsid w:val="00F25B9C"/>
    <w:rsid w:val="00F26362"/>
    <w:rsid w:val="00F26917"/>
    <w:rsid w:val="00F271F0"/>
    <w:rsid w:val="00F30412"/>
    <w:rsid w:val="00F30F0E"/>
    <w:rsid w:val="00F3231E"/>
    <w:rsid w:val="00F33452"/>
    <w:rsid w:val="00F34BD2"/>
    <w:rsid w:val="00F34BD3"/>
    <w:rsid w:val="00F34DE0"/>
    <w:rsid w:val="00F35D13"/>
    <w:rsid w:val="00F36CD3"/>
    <w:rsid w:val="00F37045"/>
    <w:rsid w:val="00F40254"/>
    <w:rsid w:val="00F4171D"/>
    <w:rsid w:val="00F437A2"/>
    <w:rsid w:val="00F43A25"/>
    <w:rsid w:val="00F45BB0"/>
    <w:rsid w:val="00F47552"/>
    <w:rsid w:val="00F47DC0"/>
    <w:rsid w:val="00F509C4"/>
    <w:rsid w:val="00F50A42"/>
    <w:rsid w:val="00F50B0F"/>
    <w:rsid w:val="00F525B1"/>
    <w:rsid w:val="00F53B3B"/>
    <w:rsid w:val="00F542E3"/>
    <w:rsid w:val="00F54C6A"/>
    <w:rsid w:val="00F551B4"/>
    <w:rsid w:val="00F55494"/>
    <w:rsid w:val="00F55B71"/>
    <w:rsid w:val="00F564DE"/>
    <w:rsid w:val="00F56DB4"/>
    <w:rsid w:val="00F56EAA"/>
    <w:rsid w:val="00F56FFF"/>
    <w:rsid w:val="00F5732B"/>
    <w:rsid w:val="00F602B0"/>
    <w:rsid w:val="00F606C0"/>
    <w:rsid w:val="00F60706"/>
    <w:rsid w:val="00F60746"/>
    <w:rsid w:val="00F60B83"/>
    <w:rsid w:val="00F62211"/>
    <w:rsid w:val="00F62717"/>
    <w:rsid w:val="00F640FF"/>
    <w:rsid w:val="00F6410A"/>
    <w:rsid w:val="00F64425"/>
    <w:rsid w:val="00F64BDA"/>
    <w:rsid w:val="00F65026"/>
    <w:rsid w:val="00F65204"/>
    <w:rsid w:val="00F659E4"/>
    <w:rsid w:val="00F65AA1"/>
    <w:rsid w:val="00F65E3C"/>
    <w:rsid w:val="00F6724C"/>
    <w:rsid w:val="00F70014"/>
    <w:rsid w:val="00F70D66"/>
    <w:rsid w:val="00F70FDC"/>
    <w:rsid w:val="00F71A37"/>
    <w:rsid w:val="00F726D9"/>
    <w:rsid w:val="00F736F0"/>
    <w:rsid w:val="00F73931"/>
    <w:rsid w:val="00F742DF"/>
    <w:rsid w:val="00F74623"/>
    <w:rsid w:val="00F74741"/>
    <w:rsid w:val="00F7562C"/>
    <w:rsid w:val="00F76426"/>
    <w:rsid w:val="00F764D2"/>
    <w:rsid w:val="00F76987"/>
    <w:rsid w:val="00F774BE"/>
    <w:rsid w:val="00F80A58"/>
    <w:rsid w:val="00F819BA"/>
    <w:rsid w:val="00F83317"/>
    <w:rsid w:val="00F83BEF"/>
    <w:rsid w:val="00F83CC2"/>
    <w:rsid w:val="00F859CE"/>
    <w:rsid w:val="00F860D8"/>
    <w:rsid w:val="00F86B46"/>
    <w:rsid w:val="00F87248"/>
    <w:rsid w:val="00F901EB"/>
    <w:rsid w:val="00F904C5"/>
    <w:rsid w:val="00F906D9"/>
    <w:rsid w:val="00F907D3"/>
    <w:rsid w:val="00F90E87"/>
    <w:rsid w:val="00F910DC"/>
    <w:rsid w:val="00F917B0"/>
    <w:rsid w:val="00F92464"/>
    <w:rsid w:val="00F92816"/>
    <w:rsid w:val="00F92BCA"/>
    <w:rsid w:val="00F932BD"/>
    <w:rsid w:val="00F93D51"/>
    <w:rsid w:val="00F93F9B"/>
    <w:rsid w:val="00F94092"/>
    <w:rsid w:val="00F94EAC"/>
    <w:rsid w:val="00F9508D"/>
    <w:rsid w:val="00F95B9F"/>
    <w:rsid w:val="00F96EB5"/>
    <w:rsid w:val="00F974AF"/>
    <w:rsid w:val="00FA00FF"/>
    <w:rsid w:val="00FA146B"/>
    <w:rsid w:val="00FA2280"/>
    <w:rsid w:val="00FA233B"/>
    <w:rsid w:val="00FA29EE"/>
    <w:rsid w:val="00FA2CED"/>
    <w:rsid w:val="00FA3054"/>
    <w:rsid w:val="00FA346E"/>
    <w:rsid w:val="00FA38C5"/>
    <w:rsid w:val="00FA45EB"/>
    <w:rsid w:val="00FA4CEA"/>
    <w:rsid w:val="00FA4D1E"/>
    <w:rsid w:val="00FA50B5"/>
    <w:rsid w:val="00FA6784"/>
    <w:rsid w:val="00FA692C"/>
    <w:rsid w:val="00FA6B60"/>
    <w:rsid w:val="00FA77F7"/>
    <w:rsid w:val="00FB0268"/>
    <w:rsid w:val="00FB0B9A"/>
    <w:rsid w:val="00FB0FF2"/>
    <w:rsid w:val="00FB156D"/>
    <w:rsid w:val="00FB15A1"/>
    <w:rsid w:val="00FB1969"/>
    <w:rsid w:val="00FB198E"/>
    <w:rsid w:val="00FB1A51"/>
    <w:rsid w:val="00FB1BC8"/>
    <w:rsid w:val="00FB1EA9"/>
    <w:rsid w:val="00FB2006"/>
    <w:rsid w:val="00FB2597"/>
    <w:rsid w:val="00FB306A"/>
    <w:rsid w:val="00FB37AB"/>
    <w:rsid w:val="00FB3B6B"/>
    <w:rsid w:val="00FB4C50"/>
    <w:rsid w:val="00FB5477"/>
    <w:rsid w:val="00FB5BA7"/>
    <w:rsid w:val="00FB6F16"/>
    <w:rsid w:val="00FB7EB1"/>
    <w:rsid w:val="00FB7EDC"/>
    <w:rsid w:val="00FB7EF4"/>
    <w:rsid w:val="00FB7F6F"/>
    <w:rsid w:val="00FC03B2"/>
    <w:rsid w:val="00FC10DC"/>
    <w:rsid w:val="00FC1AEC"/>
    <w:rsid w:val="00FC1C67"/>
    <w:rsid w:val="00FC1EB4"/>
    <w:rsid w:val="00FC3314"/>
    <w:rsid w:val="00FC3AD6"/>
    <w:rsid w:val="00FC45A2"/>
    <w:rsid w:val="00FC483D"/>
    <w:rsid w:val="00FC4B24"/>
    <w:rsid w:val="00FC58C2"/>
    <w:rsid w:val="00FC5B2E"/>
    <w:rsid w:val="00FC78ED"/>
    <w:rsid w:val="00FD0CD1"/>
    <w:rsid w:val="00FD14C3"/>
    <w:rsid w:val="00FD2718"/>
    <w:rsid w:val="00FD35AF"/>
    <w:rsid w:val="00FD3812"/>
    <w:rsid w:val="00FD64BA"/>
    <w:rsid w:val="00FD65CB"/>
    <w:rsid w:val="00FD6DE6"/>
    <w:rsid w:val="00FE04BB"/>
    <w:rsid w:val="00FE0F55"/>
    <w:rsid w:val="00FE10E4"/>
    <w:rsid w:val="00FE168D"/>
    <w:rsid w:val="00FE17ED"/>
    <w:rsid w:val="00FE1DF0"/>
    <w:rsid w:val="00FE2446"/>
    <w:rsid w:val="00FE25C2"/>
    <w:rsid w:val="00FE2C3F"/>
    <w:rsid w:val="00FE2EAF"/>
    <w:rsid w:val="00FE30AD"/>
    <w:rsid w:val="00FE35C0"/>
    <w:rsid w:val="00FE3E2F"/>
    <w:rsid w:val="00FE4B29"/>
    <w:rsid w:val="00FE6142"/>
    <w:rsid w:val="00FE6607"/>
    <w:rsid w:val="00FE66EF"/>
    <w:rsid w:val="00FE6A9C"/>
    <w:rsid w:val="00FE7094"/>
    <w:rsid w:val="00FE74B7"/>
    <w:rsid w:val="00FE7CBD"/>
    <w:rsid w:val="00FE7CBF"/>
    <w:rsid w:val="00FE7E34"/>
    <w:rsid w:val="00FE7E65"/>
    <w:rsid w:val="00FF0947"/>
    <w:rsid w:val="00FF0BE7"/>
    <w:rsid w:val="00FF157F"/>
    <w:rsid w:val="00FF1704"/>
    <w:rsid w:val="00FF1FC0"/>
    <w:rsid w:val="00FF2876"/>
    <w:rsid w:val="00FF2CC2"/>
    <w:rsid w:val="00FF4C23"/>
    <w:rsid w:val="00FF5A51"/>
    <w:rsid w:val="00FF6769"/>
    <w:rsid w:val="00FF749E"/>
    <w:rsid w:val="00FF7764"/>
    <w:rsid w:val="00FF7A98"/>
    <w:rsid w:val="00FF7C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7544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E9"/>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D6620"/>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ED6620"/>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ED6620"/>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6F444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620"/>
    <w:rPr>
      <w:rFonts w:ascii="Times New Roman" w:eastAsiaTheme="majorEastAsia" w:hAnsi="Times New Roman" w:cstheme="majorBidi"/>
      <w:b/>
      <w:bCs/>
      <w:color w:val="000000" w:themeColor="text1"/>
      <w:sz w:val="24"/>
      <w:szCs w:val="28"/>
      <w:lang w:val="en-GB"/>
    </w:rPr>
  </w:style>
  <w:style w:type="paragraph" w:styleId="BalloonText">
    <w:name w:val="Balloon Text"/>
    <w:basedOn w:val="Normal"/>
    <w:link w:val="BalloonTextChar"/>
    <w:uiPriority w:val="99"/>
    <w:semiHidden/>
    <w:unhideWhenUsed/>
    <w:rsid w:val="006379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968"/>
    <w:rPr>
      <w:rFonts w:ascii="Tahoma" w:hAnsi="Tahoma" w:cs="Tahoma"/>
      <w:sz w:val="16"/>
      <w:szCs w:val="16"/>
    </w:rPr>
  </w:style>
  <w:style w:type="character" w:customStyle="1" w:styleId="apple-converted-space">
    <w:name w:val="apple-converted-space"/>
    <w:basedOn w:val="DefaultParagraphFont"/>
    <w:rsid w:val="00C644BF"/>
  </w:style>
  <w:style w:type="paragraph" w:styleId="Header">
    <w:name w:val="header"/>
    <w:basedOn w:val="Normal"/>
    <w:link w:val="HeaderChar"/>
    <w:uiPriority w:val="99"/>
    <w:unhideWhenUsed/>
    <w:rsid w:val="00F10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0E1"/>
    <w:rPr>
      <w:rFonts w:ascii="Times New Roman" w:hAnsi="Times New Roman"/>
      <w:sz w:val="24"/>
    </w:rPr>
  </w:style>
  <w:style w:type="paragraph" w:styleId="Footer">
    <w:name w:val="footer"/>
    <w:basedOn w:val="Normal"/>
    <w:link w:val="FooterChar"/>
    <w:uiPriority w:val="99"/>
    <w:unhideWhenUsed/>
    <w:rsid w:val="00F10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0E1"/>
    <w:rPr>
      <w:rFonts w:ascii="Times New Roman" w:hAnsi="Times New Roman"/>
      <w:sz w:val="24"/>
    </w:rPr>
  </w:style>
  <w:style w:type="paragraph" w:styleId="TOCHeading">
    <w:name w:val="TOC Heading"/>
    <w:basedOn w:val="Heading1"/>
    <w:next w:val="Normal"/>
    <w:uiPriority w:val="39"/>
    <w:unhideWhenUsed/>
    <w:qFormat/>
    <w:rsid w:val="00F100E1"/>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100E1"/>
    <w:pPr>
      <w:spacing w:after="100"/>
    </w:pPr>
  </w:style>
  <w:style w:type="character" w:styleId="Hyperlink">
    <w:name w:val="Hyperlink"/>
    <w:basedOn w:val="DefaultParagraphFont"/>
    <w:uiPriority w:val="99"/>
    <w:unhideWhenUsed/>
    <w:rsid w:val="00F100E1"/>
    <w:rPr>
      <w:color w:val="0000FF" w:themeColor="hyperlink"/>
      <w:u w:val="single"/>
    </w:rPr>
  </w:style>
  <w:style w:type="character" w:customStyle="1" w:styleId="Heading2Char">
    <w:name w:val="Heading 2 Char"/>
    <w:basedOn w:val="DefaultParagraphFont"/>
    <w:link w:val="Heading2"/>
    <w:uiPriority w:val="9"/>
    <w:rsid w:val="00ED6620"/>
    <w:rPr>
      <w:rFonts w:ascii="Times New Roman" w:eastAsiaTheme="majorEastAsia" w:hAnsi="Times New Roman" w:cstheme="majorBidi"/>
      <w:b/>
      <w:bCs/>
      <w:sz w:val="24"/>
      <w:szCs w:val="26"/>
      <w:lang w:val="en-GB"/>
    </w:rPr>
  </w:style>
  <w:style w:type="paragraph" w:styleId="TOC2">
    <w:name w:val="toc 2"/>
    <w:basedOn w:val="Normal"/>
    <w:next w:val="Normal"/>
    <w:autoRedefine/>
    <w:uiPriority w:val="39"/>
    <w:unhideWhenUsed/>
    <w:rsid w:val="007579D5"/>
    <w:pPr>
      <w:tabs>
        <w:tab w:val="right" w:leader="dot" w:pos="9016"/>
      </w:tabs>
      <w:spacing w:after="100" w:line="276" w:lineRule="auto"/>
      <w:ind w:left="240"/>
    </w:pPr>
  </w:style>
  <w:style w:type="paragraph" w:styleId="ListParagraph">
    <w:name w:val="List Paragraph"/>
    <w:basedOn w:val="Normal"/>
    <w:uiPriority w:val="34"/>
    <w:qFormat/>
    <w:rsid w:val="004171A6"/>
    <w:pPr>
      <w:ind w:left="720"/>
      <w:contextualSpacing/>
    </w:pPr>
  </w:style>
  <w:style w:type="table" w:styleId="TableGrid">
    <w:name w:val="Table Grid"/>
    <w:basedOn w:val="TableNormal"/>
    <w:uiPriority w:val="39"/>
    <w:rsid w:val="00D655B3"/>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ED6620"/>
    <w:rPr>
      <w:rFonts w:ascii="Times New Roman" w:eastAsiaTheme="majorEastAsia" w:hAnsi="Times New Roman" w:cstheme="majorBidi"/>
      <w:b/>
      <w:color w:val="000000" w:themeColor="text1"/>
      <w:sz w:val="24"/>
      <w:szCs w:val="24"/>
      <w:lang w:val="en-GB"/>
    </w:rPr>
  </w:style>
  <w:style w:type="paragraph" w:styleId="TOC3">
    <w:name w:val="toc 3"/>
    <w:basedOn w:val="Normal"/>
    <w:next w:val="Normal"/>
    <w:autoRedefine/>
    <w:uiPriority w:val="39"/>
    <w:unhideWhenUsed/>
    <w:rsid w:val="00B95557"/>
    <w:pPr>
      <w:spacing w:after="100"/>
      <w:ind w:left="480"/>
    </w:pPr>
  </w:style>
  <w:style w:type="paragraph" w:styleId="FootnoteText">
    <w:name w:val="footnote text"/>
    <w:basedOn w:val="Normal"/>
    <w:link w:val="FootnoteTextChar"/>
    <w:uiPriority w:val="99"/>
    <w:semiHidden/>
    <w:unhideWhenUsed/>
    <w:rsid w:val="00FB15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56D"/>
    <w:rPr>
      <w:rFonts w:ascii="Times New Roman" w:hAnsi="Times New Roman"/>
      <w:sz w:val="20"/>
      <w:szCs w:val="20"/>
      <w:lang w:val="en-GB"/>
    </w:rPr>
  </w:style>
  <w:style w:type="character" w:styleId="FootnoteReference">
    <w:name w:val="footnote reference"/>
    <w:basedOn w:val="DefaultParagraphFont"/>
    <w:uiPriority w:val="99"/>
    <w:semiHidden/>
    <w:unhideWhenUsed/>
    <w:rsid w:val="00FB156D"/>
    <w:rPr>
      <w:vertAlign w:val="superscript"/>
    </w:rPr>
  </w:style>
  <w:style w:type="character" w:customStyle="1" w:styleId="UnresolvedMention1">
    <w:name w:val="Unresolved Mention1"/>
    <w:basedOn w:val="DefaultParagraphFont"/>
    <w:uiPriority w:val="99"/>
    <w:semiHidden/>
    <w:unhideWhenUsed/>
    <w:rsid w:val="005E0322"/>
    <w:rPr>
      <w:color w:val="605E5C"/>
      <w:shd w:val="clear" w:color="auto" w:fill="E1DFDD"/>
    </w:rPr>
  </w:style>
  <w:style w:type="paragraph" w:styleId="NormalWeb">
    <w:name w:val="Normal (Web)"/>
    <w:basedOn w:val="Normal"/>
    <w:uiPriority w:val="99"/>
    <w:semiHidden/>
    <w:unhideWhenUsed/>
    <w:rsid w:val="007D4C39"/>
    <w:pPr>
      <w:spacing w:before="100" w:beforeAutospacing="1" w:after="100" w:afterAutospacing="1" w:line="240" w:lineRule="auto"/>
      <w:jc w:val="left"/>
    </w:pPr>
    <w:rPr>
      <w:rFonts w:eastAsiaTheme="minorEastAsia" w:cs="Times New Roman"/>
      <w:szCs w:val="24"/>
      <w:lang w:val="en-US"/>
    </w:rPr>
  </w:style>
  <w:style w:type="character" w:customStyle="1" w:styleId="Heading4Char">
    <w:name w:val="Heading 4 Char"/>
    <w:basedOn w:val="DefaultParagraphFont"/>
    <w:link w:val="Heading4"/>
    <w:uiPriority w:val="9"/>
    <w:rsid w:val="006F4447"/>
    <w:rPr>
      <w:rFonts w:asciiTheme="majorHAnsi" w:eastAsiaTheme="majorEastAsia" w:hAnsiTheme="majorHAnsi" w:cstheme="majorBidi"/>
      <w:i/>
      <w:iCs/>
      <w:color w:val="365F91" w:themeColor="accent1" w:themeShade="BF"/>
      <w:sz w:val="24"/>
      <w:lang w:val="en-GB"/>
    </w:rPr>
  </w:style>
  <w:style w:type="paragraph" w:styleId="NoSpacing">
    <w:name w:val="No Spacing"/>
    <w:uiPriority w:val="1"/>
    <w:qFormat/>
    <w:rsid w:val="00646DAD"/>
    <w:pPr>
      <w:spacing w:after="0" w:line="240" w:lineRule="auto"/>
      <w:jc w:val="both"/>
    </w:pPr>
    <w:rPr>
      <w:rFonts w:ascii="Times New Roman" w:hAnsi="Times New Roman"/>
      <w:sz w:val="24"/>
      <w:lang w:val="en-GB"/>
    </w:rPr>
  </w:style>
  <w:style w:type="paragraph" w:customStyle="1" w:styleId="trt0xe">
    <w:name w:val="trt0xe"/>
    <w:basedOn w:val="Normal"/>
    <w:rsid w:val="006171C6"/>
    <w:pPr>
      <w:spacing w:before="100" w:beforeAutospacing="1" w:after="100" w:afterAutospacing="1" w:line="240" w:lineRule="auto"/>
      <w:jc w:val="left"/>
    </w:pPr>
    <w:rPr>
      <w:rFonts w:eastAsia="Times New Roman" w:cs="Times New Roman"/>
      <w:szCs w:val="24"/>
      <w:lang w:eastAsia="en-GB"/>
    </w:rPr>
  </w:style>
  <w:style w:type="character" w:styleId="UnresolvedMention">
    <w:name w:val="Unresolved Mention"/>
    <w:basedOn w:val="DefaultParagraphFont"/>
    <w:uiPriority w:val="99"/>
    <w:semiHidden/>
    <w:unhideWhenUsed/>
    <w:rsid w:val="00223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552543">
      <w:bodyDiv w:val="1"/>
      <w:marLeft w:val="0"/>
      <w:marRight w:val="0"/>
      <w:marTop w:val="0"/>
      <w:marBottom w:val="0"/>
      <w:divBdr>
        <w:top w:val="none" w:sz="0" w:space="0" w:color="auto"/>
        <w:left w:val="none" w:sz="0" w:space="0" w:color="auto"/>
        <w:bottom w:val="none" w:sz="0" w:space="0" w:color="auto"/>
        <w:right w:val="none" w:sz="0" w:space="0" w:color="auto"/>
      </w:divBdr>
    </w:div>
    <w:div w:id="152721077">
      <w:bodyDiv w:val="1"/>
      <w:marLeft w:val="0"/>
      <w:marRight w:val="0"/>
      <w:marTop w:val="0"/>
      <w:marBottom w:val="0"/>
      <w:divBdr>
        <w:top w:val="none" w:sz="0" w:space="0" w:color="auto"/>
        <w:left w:val="none" w:sz="0" w:space="0" w:color="auto"/>
        <w:bottom w:val="none" w:sz="0" w:space="0" w:color="auto"/>
        <w:right w:val="none" w:sz="0" w:space="0" w:color="auto"/>
      </w:divBdr>
    </w:div>
    <w:div w:id="174616214">
      <w:bodyDiv w:val="1"/>
      <w:marLeft w:val="0"/>
      <w:marRight w:val="0"/>
      <w:marTop w:val="0"/>
      <w:marBottom w:val="0"/>
      <w:divBdr>
        <w:top w:val="none" w:sz="0" w:space="0" w:color="auto"/>
        <w:left w:val="none" w:sz="0" w:space="0" w:color="auto"/>
        <w:bottom w:val="none" w:sz="0" w:space="0" w:color="auto"/>
        <w:right w:val="none" w:sz="0" w:space="0" w:color="auto"/>
      </w:divBdr>
    </w:div>
    <w:div w:id="411511430">
      <w:bodyDiv w:val="1"/>
      <w:marLeft w:val="0"/>
      <w:marRight w:val="0"/>
      <w:marTop w:val="0"/>
      <w:marBottom w:val="0"/>
      <w:divBdr>
        <w:top w:val="none" w:sz="0" w:space="0" w:color="auto"/>
        <w:left w:val="none" w:sz="0" w:space="0" w:color="auto"/>
        <w:bottom w:val="none" w:sz="0" w:space="0" w:color="auto"/>
        <w:right w:val="none" w:sz="0" w:space="0" w:color="auto"/>
      </w:divBdr>
    </w:div>
    <w:div w:id="436146150">
      <w:bodyDiv w:val="1"/>
      <w:marLeft w:val="0"/>
      <w:marRight w:val="0"/>
      <w:marTop w:val="0"/>
      <w:marBottom w:val="0"/>
      <w:divBdr>
        <w:top w:val="none" w:sz="0" w:space="0" w:color="auto"/>
        <w:left w:val="none" w:sz="0" w:space="0" w:color="auto"/>
        <w:bottom w:val="none" w:sz="0" w:space="0" w:color="auto"/>
        <w:right w:val="none" w:sz="0" w:space="0" w:color="auto"/>
      </w:divBdr>
    </w:div>
    <w:div w:id="579406701">
      <w:bodyDiv w:val="1"/>
      <w:marLeft w:val="0"/>
      <w:marRight w:val="0"/>
      <w:marTop w:val="0"/>
      <w:marBottom w:val="0"/>
      <w:divBdr>
        <w:top w:val="none" w:sz="0" w:space="0" w:color="auto"/>
        <w:left w:val="none" w:sz="0" w:space="0" w:color="auto"/>
        <w:bottom w:val="none" w:sz="0" w:space="0" w:color="auto"/>
        <w:right w:val="none" w:sz="0" w:space="0" w:color="auto"/>
      </w:divBdr>
    </w:div>
    <w:div w:id="638992612">
      <w:bodyDiv w:val="1"/>
      <w:marLeft w:val="0"/>
      <w:marRight w:val="0"/>
      <w:marTop w:val="0"/>
      <w:marBottom w:val="0"/>
      <w:divBdr>
        <w:top w:val="none" w:sz="0" w:space="0" w:color="auto"/>
        <w:left w:val="none" w:sz="0" w:space="0" w:color="auto"/>
        <w:bottom w:val="none" w:sz="0" w:space="0" w:color="auto"/>
        <w:right w:val="none" w:sz="0" w:space="0" w:color="auto"/>
      </w:divBdr>
    </w:div>
    <w:div w:id="667485096">
      <w:bodyDiv w:val="1"/>
      <w:marLeft w:val="0"/>
      <w:marRight w:val="0"/>
      <w:marTop w:val="0"/>
      <w:marBottom w:val="0"/>
      <w:divBdr>
        <w:top w:val="none" w:sz="0" w:space="0" w:color="auto"/>
        <w:left w:val="none" w:sz="0" w:space="0" w:color="auto"/>
        <w:bottom w:val="none" w:sz="0" w:space="0" w:color="auto"/>
        <w:right w:val="none" w:sz="0" w:space="0" w:color="auto"/>
      </w:divBdr>
    </w:div>
    <w:div w:id="705445623">
      <w:bodyDiv w:val="1"/>
      <w:marLeft w:val="0"/>
      <w:marRight w:val="0"/>
      <w:marTop w:val="0"/>
      <w:marBottom w:val="0"/>
      <w:divBdr>
        <w:top w:val="none" w:sz="0" w:space="0" w:color="auto"/>
        <w:left w:val="none" w:sz="0" w:space="0" w:color="auto"/>
        <w:bottom w:val="none" w:sz="0" w:space="0" w:color="auto"/>
        <w:right w:val="none" w:sz="0" w:space="0" w:color="auto"/>
      </w:divBdr>
      <w:divsChild>
        <w:div w:id="1790850953">
          <w:marLeft w:val="0"/>
          <w:marRight w:val="0"/>
          <w:marTop w:val="90"/>
          <w:marBottom w:val="0"/>
          <w:divBdr>
            <w:top w:val="none" w:sz="0" w:space="0" w:color="auto"/>
            <w:left w:val="none" w:sz="0" w:space="0" w:color="auto"/>
            <w:bottom w:val="none" w:sz="0" w:space="0" w:color="auto"/>
            <w:right w:val="none" w:sz="0" w:space="0" w:color="auto"/>
          </w:divBdr>
          <w:divsChild>
            <w:div w:id="1325931595">
              <w:marLeft w:val="0"/>
              <w:marRight w:val="0"/>
              <w:marTop w:val="0"/>
              <w:marBottom w:val="420"/>
              <w:divBdr>
                <w:top w:val="none" w:sz="0" w:space="0" w:color="auto"/>
                <w:left w:val="none" w:sz="0" w:space="0" w:color="auto"/>
                <w:bottom w:val="none" w:sz="0" w:space="0" w:color="auto"/>
                <w:right w:val="none" w:sz="0" w:space="0" w:color="auto"/>
              </w:divBdr>
              <w:divsChild>
                <w:div w:id="1919755018">
                  <w:marLeft w:val="0"/>
                  <w:marRight w:val="0"/>
                  <w:marTop w:val="0"/>
                  <w:marBottom w:val="0"/>
                  <w:divBdr>
                    <w:top w:val="none" w:sz="0" w:space="0" w:color="auto"/>
                    <w:left w:val="none" w:sz="0" w:space="0" w:color="auto"/>
                    <w:bottom w:val="none" w:sz="0" w:space="0" w:color="auto"/>
                    <w:right w:val="none" w:sz="0" w:space="0" w:color="auto"/>
                  </w:divBdr>
                  <w:divsChild>
                    <w:div w:id="178653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951884">
      <w:bodyDiv w:val="1"/>
      <w:marLeft w:val="0"/>
      <w:marRight w:val="0"/>
      <w:marTop w:val="0"/>
      <w:marBottom w:val="0"/>
      <w:divBdr>
        <w:top w:val="none" w:sz="0" w:space="0" w:color="auto"/>
        <w:left w:val="none" w:sz="0" w:space="0" w:color="auto"/>
        <w:bottom w:val="none" w:sz="0" w:space="0" w:color="auto"/>
        <w:right w:val="none" w:sz="0" w:space="0" w:color="auto"/>
      </w:divBdr>
    </w:div>
    <w:div w:id="722828108">
      <w:bodyDiv w:val="1"/>
      <w:marLeft w:val="0"/>
      <w:marRight w:val="0"/>
      <w:marTop w:val="0"/>
      <w:marBottom w:val="0"/>
      <w:divBdr>
        <w:top w:val="none" w:sz="0" w:space="0" w:color="auto"/>
        <w:left w:val="none" w:sz="0" w:space="0" w:color="auto"/>
        <w:bottom w:val="none" w:sz="0" w:space="0" w:color="auto"/>
        <w:right w:val="none" w:sz="0" w:space="0" w:color="auto"/>
      </w:divBdr>
      <w:divsChild>
        <w:div w:id="1846360563">
          <w:marLeft w:val="-25"/>
          <w:marRight w:val="200"/>
          <w:marTop w:val="0"/>
          <w:marBottom w:val="163"/>
          <w:divBdr>
            <w:top w:val="none" w:sz="0" w:space="0" w:color="auto"/>
            <w:left w:val="none" w:sz="0" w:space="0" w:color="auto"/>
            <w:bottom w:val="none" w:sz="0" w:space="0" w:color="auto"/>
            <w:right w:val="none" w:sz="0" w:space="0" w:color="auto"/>
          </w:divBdr>
          <w:divsChild>
            <w:div w:id="155504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526176">
      <w:bodyDiv w:val="1"/>
      <w:marLeft w:val="0"/>
      <w:marRight w:val="0"/>
      <w:marTop w:val="0"/>
      <w:marBottom w:val="0"/>
      <w:divBdr>
        <w:top w:val="none" w:sz="0" w:space="0" w:color="auto"/>
        <w:left w:val="none" w:sz="0" w:space="0" w:color="auto"/>
        <w:bottom w:val="none" w:sz="0" w:space="0" w:color="auto"/>
        <w:right w:val="none" w:sz="0" w:space="0" w:color="auto"/>
      </w:divBdr>
    </w:div>
    <w:div w:id="746539709">
      <w:bodyDiv w:val="1"/>
      <w:marLeft w:val="0"/>
      <w:marRight w:val="0"/>
      <w:marTop w:val="0"/>
      <w:marBottom w:val="0"/>
      <w:divBdr>
        <w:top w:val="none" w:sz="0" w:space="0" w:color="auto"/>
        <w:left w:val="none" w:sz="0" w:space="0" w:color="auto"/>
        <w:bottom w:val="none" w:sz="0" w:space="0" w:color="auto"/>
        <w:right w:val="none" w:sz="0" w:space="0" w:color="auto"/>
      </w:divBdr>
    </w:div>
    <w:div w:id="770703526">
      <w:bodyDiv w:val="1"/>
      <w:marLeft w:val="0"/>
      <w:marRight w:val="0"/>
      <w:marTop w:val="0"/>
      <w:marBottom w:val="0"/>
      <w:divBdr>
        <w:top w:val="none" w:sz="0" w:space="0" w:color="auto"/>
        <w:left w:val="none" w:sz="0" w:space="0" w:color="auto"/>
        <w:bottom w:val="none" w:sz="0" w:space="0" w:color="auto"/>
        <w:right w:val="none" w:sz="0" w:space="0" w:color="auto"/>
      </w:divBdr>
    </w:div>
    <w:div w:id="854803590">
      <w:bodyDiv w:val="1"/>
      <w:marLeft w:val="0"/>
      <w:marRight w:val="0"/>
      <w:marTop w:val="0"/>
      <w:marBottom w:val="0"/>
      <w:divBdr>
        <w:top w:val="none" w:sz="0" w:space="0" w:color="auto"/>
        <w:left w:val="none" w:sz="0" w:space="0" w:color="auto"/>
        <w:bottom w:val="none" w:sz="0" w:space="0" w:color="auto"/>
        <w:right w:val="none" w:sz="0" w:space="0" w:color="auto"/>
      </w:divBdr>
    </w:div>
    <w:div w:id="919099883">
      <w:bodyDiv w:val="1"/>
      <w:marLeft w:val="0"/>
      <w:marRight w:val="0"/>
      <w:marTop w:val="0"/>
      <w:marBottom w:val="0"/>
      <w:divBdr>
        <w:top w:val="none" w:sz="0" w:space="0" w:color="auto"/>
        <w:left w:val="none" w:sz="0" w:space="0" w:color="auto"/>
        <w:bottom w:val="none" w:sz="0" w:space="0" w:color="auto"/>
        <w:right w:val="none" w:sz="0" w:space="0" w:color="auto"/>
      </w:divBdr>
    </w:div>
    <w:div w:id="919480547">
      <w:bodyDiv w:val="1"/>
      <w:marLeft w:val="0"/>
      <w:marRight w:val="0"/>
      <w:marTop w:val="0"/>
      <w:marBottom w:val="0"/>
      <w:divBdr>
        <w:top w:val="none" w:sz="0" w:space="0" w:color="auto"/>
        <w:left w:val="none" w:sz="0" w:space="0" w:color="auto"/>
        <w:bottom w:val="none" w:sz="0" w:space="0" w:color="auto"/>
        <w:right w:val="none" w:sz="0" w:space="0" w:color="auto"/>
      </w:divBdr>
    </w:div>
    <w:div w:id="927152889">
      <w:bodyDiv w:val="1"/>
      <w:marLeft w:val="0"/>
      <w:marRight w:val="0"/>
      <w:marTop w:val="0"/>
      <w:marBottom w:val="0"/>
      <w:divBdr>
        <w:top w:val="none" w:sz="0" w:space="0" w:color="auto"/>
        <w:left w:val="none" w:sz="0" w:space="0" w:color="auto"/>
        <w:bottom w:val="none" w:sz="0" w:space="0" w:color="auto"/>
        <w:right w:val="none" w:sz="0" w:space="0" w:color="auto"/>
      </w:divBdr>
    </w:div>
    <w:div w:id="938098694">
      <w:bodyDiv w:val="1"/>
      <w:marLeft w:val="0"/>
      <w:marRight w:val="0"/>
      <w:marTop w:val="0"/>
      <w:marBottom w:val="0"/>
      <w:divBdr>
        <w:top w:val="none" w:sz="0" w:space="0" w:color="auto"/>
        <w:left w:val="none" w:sz="0" w:space="0" w:color="auto"/>
        <w:bottom w:val="none" w:sz="0" w:space="0" w:color="auto"/>
        <w:right w:val="none" w:sz="0" w:space="0" w:color="auto"/>
      </w:divBdr>
    </w:div>
    <w:div w:id="1020471597">
      <w:bodyDiv w:val="1"/>
      <w:marLeft w:val="0"/>
      <w:marRight w:val="0"/>
      <w:marTop w:val="0"/>
      <w:marBottom w:val="0"/>
      <w:divBdr>
        <w:top w:val="none" w:sz="0" w:space="0" w:color="auto"/>
        <w:left w:val="none" w:sz="0" w:space="0" w:color="auto"/>
        <w:bottom w:val="none" w:sz="0" w:space="0" w:color="auto"/>
        <w:right w:val="none" w:sz="0" w:space="0" w:color="auto"/>
      </w:divBdr>
    </w:div>
    <w:div w:id="1070882711">
      <w:bodyDiv w:val="1"/>
      <w:marLeft w:val="0"/>
      <w:marRight w:val="0"/>
      <w:marTop w:val="0"/>
      <w:marBottom w:val="0"/>
      <w:divBdr>
        <w:top w:val="none" w:sz="0" w:space="0" w:color="auto"/>
        <w:left w:val="none" w:sz="0" w:space="0" w:color="auto"/>
        <w:bottom w:val="none" w:sz="0" w:space="0" w:color="auto"/>
        <w:right w:val="none" w:sz="0" w:space="0" w:color="auto"/>
      </w:divBdr>
      <w:divsChild>
        <w:div w:id="5374140">
          <w:marLeft w:val="-25"/>
          <w:marRight w:val="200"/>
          <w:marTop w:val="0"/>
          <w:marBottom w:val="163"/>
          <w:divBdr>
            <w:top w:val="none" w:sz="0" w:space="0" w:color="auto"/>
            <w:left w:val="none" w:sz="0" w:space="0" w:color="auto"/>
            <w:bottom w:val="none" w:sz="0" w:space="0" w:color="auto"/>
            <w:right w:val="none" w:sz="0" w:space="0" w:color="auto"/>
          </w:divBdr>
          <w:divsChild>
            <w:div w:id="191720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941582">
      <w:bodyDiv w:val="1"/>
      <w:marLeft w:val="0"/>
      <w:marRight w:val="0"/>
      <w:marTop w:val="0"/>
      <w:marBottom w:val="0"/>
      <w:divBdr>
        <w:top w:val="none" w:sz="0" w:space="0" w:color="auto"/>
        <w:left w:val="none" w:sz="0" w:space="0" w:color="auto"/>
        <w:bottom w:val="none" w:sz="0" w:space="0" w:color="auto"/>
        <w:right w:val="none" w:sz="0" w:space="0" w:color="auto"/>
      </w:divBdr>
      <w:divsChild>
        <w:div w:id="1787963699">
          <w:marLeft w:val="0"/>
          <w:marRight w:val="0"/>
          <w:marTop w:val="0"/>
          <w:marBottom w:val="180"/>
          <w:divBdr>
            <w:top w:val="none" w:sz="0" w:space="0" w:color="auto"/>
            <w:left w:val="none" w:sz="0" w:space="0" w:color="auto"/>
            <w:bottom w:val="none" w:sz="0" w:space="0" w:color="auto"/>
            <w:right w:val="none" w:sz="0" w:space="0" w:color="auto"/>
          </w:divBdr>
        </w:div>
      </w:divsChild>
    </w:div>
    <w:div w:id="1114983072">
      <w:bodyDiv w:val="1"/>
      <w:marLeft w:val="0"/>
      <w:marRight w:val="0"/>
      <w:marTop w:val="0"/>
      <w:marBottom w:val="0"/>
      <w:divBdr>
        <w:top w:val="none" w:sz="0" w:space="0" w:color="auto"/>
        <w:left w:val="none" w:sz="0" w:space="0" w:color="auto"/>
        <w:bottom w:val="none" w:sz="0" w:space="0" w:color="auto"/>
        <w:right w:val="none" w:sz="0" w:space="0" w:color="auto"/>
      </w:divBdr>
    </w:div>
    <w:div w:id="1131940817">
      <w:bodyDiv w:val="1"/>
      <w:marLeft w:val="0"/>
      <w:marRight w:val="0"/>
      <w:marTop w:val="0"/>
      <w:marBottom w:val="0"/>
      <w:divBdr>
        <w:top w:val="none" w:sz="0" w:space="0" w:color="auto"/>
        <w:left w:val="none" w:sz="0" w:space="0" w:color="auto"/>
        <w:bottom w:val="none" w:sz="0" w:space="0" w:color="auto"/>
        <w:right w:val="none" w:sz="0" w:space="0" w:color="auto"/>
      </w:divBdr>
    </w:div>
    <w:div w:id="1290669219">
      <w:bodyDiv w:val="1"/>
      <w:marLeft w:val="0"/>
      <w:marRight w:val="0"/>
      <w:marTop w:val="0"/>
      <w:marBottom w:val="0"/>
      <w:divBdr>
        <w:top w:val="none" w:sz="0" w:space="0" w:color="auto"/>
        <w:left w:val="none" w:sz="0" w:space="0" w:color="auto"/>
        <w:bottom w:val="none" w:sz="0" w:space="0" w:color="auto"/>
        <w:right w:val="none" w:sz="0" w:space="0" w:color="auto"/>
      </w:divBdr>
    </w:div>
    <w:div w:id="1411728416">
      <w:bodyDiv w:val="1"/>
      <w:marLeft w:val="0"/>
      <w:marRight w:val="0"/>
      <w:marTop w:val="0"/>
      <w:marBottom w:val="0"/>
      <w:divBdr>
        <w:top w:val="none" w:sz="0" w:space="0" w:color="auto"/>
        <w:left w:val="none" w:sz="0" w:space="0" w:color="auto"/>
        <w:bottom w:val="none" w:sz="0" w:space="0" w:color="auto"/>
        <w:right w:val="none" w:sz="0" w:space="0" w:color="auto"/>
      </w:divBdr>
    </w:div>
    <w:div w:id="1452942547">
      <w:bodyDiv w:val="1"/>
      <w:marLeft w:val="0"/>
      <w:marRight w:val="0"/>
      <w:marTop w:val="0"/>
      <w:marBottom w:val="0"/>
      <w:divBdr>
        <w:top w:val="none" w:sz="0" w:space="0" w:color="auto"/>
        <w:left w:val="none" w:sz="0" w:space="0" w:color="auto"/>
        <w:bottom w:val="none" w:sz="0" w:space="0" w:color="auto"/>
        <w:right w:val="none" w:sz="0" w:space="0" w:color="auto"/>
      </w:divBdr>
    </w:div>
    <w:div w:id="1485580910">
      <w:bodyDiv w:val="1"/>
      <w:marLeft w:val="0"/>
      <w:marRight w:val="0"/>
      <w:marTop w:val="0"/>
      <w:marBottom w:val="0"/>
      <w:divBdr>
        <w:top w:val="none" w:sz="0" w:space="0" w:color="auto"/>
        <w:left w:val="none" w:sz="0" w:space="0" w:color="auto"/>
        <w:bottom w:val="none" w:sz="0" w:space="0" w:color="auto"/>
        <w:right w:val="none" w:sz="0" w:space="0" w:color="auto"/>
      </w:divBdr>
    </w:div>
    <w:div w:id="1510412722">
      <w:bodyDiv w:val="1"/>
      <w:marLeft w:val="0"/>
      <w:marRight w:val="0"/>
      <w:marTop w:val="0"/>
      <w:marBottom w:val="0"/>
      <w:divBdr>
        <w:top w:val="none" w:sz="0" w:space="0" w:color="auto"/>
        <w:left w:val="none" w:sz="0" w:space="0" w:color="auto"/>
        <w:bottom w:val="none" w:sz="0" w:space="0" w:color="auto"/>
        <w:right w:val="none" w:sz="0" w:space="0" w:color="auto"/>
      </w:divBdr>
    </w:div>
    <w:div w:id="1572084282">
      <w:bodyDiv w:val="1"/>
      <w:marLeft w:val="0"/>
      <w:marRight w:val="0"/>
      <w:marTop w:val="0"/>
      <w:marBottom w:val="0"/>
      <w:divBdr>
        <w:top w:val="none" w:sz="0" w:space="0" w:color="auto"/>
        <w:left w:val="none" w:sz="0" w:space="0" w:color="auto"/>
        <w:bottom w:val="none" w:sz="0" w:space="0" w:color="auto"/>
        <w:right w:val="none" w:sz="0" w:space="0" w:color="auto"/>
      </w:divBdr>
    </w:div>
    <w:div w:id="1583567275">
      <w:bodyDiv w:val="1"/>
      <w:marLeft w:val="0"/>
      <w:marRight w:val="0"/>
      <w:marTop w:val="0"/>
      <w:marBottom w:val="0"/>
      <w:divBdr>
        <w:top w:val="none" w:sz="0" w:space="0" w:color="auto"/>
        <w:left w:val="none" w:sz="0" w:space="0" w:color="auto"/>
        <w:bottom w:val="none" w:sz="0" w:space="0" w:color="auto"/>
        <w:right w:val="none" w:sz="0" w:space="0" w:color="auto"/>
      </w:divBdr>
      <w:divsChild>
        <w:div w:id="1143229736">
          <w:marLeft w:val="0"/>
          <w:marRight w:val="0"/>
          <w:marTop w:val="0"/>
          <w:marBottom w:val="0"/>
          <w:divBdr>
            <w:top w:val="none" w:sz="0" w:space="0" w:color="auto"/>
            <w:left w:val="none" w:sz="0" w:space="0" w:color="auto"/>
            <w:bottom w:val="none" w:sz="0" w:space="0" w:color="auto"/>
            <w:right w:val="none" w:sz="0" w:space="0" w:color="auto"/>
          </w:divBdr>
        </w:div>
      </w:divsChild>
    </w:div>
    <w:div w:id="1644920770">
      <w:bodyDiv w:val="1"/>
      <w:marLeft w:val="0"/>
      <w:marRight w:val="0"/>
      <w:marTop w:val="0"/>
      <w:marBottom w:val="0"/>
      <w:divBdr>
        <w:top w:val="none" w:sz="0" w:space="0" w:color="auto"/>
        <w:left w:val="none" w:sz="0" w:space="0" w:color="auto"/>
        <w:bottom w:val="none" w:sz="0" w:space="0" w:color="auto"/>
        <w:right w:val="none" w:sz="0" w:space="0" w:color="auto"/>
      </w:divBdr>
    </w:div>
    <w:div w:id="1645163707">
      <w:bodyDiv w:val="1"/>
      <w:marLeft w:val="0"/>
      <w:marRight w:val="0"/>
      <w:marTop w:val="0"/>
      <w:marBottom w:val="0"/>
      <w:divBdr>
        <w:top w:val="none" w:sz="0" w:space="0" w:color="auto"/>
        <w:left w:val="none" w:sz="0" w:space="0" w:color="auto"/>
        <w:bottom w:val="none" w:sz="0" w:space="0" w:color="auto"/>
        <w:right w:val="none" w:sz="0" w:space="0" w:color="auto"/>
      </w:divBdr>
      <w:divsChild>
        <w:div w:id="2141528789">
          <w:marLeft w:val="-25"/>
          <w:marRight w:val="200"/>
          <w:marTop w:val="0"/>
          <w:marBottom w:val="163"/>
          <w:divBdr>
            <w:top w:val="none" w:sz="0" w:space="0" w:color="auto"/>
            <w:left w:val="none" w:sz="0" w:space="0" w:color="auto"/>
            <w:bottom w:val="none" w:sz="0" w:space="0" w:color="auto"/>
            <w:right w:val="none" w:sz="0" w:space="0" w:color="auto"/>
          </w:divBdr>
          <w:divsChild>
            <w:div w:id="137280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323778">
      <w:bodyDiv w:val="1"/>
      <w:marLeft w:val="0"/>
      <w:marRight w:val="0"/>
      <w:marTop w:val="0"/>
      <w:marBottom w:val="0"/>
      <w:divBdr>
        <w:top w:val="none" w:sz="0" w:space="0" w:color="auto"/>
        <w:left w:val="none" w:sz="0" w:space="0" w:color="auto"/>
        <w:bottom w:val="none" w:sz="0" w:space="0" w:color="auto"/>
        <w:right w:val="none" w:sz="0" w:space="0" w:color="auto"/>
      </w:divBdr>
    </w:div>
    <w:div w:id="1815442645">
      <w:bodyDiv w:val="1"/>
      <w:marLeft w:val="0"/>
      <w:marRight w:val="0"/>
      <w:marTop w:val="0"/>
      <w:marBottom w:val="0"/>
      <w:divBdr>
        <w:top w:val="none" w:sz="0" w:space="0" w:color="auto"/>
        <w:left w:val="none" w:sz="0" w:space="0" w:color="auto"/>
        <w:bottom w:val="none" w:sz="0" w:space="0" w:color="auto"/>
        <w:right w:val="none" w:sz="0" w:space="0" w:color="auto"/>
      </w:divBdr>
    </w:div>
    <w:div w:id="1826164541">
      <w:bodyDiv w:val="1"/>
      <w:marLeft w:val="0"/>
      <w:marRight w:val="0"/>
      <w:marTop w:val="0"/>
      <w:marBottom w:val="0"/>
      <w:divBdr>
        <w:top w:val="none" w:sz="0" w:space="0" w:color="auto"/>
        <w:left w:val="none" w:sz="0" w:space="0" w:color="auto"/>
        <w:bottom w:val="none" w:sz="0" w:space="0" w:color="auto"/>
        <w:right w:val="none" w:sz="0" w:space="0" w:color="auto"/>
      </w:divBdr>
    </w:div>
    <w:div w:id="1997758200">
      <w:bodyDiv w:val="1"/>
      <w:marLeft w:val="0"/>
      <w:marRight w:val="0"/>
      <w:marTop w:val="0"/>
      <w:marBottom w:val="0"/>
      <w:divBdr>
        <w:top w:val="none" w:sz="0" w:space="0" w:color="auto"/>
        <w:left w:val="none" w:sz="0" w:space="0" w:color="auto"/>
        <w:bottom w:val="none" w:sz="0" w:space="0" w:color="auto"/>
        <w:right w:val="none" w:sz="0" w:space="0" w:color="auto"/>
      </w:divBdr>
    </w:div>
    <w:div w:id="2022314493">
      <w:bodyDiv w:val="1"/>
      <w:marLeft w:val="0"/>
      <w:marRight w:val="0"/>
      <w:marTop w:val="0"/>
      <w:marBottom w:val="0"/>
      <w:divBdr>
        <w:top w:val="none" w:sz="0" w:space="0" w:color="auto"/>
        <w:left w:val="none" w:sz="0" w:space="0" w:color="auto"/>
        <w:bottom w:val="none" w:sz="0" w:space="0" w:color="auto"/>
        <w:right w:val="none" w:sz="0" w:space="0" w:color="auto"/>
      </w:divBdr>
    </w:div>
    <w:div w:id="2056731639">
      <w:bodyDiv w:val="1"/>
      <w:marLeft w:val="0"/>
      <w:marRight w:val="0"/>
      <w:marTop w:val="0"/>
      <w:marBottom w:val="0"/>
      <w:divBdr>
        <w:top w:val="none" w:sz="0" w:space="0" w:color="auto"/>
        <w:left w:val="none" w:sz="0" w:space="0" w:color="auto"/>
        <w:bottom w:val="none" w:sz="0" w:space="0" w:color="auto"/>
        <w:right w:val="none" w:sz="0" w:space="0" w:color="auto"/>
      </w:divBdr>
    </w:div>
    <w:div w:id="2057503512">
      <w:bodyDiv w:val="1"/>
      <w:marLeft w:val="0"/>
      <w:marRight w:val="0"/>
      <w:marTop w:val="0"/>
      <w:marBottom w:val="0"/>
      <w:divBdr>
        <w:top w:val="none" w:sz="0" w:space="0" w:color="auto"/>
        <w:left w:val="none" w:sz="0" w:space="0" w:color="auto"/>
        <w:bottom w:val="none" w:sz="0" w:space="0" w:color="auto"/>
        <w:right w:val="none" w:sz="0" w:space="0" w:color="auto"/>
      </w:divBdr>
    </w:div>
    <w:div w:id="206775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investopedia.com/articles/professionals/041713/what-management-accountants-do.asp" TargetMode="External"/><Relationship Id="rId4" Type="http://schemas.openxmlformats.org/officeDocument/2006/relationships/settings" Target="settings.xml"/><Relationship Id="rId9" Type="http://schemas.openxmlformats.org/officeDocument/2006/relationships/hyperlink" Target="https://www.freshbooks.com/hub/accounting/management-accounti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6EB82-7178-4F6D-9EAB-B56668C91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1932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2020-06-15T11:29:00Z</dcterms:created>
  <dcterms:modified xsi:type="dcterms:W3CDTF">2021-04-12T17:43:00Z</dcterms:modified>
</cp:coreProperties>
</file>