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870A1" w14:textId="77777777" w:rsidR="002B3A25" w:rsidRDefault="002B3A25" w:rsidP="003F61E9">
      <w:pPr>
        <w:pStyle w:val="NormalWeb"/>
        <w:shd w:val="clear" w:color="auto" w:fill="FFFFFF"/>
        <w:spacing w:before="0" w:beforeAutospacing="0" w:after="0" w:afterAutospacing="0" w:line="360" w:lineRule="auto"/>
        <w:rPr>
          <w:rFonts w:ascii="Calibri" w:hAnsi="Calibri" w:cs="Calibri"/>
          <w:b/>
          <w:bCs/>
          <w:color w:val="000000"/>
          <w:sz w:val="22"/>
          <w:szCs w:val="22"/>
        </w:rPr>
      </w:pPr>
    </w:p>
    <w:p w14:paraId="322636A9" w14:textId="77777777" w:rsidR="002B3A25" w:rsidRDefault="002B3A25" w:rsidP="003F61E9">
      <w:pPr>
        <w:pStyle w:val="NormalWeb"/>
        <w:shd w:val="clear" w:color="auto" w:fill="FFFFFF"/>
        <w:spacing w:before="0" w:beforeAutospacing="0" w:after="0" w:afterAutospacing="0" w:line="360" w:lineRule="auto"/>
        <w:rPr>
          <w:rFonts w:ascii="Calibri" w:hAnsi="Calibri" w:cs="Calibri"/>
          <w:b/>
          <w:bCs/>
          <w:color w:val="000000"/>
          <w:sz w:val="22"/>
          <w:szCs w:val="22"/>
        </w:rPr>
      </w:pPr>
    </w:p>
    <w:p w14:paraId="47576F5D" w14:textId="77777777" w:rsidR="002B3A25" w:rsidRPr="00A85BFE" w:rsidRDefault="002B3A25" w:rsidP="002B3A2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6C1460F" wp14:editId="6FA99C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0582D6A" w14:textId="77777777" w:rsidR="002B3A25" w:rsidRPr="00A406E5" w:rsidRDefault="002B3A25" w:rsidP="002B3A2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B3A25" w:rsidRPr="00A406E5" w14:paraId="2121CE03" w14:textId="77777777" w:rsidTr="0089350D">
        <w:tc>
          <w:tcPr>
            <w:tcW w:w="9922" w:type="dxa"/>
            <w:shd w:val="clear" w:color="auto" w:fill="C0C0C0"/>
          </w:tcPr>
          <w:p w14:paraId="51D2DAD4" w14:textId="77777777" w:rsidR="002B3A25" w:rsidRPr="00A406E5" w:rsidRDefault="002B3A25" w:rsidP="0089350D">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8E90688" w14:textId="77777777" w:rsidR="002B3A25" w:rsidRPr="00A406E5" w:rsidRDefault="002B3A25" w:rsidP="002B3A2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3A25" w:rsidRPr="00A406E5" w14:paraId="6F3705CC" w14:textId="77777777" w:rsidTr="0089350D">
        <w:tc>
          <w:tcPr>
            <w:tcW w:w="2093" w:type="dxa"/>
            <w:shd w:val="pct15" w:color="auto" w:fill="auto"/>
          </w:tcPr>
          <w:p w14:paraId="0EAC6727" w14:textId="77777777" w:rsidR="002B3A25" w:rsidRPr="00A406E5" w:rsidRDefault="002B3A25" w:rsidP="0089350D">
            <w:pPr>
              <w:spacing w:before="120" w:after="120"/>
              <w:jc w:val="both"/>
              <w:rPr>
                <w:rFonts w:ascii="Arial" w:hAnsi="Arial" w:cs="Arial"/>
                <w:b/>
              </w:rPr>
            </w:pPr>
            <w:r w:rsidRPr="00A406E5">
              <w:rPr>
                <w:rFonts w:ascii="Arial" w:hAnsi="Arial" w:cs="Arial"/>
                <w:b/>
              </w:rPr>
              <w:t>Student name:</w:t>
            </w:r>
          </w:p>
        </w:tc>
        <w:tc>
          <w:tcPr>
            <w:tcW w:w="3293" w:type="dxa"/>
          </w:tcPr>
          <w:p w14:paraId="06FDEB2F" w14:textId="10C04A94" w:rsidR="002B3A25" w:rsidRPr="00A406E5" w:rsidRDefault="002B3A25" w:rsidP="0089350D">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 xml:space="preserve"> Hannah Williams</w:t>
            </w:r>
          </w:p>
        </w:tc>
        <w:tc>
          <w:tcPr>
            <w:tcW w:w="2268" w:type="dxa"/>
            <w:shd w:val="clear" w:color="auto" w:fill="D9D9D9"/>
          </w:tcPr>
          <w:p w14:paraId="56341D66" w14:textId="77777777" w:rsidR="002B3A25" w:rsidRPr="00A406E5" w:rsidRDefault="002B3A25" w:rsidP="0089350D">
            <w:pPr>
              <w:spacing w:before="120" w:after="120"/>
              <w:jc w:val="both"/>
              <w:rPr>
                <w:rFonts w:ascii="Arial" w:hAnsi="Arial" w:cs="Arial"/>
                <w:b/>
              </w:rPr>
            </w:pPr>
            <w:r w:rsidRPr="00A406E5">
              <w:rPr>
                <w:rFonts w:ascii="Arial" w:hAnsi="Arial" w:cs="Arial"/>
                <w:b/>
              </w:rPr>
              <w:t>Student ID number:</w:t>
            </w:r>
          </w:p>
        </w:tc>
        <w:tc>
          <w:tcPr>
            <w:tcW w:w="2268" w:type="dxa"/>
          </w:tcPr>
          <w:p w14:paraId="2858BC28" w14:textId="14D0F705" w:rsidR="002B3A25" w:rsidRPr="00A406E5" w:rsidRDefault="002B3A25" w:rsidP="0089350D">
            <w:pPr>
              <w:spacing w:before="120" w:after="120"/>
              <w:jc w:val="both"/>
              <w:rPr>
                <w:rFonts w:ascii="Arial" w:hAnsi="Arial" w:cs="Arial"/>
                <w:b/>
              </w:rPr>
            </w:pPr>
            <w:r>
              <w:rPr>
                <w:rFonts w:ascii="Arial" w:hAnsi="Arial" w:cs="Arial"/>
                <w:b/>
              </w:rPr>
              <w:t>2005470</w:t>
            </w:r>
          </w:p>
        </w:tc>
      </w:tr>
      <w:tr w:rsidR="002B3A25" w:rsidRPr="00A406E5" w14:paraId="435E1678" w14:textId="77777777" w:rsidTr="0089350D">
        <w:tc>
          <w:tcPr>
            <w:tcW w:w="2093" w:type="dxa"/>
            <w:shd w:val="pct15" w:color="auto" w:fill="auto"/>
          </w:tcPr>
          <w:p w14:paraId="2CE656F3" w14:textId="77777777" w:rsidR="002B3A25" w:rsidRPr="00A406E5" w:rsidRDefault="002B3A25" w:rsidP="0089350D">
            <w:pPr>
              <w:spacing w:before="120" w:after="120"/>
              <w:jc w:val="both"/>
              <w:rPr>
                <w:rFonts w:ascii="Arial" w:hAnsi="Arial" w:cs="Arial"/>
                <w:b/>
              </w:rPr>
            </w:pPr>
            <w:r w:rsidRPr="00A406E5">
              <w:rPr>
                <w:rFonts w:ascii="Arial" w:hAnsi="Arial" w:cs="Arial"/>
                <w:b/>
              </w:rPr>
              <w:t>Programme:</w:t>
            </w:r>
          </w:p>
        </w:tc>
        <w:tc>
          <w:tcPr>
            <w:tcW w:w="7829" w:type="dxa"/>
            <w:gridSpan w:val="3"/>
          </w:tcPr>
          <w:p w14:paraId="1BA27B3A" w14:textId="77777777" w:rsidR="002B3A25" w:rsidRPr="00A406E5" w:rsidRDefault="002B3A25" w:rsidP="0089350D">
            <w:pPr>
              <w:spacing w:before="120" w:after="120"/>
              <w:jc w:val="both"/>
              <w:rPr>
                <w:rFonts w:ascii="Arial" w:hAnsi="Arial" w:cs="Arial"/>
                <w:b/>
              </w:rPr>
            </w:pPr>
            <w:r>
              <w:rPr>
                <w:rFonts w:ascii="Arial" w:hAnsi="Arial" w:cs="Arial"/>
                <w:b/>
              </w:rPr>
              <w:t>BSc (Hons) Health, Nutrition and Lifestyle</w:t>
            </w:r>
          </w:p>
        </w:tc>
      </w:tr>
      <w:tr w:rsidR="002B3A25" w:rsidRPr="00A406E5" w14:paraId="534D353E" w14:textId="77777777" w:rsidTr="0089350D">
        <w:tc>
          <w:tcPr>
            <w:tcW w:w="2093" w:type="dxa"/>
            <w:shd w:val="pct15" w:color="auto" w:fill="auto"/>
          </w:tcPr>
          <w:p w14:paraId="0B90CE7E" w14:textId="77777777" w:rsidR="002B3A25" w:rsidRPr="00A406E5" w:rsidRDefault="002B3A25" w:rsidP="0089350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D4E6388" w14:textId="77777777" w:rsidR="002B3A25" w:rsidRPr="00A406E5" w:rsidRDefault="002B3A25" w:rsidP="0089350D">
            <w:pPr>
              <w:spacing w:before="120" w:after="120"/>
              <w:jc w:val="both"/>
              <w:rPr>
                <w:rFonts w:ascii="Arial" w:hAnsi="Arial" w:cs="Arial"/>
                <w:b/>
              </w:rPr>
            </w:pPr>
            <w:r>
              <w:rPr>
                <w:rFonts w:ascii="Arial" w:hAnsi="Arial" w:cs="Arial"/>
                <w:b/>
              </w:rPr>
              <w:t>Health, Exercise and Society</w:t>
            </w:r>
          </w:p>
        </w:tc>
      </w:tr>
      <w:tr w:rsidR="002B3A25" w:rsidRPr="00A406E5" w14:paraId="22863197" w14:textId="77777777" w:rsidTr="0089350D">
        <w:tc>
          <w:tcPr>
            <w:tcW w:w="2093" w:type="dxa"/>
            <w:shd w:val="pct15" w:color="auto" w:fill="auto"/>
          </w:tcPr>
          <w:p w14:paraId="54006762" w14:textId="77777777" w:rsidR="002B3A25" w:rsidRPr="00A406E5" w:rsidRDefault="002B3A25" w:rsidP="0089350D">
            <w:pPr>
              <w:spacing w:before="120" w:after="120"/>
              <w:jc w:val="both"/>
              <w:rPr>
                <w:rFonts w:ascii="Arial" w:hAnsi="Arial" w:cs="Arial"/>
                <w:b/>
              </w:rPr>
            </w:pPr>
            <w:r w:rsidRPr="00A406E5">
              <w:rPr>
                <w:rFonts w:ascii="Arial" w:hAnsi="Arial" w:cs="Arial"/>
                <w:b/>
              </w:rPr>
              <w:t>Module code:</w:t>
            </w:r>
          </w:p>
        </w:tc>
        <w:tc>
          <w:tcPr>
            <w:tcW w:w="3293" w:type="dxa"/>
          </w:tcPr>
          <w:p w14:paraId="2E8B0EF7" w14:textId="77777777" w:rsidR="002B3A25" w:rsidRPr="00A406E5" w:rsidRDefault="002B3A25" w:rsidP="0089350D">
            <w:pPr>
              <w:spacing w:before="120" w:after="120"/>
              <w:jc w:val="both"/>
              <w:rPr>
                <w:rFonts w:ascii="Arial" w:hAnsi="Arial" w:cs="Arial"/>
                <w:b/>
              </w:rPr>
            </w:pPr>
            <w:r>
              <w:rPr>
                <w:rFonts w:ascii="Arial" w:hAnsi="Arial" w:cs="Arial"/>
                <w:b/>
              </w:rPr>
              <w:t>BMHN4001</w:t>
            </w:r>
          </w:p>
        </w:tc>
        <w:tc>
          <w:tcPr>
            <w:tcW w:w="2268" w:type="dxa"/>
            <w:shd w:val="clear" w:color="auto" w:fill="D9D9D9"/>
          </w:tcPr>
          <w:p w14:paraId="27C9F6F1" w14:textId="77777777" w:rsidR="002B3A25" w:rsidRPr="004D5E9B" w:rsidRDefault="002B3A25" w:rsidP="0089350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1353E5" w14:textId="77777777" w:rsidR="002B3A25" w:rsidRPr="00A406E5" w:rsidRDefault="002B3A25" w:rsidP="0089350D">
            <w:pPr>
              <w:spacing w:before="120" w:after="120"/>
              <w:jc w:val="both"/>
              <w:rPr>
                <w:rFonts w:ascii="Arial" w:hAnsi="Arial" w:cs="Arial"/>
                <w:b/>
              </w:rPr>
            </w:pPr>
            <w:r>
              <w:rPr>
                <w:rFonts w:ascii="Arial" w:hAnsi="Arial" w:cs="Arial"/>
                <w:b/>
              </w:rPr>
              <w:t>50%</w:t>
            </w:r>
          </w:p>
        </w:tc>
      </w:tr>
      <w:tr w:rsidR="002B3A25" w:rsidRPr="00A406E5" w14:paraId="4C6F7BCB" w14:textId="77777777" w:rsidTr="0089350D">
        <w:tc>
          <w:tcPr>
            <w:tcW w:w="2093" w:type="dxa"/>
            <w:shd w:val="pct15" w:color="auto" w:fill="auto"/>
          </w:tcPr>
          <w:p w14:paraId="11292694" w14:textId="77777777" w:rsidR="002B3A25" w:rsidRPr="00A406E5" w:rsidRDefault="002B3A25" w:rsidP="0089350D">
            <w:pPr>
              <w:spacing w:before="120" w:after="120"/>
              <w:jc w:val="both"/>
              <w:rPr>
                <w:rFonts w:ascii="Arial" w:hAnsi="Arial" w:cs="Arial"/>
                <w:b/>
              </w:rPr>
            </w:pPr>
            <w:r w:rsidRPr="00A406E5">
              <w:rPr>
                <w:rFonts w:ascii="Arial" w:hAnsi="Arial" w:cs="Arial"/>
                <w:b/>
              </w:rPr>
              <w:t>Lecturer:</w:t>
            </w:r>
          </w:p>
        </w:tc>
        <w:tc>
          <w:tcPr>
            <w:tcW w:w="3293" w:type="dxa"/>
          </w:tcPr>
          <w:p w14:paraId="72B9C27F" w14:textId="77777777" w:rsidR="002B3A25" w:rsidRPr="00A406E5" w:rsidRDefault="002B3A25" w:rsidP="0089350D">
            <w:pPr>
              <w:spacing w:before="120" w:after="120"/>
              <w:jc w:val="both"/>
              <w:rPr>
                <w:rFonts w:ascii="Arial" w:hAnsi="Arial" w:cs="Arial"/>
                <w:b/>
              </w:rPr>
            </w:pPr>
            <w:r>
              <w:rPr>
                <w:rFonts w:ascii="Arial" w:hAnsi="Arial" w:cs="Arial"/>
                <w:b/>
              </w:rPr>
              <w:t>Dr Simon Williams</w:t>
            </w:r>
          </w:p>
        </w:tc>
        <w:tc>
          <w:tcPr>
            <w:tcW w:w="2268" w:type="dxa"/>
            <w:shd w:val="clear" w:color="auto" w:fill="D9D9D9"/>
          </w:tcPr>
          <w:p w14:paraId="5B676DF5" w14:textId="77777777" w:rsidR="002B3A25" w:rsidRPr="00A406E5" w:rsidRDefault="002B3A25" w:rsidP="0089350D">
            <w:pPr>
              <w:spacing w:before="120" w:after="120"/>
              <w:jc w:val="both"/>
              <w:rPr>
                <w:rFonts w:ascii="Arial" w:hAnsi="Arial" w:cs="Arial"/>
                <w:b/>
              </w:rPr>
            </w:pPr>
            <w:r w:rsidRPr="00A406E5">
              <w:rPr>
                <w:rFonts w:ascii="Arial" w:hAnsi="Arial" w:cs="Arial"/>
                <w:b/>
              </w:rPr>
              <w:t>Internal Verifier:</w:t>
            </w:r>
          </w:p>
        </w:tc>
        <w:tc>
          <w:tcPr>
            <w:tcW w:w="2268" w:type="dxa"/>
          </w:tcPr>
          <w:p w14:paraId="29F23888" w14:textId="77777777" w:rsidR="002B3A25" w:rsidRPr="00A406E5" w:rsidRDefault="002B3A25" w:rsidP="0089350D">
            <w:pPr>
              <w:spacing w:before="120" w:after="120"/>
              <w:jc w:val="both"/>
              <w:rPr>
                <w:rFonts w:ascii="Arial" w:hAnsi="Arial" w:cs="Arial"/>
                <w:b/>
              </w:rPr>
            </w:pPr>
            <w:r>
              <w:rPr>
                <w:rFonts w:ascii="Arial" w:hAnsi="Arial" w:cs="Arial"/>
                <w:b/>
              </w:rPr>
              <w:t>Alison Connaughton</w:t>
            </w:r>
          </w:p>
        </w:tc>
      </w:tr>
      <w:tr w:rsidR="002B3A25" w:rsidRPr="00A406E5" w14:paraId="1F969C7C" w14:textId="77777777" w:rsidTr="0089350D">
        <w:tc>
          <w:tcPr>
            <w:tcW w:w="2093" w:type="dxa"/>
            <w:shd w:val="pct15" w:color="auto" w:fill="auto"/>
          </w:tcPr>
          <w:p w14:paraId="6BECF209" w14:textId="77777777" w:rsidR="002B3A25" w:rsidRPr="00A406E5" w:rsidRDefault="002B3A25" w:rsidP="0089350D">
            <w:pPr>
              <w:spacing w:before="120" w:after="120"/>
              <w:jc w:val="both"/>
              <w:rPr>
                <w:rFonts w:ascii="Arial" w:hAnsi="Arial" w:cs="Arial"/>
                <w:b/>
              </w:rPr>
            </w:pPr>
            <w:r w:rsidRPr="00A406E5">
              <w:rPr>
                <w:rFonts w:ascii="Arial" w:hAnsi="Arial" w:cs="Arial"/>
                <w:b/>
              </w:rPr>
              <w:t>Assignment Title:</w:t>
            </w:r>
          </w:p>
        </w:tc>
        <w:tc>
          <w:tcPr>
            <w:tcW w:w="3293" w:type="dxa"/>
          </w:tcPr>
          <w:p w14:paraId="7C0E348F" w14:textId="77777777" w:rsidR="002B3A25" w:rsidRPr="00A406E5" w:rsidRDefault="002B3A25" w:rsidP="0089350D">
            <w:pPr>
              <w:spacing w:before="120" w:after="120"/>
              <w:jc w:val="both"/>
              <w:rPr>
                <w:rFonts w:ascii="Arial" w:hAnsi="Arial" w:cs="Arial"/>
                <w:b/>
              </w:rPr>
            </w:pPr>
            <w:r>
              <w:rPr>
                <w:rFonts w:ascii="Arial" w:hAnsi="Arial" w:cs="Arial"/>
                <w:b/>
              </w:rPr>
              <w:t>Assessment TWO: Portfolio</w:t>
            </w:r>
          </w:p>
        </w:tc>
        <w:tc>
          <w:tcPr>
            <w:tcW w:w="2268" w:type="dxa"/>
            <w:shd w:val="pct15" w:color="auto" w:fill="auto"/>
          </w:tcPr>
          <w:p w14:paraId="4803445D" w14:textId="77777777" w:rsidR="002B3A25" w:rsidRPr="00A406E5" w:rsidRDefault="002B3A25" w:rsidP="0089350D">
            <w:pPr>
              <w:spacing w:before="120" w:after="120"/>
              <w:jc w:val="both"/>
              <w:rPr>
                <w:rFonts w:ascii="Arial" w:hAnsi="Arial" w:cs="Arial"/>
                <w:b/>
              </w:rPr>
            </w:pPr>
            <w:r>
              <w:rPr>
                <w:rFonts w:ascii="Arial" w:hAnsi="Arial" w:cs="Arial"/>
                <w:b/>
              </w:rPr>
              <w:t>Word count (or equivalent):</w:t>
            </w:r>
          </w:p>
        </w:tc>
        <w:tc>
          <w:tcPr>
            <w:tcW w:w="2268" w:type="dxa"/>
          </w:tcPr>
          <w:p w14:paraId="40628BB6" w14:textId="77777777" w:rsidR="002B3A25" w:rsidRPr="00A406E5" w:rsidRDefault="002B3A25" w:rsidP="0089350D">
            <w:pPr>
              <w:spacing w:before="120" w:after="120"/>
              <w:jc w:val="both"/>
              <w:rPr>
                <w:rFonts w:ascii="Arial" w:hAnsi="Arial" w:cs="Arial"/>
                <w:b/>
              </w:rPr>
            </w:pPr>
            <w:r>
              <w:rPr>
                <w:rFonts w:ascii="Arial" w:hAnsi="Arial" w:cs="Arial"/>
                <w:b/>
              </w:rPr>
              <w:t>2000</w:t>
            </w:r>
          </w:p>
        </w:tc>
      </w:tr>
      <w:tr w:rsidR="002B3A25" w:rsidRPr="00A406E5" w14:paraId="22E07569" w14:textId="77777777" w:rsidTr="0089350D">
        <w:tc>
          <w:tcPr>
            <w:tcW w:w="2093" w:type="dxa"/>
            <w:shd w:val="pct15" w:color="auto" w:fill="auto"/>
          </w:tcPr>
          <w:p w14:paraId="6FFE12F1" w14:textId="77777777" w:rsidR="002B3A25" w:rsidRPr="00A406E5" w:rsidRDefault="002B3A25" w:rsidP="0089350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12995D9" w14:textId="77777777" w:rsidR="002B3A25" w:rsidRPr="00A406E5" w:rsidRDefault="002B3A25" w:rsidP="0089350D">
            <w:pPr>
              <w:spacing w:before="120" w:after="120"/>
              <w:jc w:val="both"/>
              <w:rPr>
                <w:rFonts w:ascii="Arial" w:hAnsi="Arial" w:cs="Arial"/>
                <w:b/>
              </w:rPr>
            </w:pPr>
            <w:r>
              <w:rPr>
                <w:rFonts w:ascii="Arial" w:hAnsi="Arial" w:cs="Arial"/>
                <w:b/>
              </w:rPr>
              <w:t>3pm on the 7</w:t>
            </w:r>
            <w:r w:rsidRPr="001349FB">
              <w:rPr>
                <w:rFonts w:ascii="Arial" w:hAnsi="Arial" w:cs="Arial"/>
                <w:b/>
                <w:vertAlign w:val="superscript"/>
              </w:rPr>
              <w:t>th</w:t>
            </w:r>
            <w:r>
              <w:rPr>
                <w:rFonts w:ascii="Arial" w:hAnsi="Arial" w:cs="Arial"/>
                <w:b/>
              </w:rPr>
              <w:t xml:space="preserve"> May 2021</w:t>
            </w:r>
          </w:p>
        </w:tc>
        <w:tc>
          <w:tcPr>
            <w:tcW w:w="2268" w:type="dxa"/>
            <w:shd w:val="pct15" w:color="auto" w:fill="auto"/>
          </w:tcPr>
          <w:p w14:paraId="336667B2" w14:textId="77777777" w:rsidR="002B3A25" w:rsidRPr="00A406E5" w:rsidRDefault="002B3A25" w:rsidP="0089350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AA4E48A" w14:textId="77777777" w:rsidR="002B3A25" w:rsidRPr="00A406E5" w:rsidRDefault="002B3A25" w:rsidP="0089350D">
            <w:pPr>
              <w:spacing w:before="120" w:after="120"/>
              <w:jc w:val="both"/>
              <w:rPr>
                <w:rFonts w:ascii="Arial" w:hAnsi="Arial" w:cs="Arial"/>
                <w:b/>
              </w:rPr>
            </w:pPr>
            <w:r>
              <w:rPr>
                <w:rFonts w:ascii="Arial" w:hAnsi="Arial" w:cs="Arial"/>
                <w:b/>
              </w:rPr>
              <w:t>21</w:t>
            </w:r>
            <w:r w:rsidRPr="001349FB">
              <w:rPr>
                <w:rFonts w:ascii="Arial" w:hAnsi="Arial" w:cs="Arial"/>
                <w:b/>
                <w:vertAlign w:val="superscript"/>
              </w:rPr>
              <w:t>st</w:t>
            </w:r>
            <w:r>
              <w:rPr>
                <w:rFonts w:ascii="Arial" w:hAnsi="Arial" w:cs="Arial"/>
                <w:b/>
              </w:rPr>
              <w:t xml:space="preserve"> May 2021</w:t>
            </w:r>
          </w:p>
        </w:tc>
      </w:tr>
      <w:tr w:rsidR="002B3A25" w:rsidRPr="00A406E5" w14:paraId="3468F451" w14:textId="77777777" w:rsidTr="0089350D">
        <w:tc>
          <w:tcPr>
            <w:tcW w:w="2093" w:type="dxa"/>
            <w:shd w:val="pct15" w:color="auto" w:fill="auto"/>
          </w:tcPr>
          <w:p w14:paraId="18051557" w14:textId="77777777" w:rsidR="002B3A25" w:rsidRPr="00A406E5" w:rsidRDefault="002B3A25" w:rsidP="0089350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6105611" w14:textId="77777777" w:rsidR="002B3A25" w:rsidRPr="00A406E5" w:rsidRDefault="002B3A25" w:rsidP="0089350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C28B24" w14:textId="77777777" w:rsidR="002B3A25" w:rsidRPr="00A406E5" w:rsidRDefault="002B3A25" w:rsidP="0089350D">
            <w:pPr>
              <w:spacing w:before="120" w:after="120"/>
              <w:jc w:val="both"/>
              <w:rPr>
                <w:rFonts w:ascii="Arial" w:hAnsi="Arial" w:cs="Arial"/>
                <w:b/>
              </w:rPr>
            </w:pPr>
            <w:r w:rsidRPr="00A406E5">
              <w:rPr>
                <w:rFonts w:ascii="Arial" w:hAnsi="Arial" w:cs="Arial"/>
                <w:b/>
              </w:rPr>
              <w:t xml:space="preserve">Alternative submission method (if applicable): </w:t>
            </w:r>
          </w:p>
          <w:p w14:paraId="4160AA10" w14:textId="77777777" w:rsidR="002B3A25" w:rsidRPr="00A406E5" w:rsidRDefault="002B3A25" w:rsidP="0089350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B3A25" w:rsidRPr="00A406E5" w14:paraId="4B19F7C5" w14:textId="77777777" w:rsidTr="0089350D">
        <w:tc>
          <w:tcPr>
            <w:tcW w:w="2093" w:type="dxa"/>
            <w:shd w:val="pct15" w:color="auto" w:fill="auto"/>
          </w:tcPr>
          <w:p w14:paraId="39718C5C" w14:textId="77777777" w:rsidR="002B3A25" w:rsidRPr="00A406E5" w:rsidRDefault="002B3A25" w:rsidP="0089350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4228375" w14:textId="77777777" w:rsidR="002B3A25" w:rsidRPr="00A406E5" w:rsidRDefault="002B3A25" w:rsidP="0089350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E43195B" w14:textId="77777777" w:rsidR="002B3A25" w:rsidRPr="00A406E5" w:rsidRDefault="002B3A25" w:rsidP="002B3A25">
      <w:pPr>
        <w:rPr>
          <w:rFonts w:ascii="Arial" w:hAnsi="Arial" w:cs="Arial"/>
          <w:sz w:val="32"/>
        </w:rPr>
      </w:pPr>
    </w:p>
    <w:p w14:paraId="2F309B44" w14:textId="77777777" w:rsidR="002B3A25" w:rsidRPr="00A406E5" w:rsidRDefault="002B3A25" w:rsidP="002B3A25">
      <w:pPr>
        <w:rPr>
          <w:rFonts w:ascii="Arial" w:hAnsi="Arial" w:cs="Arial"/>
          <w:sz w:val="32"/>
        </w:rPr>
      </w:pPr>
    </w:p>
    <w:p w14:paraId="012A7DDD" w14:textId="77777777" w:rsidR="002B3A25" w:rsidRDefault="002B3A25" w:rsidP="003F61E9">
      <w:pPr>
        <w:pStyle w:val="NormalWeb"/>
        <w:shd w:val="clear" w:color="auto" w:fill="FFFFFF"/>
        <w:spacing w:before="0" w:beforeAutospacing="0" w:after="0" w:afterAutospacing="0" w:line="360" w:lineRule="auto"/>
        <w:rPr>
          <w:rFonts w:ascii="Calibri" w:hAnsi="Calibri" w:cs="Calibri"/>
          <w:b/>
          <w:bCs/>
          <w:color w:val="000000"/>
          <w:sz w:val="22"/>
          <w:szCs w:val="22"/>
        </w:rPr>
      </w:pPr>
    </w:p>
    <w:p w14:paraId="522CAB84" w14:textId="77777777" w:rsidR="002B3A25" w:rsidRDefault="002B3A25" w:rsidP="003F61E9">
      <w:pPr>
        <w:pStyle w:val="NormalWeb"/>
        <w:shd w:val="clear" w:color="auto" w:fill="FFFFFF"/>
        <w:spacing w:before="0" w:beforeAutospacing="0" w:after="0" w:afterAutospacing="0" w:line="360" w:lineRule="auto"/>
        <w:rPr>
          <w:rFonts w:ascii="Calibri" w:hAnsi="Calibri" w:cs="Calibri"/>
          <w:b/>
          <w:bCs/>
          <w:color w:val="000000"/>
          <w:sz w:val="22"/>
          <w:szCs w:val="22"/>
        </w:rPr>
      </w:pPr>
    </w:p>
    <w:p w14:paraId="07814704" w14:textId="562B3211"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b/>
          <w:bCs/>
          <w:color w:val="000000"/>
          <w:sz w:val="22"/>
          <w:szCs w:val="22"/>
        </w:rPr>
        <w:t>Describe physical activity levels for adults in Wales in relation to national recommendations and geographical region.  You should also attempt to discuss how physical activity in Wales compares to other UK countries and if there is any evidence that physical activity in Wales is related to social and environmental factors.    </w:t>
      </w:r>
    </w:p>
    <w:p w14:paraId="058E0B1F"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354D58C0"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u w:val="single"/>
        </w:rPr>
        <w:t>Introduction to physical activity in Wales </w:t>
      </w:r>
    </w:p>
    <w:p w14:paraId="73528D95"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410E8ECB" w14:textId="1BE7432A"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 xml:space="preserve">Physical inactivity is responsible for one in six deaths in the UK, which is equal to the mortality rate from smoking. Being physically inactive is estimated to cost the UK £7.4 billion annually. Unfortunately, our population is currently around 20% less active when compared to the 1960s (Public Health England, 2016). The UK government has established physical activity requirements that should be followed </w:t>
      </w:r>
      <w:r w:rsidRPr="003F61E9">
        <w:rPr>
          <w:rFonts w:ascii="Calibri" w:hAnsi="Calibri" w:cs="Calibri"/>
          <w:color w:val="000000"/>
          <w:sz w:val="22"/>
          <w:szCs w:val="22"/>
        </w:rPr>
        <w:t>for</w:t>
      </w:r>
      <w:r w:rsidRPr="003F61E9">
        <w:rPr>
          <w:rFonts w:ascii="Calibri" w:hAnsi="Calibri" w:cs="Calibri"/>
          <w:color w:val="000000"/>
          <w:sz w:val="22"/>
          <w:szCs w:val="22"/>
        </w:rPr>
        <w:t xml:space="preserve"> the population to remain active and healthy. The physical activity guidelines for adults are for ages 19 to 64 and are as follows. You should aim to be active every day, either 150 minutes of moderate-intensity activity a week, which can be done through actives such as a brisk walk, riding a bike and dancing, or 75 minutes of vigorous-intensity activity a week, which can be done through actives such as running, swimming fast and participating in sports such as football, </w:t>
      </w:r>
      <w:r w:rsidRPr="003F61E9">
        <w:rPr>
          <w:rFonts w:ascii="Calibri" w:hAnsi="Calibri" w:cs="Calibri"/>
          <w:color w:val="000000"/>
          <w:sz w:val="22"/>
          <w:szCs w:val="22"/>
        </w:rPr>
        <w:t>netball,</w:t>
      </w:r>
      <w:r w:rsidRPr="003F61E9">
        <w:rPr>
          <w:rFonts w:ascii="Calibri" w:hAnsi="Calibri" w:cs="Calibri"/>
          <w:color w:val="000000"/>
          <w:sz w:val="22"/>
          <w:szCs w:val="22"/>
        </w:rPr>
        <w:t xml:space="preserve"> and rugby (NHS, 2019). 57% of adults in Wales are deemed overweight or obese (Public Health Cymru, 2019) which suggests these national recommendations for exercise are perhaps not being followed how they should be, obesity rates are higher at all ages in more deprived regions (Salmasi and Celidon, 2017).</w:t>
      </w:r>
    </w:p>
    <w:p w14:paraId="6688D524"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2A65A64A"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u w:val="single"/>
        </w:rPr>
        <w:t>Wales and the recommended guidelines for physical activity </w:t>
      </w:r>
    </w:p>
    <w:p w14:paraId="18A9210E"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2B65C418" w14:textId="5C9023A8"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 xml:space="preserve">In a survey carried out by the Welsh government, in Wales, 53% of adults claimed they were active for 150 minutes or more during a typical week. Physical activity levels were lower among women, older adults, and people living in low-income areas. Adults were inactive in 33% of cases, only participating in exercise for 30 minutes or less a week (Welsh Government, 2020). 32% of adults 16+ participate in sporting activities three or more times a week in Wales, in relation to suburban areas in wales, in Bridgend 31% of adults take part in sports three times a week and in Wrexham 34%. Whilst in rural areas these figures are only slightly lower at 28% in Conway and 29% in Pembrokeshire. According to research by Public Health Wales, just 18% of adolescents in Wales get </w:t>
      </w:r>
      <w:r w:rsidRPr="003F61E9">
        <w:rPr>
          <w:rFonts w:ascii="Calibri" w:hAnsi="Calibri" w:cs="Calibri"/>
          <w:color w:val="000000"/>
          <w:sz w:val="22"/>
          <w:szCs w:val="22"/>
        </w:rPr>
        <w:lastRenderedPageBreak/>
        <w:t xml:space="preserve">the recommended amount of physical activity (Public Health Wales, 2019) The amount of physical activity engaged in during adolescence sets that individual up for life; they are likely to stay at the same level of physical activity for life, so when it is this low, it is alarming and is setting up a generation of individuals who do not meet the recommended physical activity standards in Wales (Hills, King and Byrne, 2007). A 2019 report published by ITV </w:t>
      </w:r>
      <w:r w:rsidRPr="003F61E9">
        <w:rPr>
          <w:rFonts w:ascii="Calibri" w:hAnsi="Calibri" w:cs="Calibri"/>
          <w:color w:val="000000"/>
          <w:sz w:val="22"/>
          <w:szCs w:val="22"/>
        </w:rPr>
        <w:t>claimed,</w:t>
      </w:r>
      <w:r w:rsidRPr="003F61E9">
        <w:rPr>
          <w:rFonts w:ascii="Calibri" w:hAnsi="Calibri" w:cs="Calibri"/>
          <w:color w:val="000000"/>
          <w:sz w:val="22"/>
          <w:szCs w:val="22"/>
        </w:rPr>
        <w:t xml:space="preserve"> ‘Physical activity levels among children in Wales one of lowest in the world’, with one in four, four to five-year-olds obese or overweight (ITV, 2019). Obesity in childhood is linked to an increased risk of premature death and impairment in adulthood (Benjamin, 2010). Children who are overweight or obese are more likely to remain obese into adulthood and to develop noncommunicable diseases (NCDs) such as diabetes and cardiovascular disease at a younger age (World health organisation, 2014). This highlights the importance of making sure the physical activity guidelines are met as much as they possibly can be as they hold many health benefits (Dalgleish et al., 2001).</w:t>
      </w:r>
    </w:p>
    <w:p w14:paraId="7A20946C"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4EEAECEB"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u w:val="single"/>
        </w:rPr>
        <w:t>Social and Environmental factors affecting physical activity </w:t>
      </w:r>
    </w:p>
    <w:p w14:paraId="258FCC9D"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18A96354" w14:textId="2E38C61D"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 xml:space="preserve">It has been said our external environment can affect our attitude towards physical activity (Foster et al., 2009). Research conducted by the Imperial London College found that there were significant differences between high, middle, and low-income countries. The study found that in high-income countries, BMI has been generally higher in rural areas since 1985, especially for women. According to the researchers, this is due to the challenges faced by those living outside of cities, which include lower income and education, reduced availability and higher prices for healthier foods, and fewer leisure and sports facilities. Meanwhile, rural areas in low and middle-income countries have seen changes toward higher wages, improved infrastructure, more mechanised agriculture, and increased car usage, both of which provide various health benefits but also contribute to lower energy expenditure and increased spending on food, which can be processed and low-quality when proper regulations are not in place. </w:t>
      </w:r>
      <w:r w:rsidRPr="003F61E9">
        <w:rPr>
          <w:rFonts w:ascii="Calibri" w:hAnsi="Calibri" w:cs="Calibri"/>
          <w:color w:val="000000"/>
          <w:sz w:val="22"/>
          <w:szCs w:val="22"/>
        </w:rPr>
        <w:t>All</w:t>
      </w:r>
      <w:r w:rsidRPr="003F61E9">
        <w:rPr>
          <w:rFonts w:ascii="Calibri" w:hAnsi="Calibri" w:cs="Calibri"/>
          <w:color w:val="000000"/>
          <w:sz w:val="22"/>
          <w:szCs w:val="22"/>
        </w:rPr>
        <w:t xml:space="preserve"> these factors lead to a faster rise in BMI in rural areas (Imperial College, 2018). In </w:t>
      </w:r>
      <w:r w:rsidRPr="003F61E9">
        <w:rPr>
          <w:rFonts w:ascii="Calibri" w:hAnsi="Calibri" w:cs="Calibri"/>
          <w:color w:val="000000"/>
          <w:sz w:val="22"/>
          <w:szCs w:val="22"/>
        </w:rPr>
        <w:t>Wales,</w:t>
      </w:r>
      <w:r w:rsidRPr="003F61E9">
        <w:rPr>
          <w:rFonts w:ascii="Calibri" w:hAnsi="Calibri" w:cs="Calibri"/>
          <w:color w:val="000000"/>
          <w:sz w:val="22"/>
          <w:szCs w:val="22"/>
        </w:rPr>
        <w:t xml:space="preserve"> the number of children active every day during a 2017/18 study differed depending on the affluence of the family they belonged to, 15% of children from a low affluence family were active every day, whilst 21% of children from a high affluence family were active every day. These figures suggest that your environment does affect the likelihood of a person taking place in exercise (StatsWales, 2018).  Low-Income areas are less likely to have recreational areas, gym memberships can be expensive and are more likely to be surrounded by convenient inexpensive </w:t>
      </w:r>
      <w:r w:rsidRPr="003F61E9">
        <w:rPr>
          <w:rFonts w:ascii="Calibri" w:hAnsi="Calibri" w:cs="Calibri"/>
          <w:color w:val="000000"/>
          <w:sz w:val="22"/>
          <w:szCs w:val="22"/>
        </w:rPr>
        <w:t>fast-food</w:t>
      </w:r>
      <w:r w:rsidRPr="003F61E9">
        <w:rPr>
          <w:rFonts w:ascii="Calibri" w:hAnsi="Calibri" w:cs="Calibri"/>
          <w:color w:val="000000"/>
          <w:sz w:val="22"/>
          <w:szCs w:val="22"/>
        </w:rPr>
        <w:t xml:space="preserve"> shops (Vilar-Compte et al., 2021). </w:t>
      </w:r>
    </w:p>
    <w:p w14:paraId="35543B26"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6AB349A0"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u w:val="single"/>
        </w:rPr>
      </w:pPr>
    </w:p>
    <w:p w14:paraId="0C6ACC6D"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u w:val="single"/>
        </w:rPr>
      </w:pPr>
    </w:p>
    <w:p w14:paraId="13D7B401"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u w:val="single"/>
        </w:rPr>
      </w:pPr>
    </w:p>
    <w:p w14:paraId="7B6DEC08" w14:textId="78313C00"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u w:val="single"/>
        </w:rPr>
        <w:t>Physical activity levels in Wales compared to other UK Countries </w:t>
      </w:r>
    </w:p>
    <w:p w14:paraId="4304D6D5"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2BB280D2" w14:textId="667FA71F"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 xml:space="preserve">Physical activity levels in Wales differs from physical activity levels in England, </w:t>
      </w:r>
      <w:r w:rsidRPr="003F61E9">
        <w:rPr>
          <w:rFonts w:ascii="Calibri" w:hAnsi="Calibri" w:cs="Calibri"/>
          <w:color w:val="000000"/>
          <w:sz w:val="22"/>
          <w:szCs w:val="22"/>
        </w:rPr>
        <w:t>Scotland,</w:t>
      </w:r>
      <w:r w:rsidRPr="003F61E9">
        <w:rPr>
          <w:rFonts w:ascii="Calibri" w:hAnsi="Calibri" w:cs="Calibri"/>
          <w:color w:val="000000"/>
          <w:sz w:val="22"/>
          <w:szCs w:val="22"/>
        </w:rPr>
        <w:t xml:space="preserve"> and Ireland. Between 2012 and 2014, in England 60% of adults met the physical activity guidelines, in Scotland, it was 64%, in Northern Ireland 61% and in Wales 31%. Wales’ physical activity levels compare poorly to other UK countries (World Health Organisation, 2012).</w:t>
      </w:r>
    </w:p>
    <w:p w14:paraId="7A04D127"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25D8AF58"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u w:val="single"/>
        </w:rPr>
        <w:t>Physical activity levels in relation to Social and Environmental factors </w:t>
      </w:r>
    </w:p>
    <w:p w14:paraId="04CB8549"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0EC4EB7C" w14:textId="4C6FE994"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 xml:space="preserve">For some people, the thought of carrying out physical activity can be worse than </w:t>
      </w:r>
      <w:r w:rsidRPr="003F61E9">
        <w:rPr>
          <w:rFonts w:ascii="Calibri" w:hAnsi="Calibri" w:cs="Calibri"/>
          <w:color w:val="000000"/>
          <w:sz w:val="22"/>
          <w:szCs w:val="22"/>
        </w:rPr>
        <w:t>participating</w:t>
      </w:r>
      <w:r w:rsidRPr="003F61E9">
        <w:rPr>
          <w:rFonts w:ascii="Calibri" w:hAnsi="Calibri" w:cs="Calibri"/>
          <w:color w:val="000000"/>
          <w:sz w:val="22"/>
          <w:szCs w:val="22"/>
        </w:rPr>
        <w:t xml:space="preserve"> in it. There are many barriers to exercise that people may feel stops them from meeting the recommended physical activity guidelines. People may find they have a lack of time, </w:t>
      </w:r>
      <w:r w:rsidRPr="003F61E9">
        <w:rPr>
          <w:rFonts w:ascii="Calibri" w:hAnsi="Calibri" w:cs="Calibri"/>
          <w:color w:val="000000"/>
          <w:sz w:val="22"/>
          <w:szCs w:val="22"/>
        </w:rPr>
        <w:t>motivation,</w:t>
      </w:r>
      <w:r w:rsidRPr="003F61E9">
        <w:rPr>
          <w:rFonts w:ascii="Calibri" w:hAnsi="Calibri" w:cs="Calibri"/>
          <w:color w:val="000000"/>
          <w:sz w:val="22"/>
          <w:szCs w:val="22"/>
        </w:rPr>
        <w:t xml:space="preserve"> or resources. Social and environmental factors can also </w:t>
      </w:r>
      <w:r w:rsidRPr="003F61E9">
        <w:rPr>
          <w:rFonts w:ascii="Calibri" w:hAnsi="Calibri" w:cs="Calibri"/>
          <w:color w:val="000000"/>
          <w:sz w:val="22"/>
          <w:szCs w:val="22"/>
        </w:rPr>
        <w:t>influence</w:t>
      </w:r>
      <w:r w:rsidRPr="003F61E9">
        <w:rPr>
          <w:rFonts w:ascii="Calibri" w:hAnsi="Calibri" w:cs="Calibri"/>
          <w:color w:val="000000"/>
          <w:sz w:val="22"/>
          <w:szCs w:val="22"/>
        </w:rPr>
        <w:t xml:space="preserve"> the amount of physical activity we participate in (Biddle, Mutrie and T Gorely, 2015). Social influences may be behavioural, psychological, or personal. People may feel a lack of motivation to exercise, if someone is brought up in a society where exercise </w:t>
      </w:r>
      <w:r w:rsidRPr="003F61E9">
        <w:rPr>
          <w:rFonts w:ascii="Calibri" w:hAnsi="Calibri" w:cs="Calibri"/>
          <w:color w:val="000000"/>
          <w:sz w:val="22"/>
          <w:szCs w:val="22"/>
        </w:rPr>
        <w:t>is not</w:t>
      </w:r>
      <w:r w:rsidRPr="003F61E9">
        <w:rPr>
          <w:rFonts w:ascii="Calibri" w:hAnsi="Calibri" w:cs="Calibri"/>
          <w:color w:val="000000"/>
          <w:sz w:val="22"/>
          <w:szCs w:val="22"/>
        </w:rPr>
        <w:t xml:space="preserve"> seen as something important that benefits one's health, it is likely they won’t participate in exercise as they may not see it as beneficial and enjoyable. If friends and family participate in exercise regularly this may give an individual confidence to join in, whereas the thought of participating in exercise alone may be daunting, especially to someone who </w:t>
      </w:r>
      <w:r w:rsidRPr="003F61E9">
        <w:rPr>
          <w:rFonts w:ascii="Calibri" w:hAnsi="Calibri" w:cs="Calibri"/>
          <w:color w:val="000000"/>
          <w:sz w:val="22"/>
          <w:szCs w:val="22"/>
        </w:rPr>
        <w:t>is not</w:t>
      </w:r>
      <w:r w:rsidRPr="003F61E9">
        <w:rPr>
          <w:rFonts w:ascii="Calibri" w:hAnsi="Calibri" w:cs="Calibri"/>
          <w:color w:val="000000"/>
          <w:sz w:val="22"/>
          <w:szCs w:val="22"/>
        </w:rPr>
        <w:t xml:space="preserve"> used to it. With no social support, it is likely a person will not feel the need to exercise (Dishman, Heath and Lee, 2021). In society fast food is inexpensive and more convenient, large consumptions of fast food </w:t>
      </w:r>
      <w:r w:rsidRPr="003F61E9">
        <w:rPr>
          <w:rFonts w:ascii="Calibri" w:hAnsi="Calibri" w:cs="Calibri"/>
          <w:color w:val="000000"/>
          <w:sz w:val="22"/>
          <w:szCs w:val="22"/>
        </w:rPr>
        <w:t>will not</w:t>
      </w:r>
      <w:r w:rsidRPr="003F61E9">
        <w:rPr>
          <w:rFonts w:ascii="Calibri" w:hAnsi="Calibri" w:cs="Calibri"/>
          <w:color w:val="000000"/>
          <w:sz w:val="22"/>
          <w:szCs w:val="22"/>
        </w:rPr>
        <w:t xml:space="preserve"> provide sufficient energy to carry out physical activity, to begin with. Environmental factors are the surroundings in which we live, these can affect exercise. Living in a more deprived area where crime may be high, people may not feel safe to go for a walk or a run where they are living. Low-income areas may have lower tax funds compared to higher-income areas, this means these areas </w:t>
      </w:r>
      <w:r w:rsidRPr="003F61E9">
        <w:rPr>
          <w:rFonts w:ascii="Calibri" w:hAnsi="Calibri" w:cs="Calibri"/>
          <w:color w:val="000000"/>
          <w:sz w:val="22"/>
          <w:szCs w:val="22"/>
        </w:rPr>
        <w:t>will not</w:t>
      </w:r>
      <w:r w:rsidRPr="003F61E9">
        <w:rPr>
          <w:rFonts w:ascii="Calibri" w:hAnsi="Calibri" w:cs="Calibri"/>
          <w:color w:val="000000"/>
          <w:sz w:val="22"/>
          <w:szCs w:val="22"/>
        </w:rPr>
        <w:t xml:space="preserve"> have sufficient funds to be able to create recreational areas and sporting facilities for the community (Giles-Corti et al., 2002). In Wales, during 2017/18 14% of children from a low affluence family had fewer than two healthy behaviours, such as taking part in a sport or eating fruit and veg daily, whilst 12% of children from high family affluence had fewer than two healthy behaviours (StatsWales, 2018a).  Males and females living in the most deprived areas in Wales were 3.7 and 3.8 times more likely to die from an avoidable cause than those living in the least deprived </w:t>
      </w:r>
      <w:r w:rsidRPr="003F61E9">
        <w:rPr>
          <w:rFonts w:ascii="Calibri" w:hAnsi="Calibri" w:cs="Calibri"/>
          <w:color w:val="000000"/>
          <w:sz w:val="22"/>
          <w:szCs w:val="22"/>
        </w:rPr>
        <w:lastRenderedPageBreak/>
        <w:t>areas in Wales (World Health Organisation, 2012). 58% of adults in Wales reported they walk or cycle to get somewhere, a higher percentage amongst those living in urban areas, 63%, compared to those living in rural areas, 48% (Welsh Government, 2018). These statistics demonstrate that social and environmental factors do affect our lives and our likelihood to meet the physical activity guidelines. </w:t>
      </w:r>
    </w:p>
    <w:p w14:paraId="338A9CBC"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67ABA3F9"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u w:val="single"/>
        </w:rPr>
        <w:t>Conclusion </w:t>
      </w:r>
    </w:p>
    <w:p w14:paraId="3EBE72D4"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2B481405"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 In general, children and adults in Wales are not meeting the recommended physical activity guidelines. Whilst in England over half (60%) of the population meet the recommended guidelines, in Wales, not even half (31%) of the population are meeting the recommended guidelines (World Health Organisation, 2012). Numerous factors would play a part in these statistics, the main two being social and environmental factors (Giles-Corti et al., 2002). If people are surrounded and brought up around friends and family who are unaware of the benefits of physical activity and who are unmotivated to participate in social activity it is likely the individual will also share the same values, deeming physical activity, not of any importance (Dishman, Heath and Lee, 2021). Physical activity should be encouraged in schools, recreational areas should be given more funding and children and families should be made aware of team sports they can participate in. This should all provide some means of motivation for people to participate in physical activity. To close the gap between low income and high-income areas everyone should be given equal opportunities (Biddle, Mutrie and T Gorely, 2015).</w:t>
      </w:r>
    </w:p>
    <w:p w14:paraId="0734D7F7"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25265855"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61BF7B08"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69998461"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467129B9"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6FAAF6CE"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69D512B1"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274EC091"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58AA8438"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190407D7"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7D79CEFA"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1C02654F" w14:textId="77777777" w:rsid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114DD189" w14:textId="4E40708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Word Count:1911</w:t>
      </w:r>
    </w:p>
    <w:p w14:paraId="716C2E16"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u w:val="single"/>
        </w:rPr>
        <w:lastRenderedPageBreak/>
        <w:t>Reference list</w:t>
      </w:r>
    </w:p>
    <w:p w14:paraId="5E310078"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18EBECD0"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Benjamin, R.M. (2010). </w:t>
      </w:r>
      <w:r w:rsidRPr="003F61E9">
        <w:rPr>
          <w:rFonts w:ascii="Calibri" w:hAnsi="Calibri" w:cs="Calibri"/>
          <w:i/>
          <w:iCs/>
          <w:color w:val="000000"/>
          <w:sz w:val="22"/>
          <w:szCs w:val="22"/>
        </w:rPr>
        <w:t>Childhood Obesity: Envisioning a Healthy and Fit Nation.</w:t>
      </w:r>
      <w:r w:rsidRPr="003F61E9">
        <w:rPr>
          <w:rFonts w:ascii="Calibri" w:hAnsi="Calibri" w:cs="Calibri"/>
          <w:color w:val="000000"/>
          <w:sz w:val="22"/>
          <w:szCs w:val="22"/>
        </w:rPr>
        <w:t> Childhood Obesity, p.162–162.</w:t>
      </w:r>
    </w:p>
    <w:p w14:paraId="2DE8ACA6"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523421EA"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Biddle, S., Mutrie, N. and T Gorely (2015). </w:t>
      </w:r>
      <w:r w:rsidRPr="003F61E9">
        <w:rPr>
          <w:rFonts w:ascii="Calibri" w:hAnsi="Calibri" w:cs="Calibri"/>
          <w:i/>
          <w:iCs/>
          <w:color w:val="000000"/>
          <w:sz w:val="22"/>
          <w:szCs w:val="22"/>
        </w:rPr>
        <w:t>Psychology of physical activity : determinants, well-being and interventions</w:t>
      </w:r>
      <w:r w:rsidRPr="003F61E9">
        <w:rPr>
          <w:rFonts w:ascii="Calibri" w:hAnsi="Calibri" w:cs="Calibri"/>
          <w:color w:val="000000"/>
          <w:sz w:val="22"/>
          <w:szCs w:val="22"/>
        </w:rPr>
        <w:t>. London: Routledge.</w:t>
      </w:r>
    </w:p>
    <w:p w14:paraId="3505DE08"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3D23B272"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Dalgleish, J., Dollery, S., Frankham, H. (2001). </w:t>
      </w:r>
      <w:r w:rsidRPr="003F61E9">
        <w:rPr>
          <w:rFonts w:ascii="Calibri" w:hAnsi="Calibri" w:cs="Calibri"/>
          <w:i/>
          <w:iCs/>
          <w:color w:val="000000"/>
          <w:sz w:val="22"/>
          <w:szCs w:val="22"/>
        </w:rPr>
        <w:t>The health and fitness handbook</w:t>
      </w:r>
      <w:r w:rsidRPr="003F61E9">
        <w:rPr>
          <w:rFonts w:ascii="Calibri" w:hAnsi="Calibri" w:cs="Calibri"/>
          <w:color w:val="000000"/>
          <w:sz w:val="22"/>
          <w:szCs w:val="22"/>
        </w:rPr>
        <w:t>. Harlow: Pearson Education.</w:t>
      </w:r>
    </w:p>
    <w:p w14:paraId="1D819B94"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103A4047"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Dishman, R.K., Heath, G. and Lee, I-Min. (2021). </w:t>
      </w:r>
      <w:r w:rsidRPr="003F61E9">
        <w:rPr>
          <w:rFonts w:ascii="Calibri" w:hAnsi="Calibri" w:cs="Calibri"/>
          <w:i/>
          <w:iCs/>
          <w:color w:val="000000"/>
          <w:sz w:val="22"/>
          <w:szCs w:val="22"/>
        </w:rPr>
        <w:t>Physical activity epidemiology</w:t>
      </w:r>
      <w:r w:rsidRPr="003F61E9">
        <w:rPr>
          <w:rFonts w:ascii="Calibri" w:hAnsi="Calibri" w:cs="Calibri"/>
          <w:color w:val="000000"/>
          <w:sz w:val="22"/>
          <w:szCs w:val="22"/>
        </w:rPr>
        <w:t>. Human Kinetics, Inc.</w:t>
      </w:r>
    </w:p>
    <w:p w14:paraId="25C0B085"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6C40B827"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Foster, C., Hillsdon, M., Jones, A., Grundy, C., Wilkinson, P., White, M., Sheehan, B., Wareham, N. and Thorogood, M. (2009). </w:t>
      </w:r>
      <w:r w:rsidRPr="003F61E9">
        <w:rPr>
          <w:rFonts w:ascii="Calibri" w:hAnsi="Calibri" w:cs="Calibri"/>
          <w:i/>
          <w:iCs/>
          <w:color w:val="000000"/>
          <w:sz w:val="22"/>
          <w:szCs w:val="22"/>
        </w:rPr>
        <w:t>Objective Measures of the Environment and Physical Activity—Results of the Environment and Physical Activity Study in English Adults</w:t>
      </w:r>
      <w:r w:rsidRPr="003F61E9">
        <w:rPr>
          <w:rFonts w:ascii="Calibri" w:hAnsi="Calibri" w:cs="Calibri"/>
          <w:color w:val="000000"/>
          <w:sz w:val="22"/>
          <w:szCs w:val="22"/>
        </w:rPr>
        <w:t>. Journal of Physical Activity and Health, p.70–80.</w:t>
      </w:r>
    </w:p>
    <w:p w14:paraId="09E5A835"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4A72AC6E"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Giles-Corti, B., Clarkson, J.P., Pikora, T. and Macintyre, S. (2002). </w:t>
      </w:r>
      <w:r w:rsidRPr="003F61E9">
        <w:rPr>
          <w:rFonts w:ascii="Calibri" w:hAnsi="Calibri" w:cs="Calibri"/>
          <w:i/>
          <w:iCs/>
          <w:color w:val="000000"/>
          <w:sz w:val="22"/>
          <w:szCs w:val="22"/>
        </w:rPr>
        <w:t>PHYSICAL ENVIRONMENTAL AND LIFESTYLE FACTORS ASSOCIATED WITH OVERWEIGHT AND OBESITY</w:t>
      </w:r>
      <w:r w:rsidRPr="003F61E9">
        <w:rPr>
          <w:rFonts w:ascii="Calibri" w:hAnsi="Calibri" w:cs="Calibri"/>
          <w:color w:val="000000"/>
          <w:sz w:val="22"/>
          <w:szCs w:val="22"/>
        </w:rPr>
        <w:t>. Medicine &amp; Science in Sports &amp; Exercise, p.279.</w:t>
      </w:r>
    </w:p>
    <w:p w14:paraId="2C4DD420"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40CF9323"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Hills, A.P., King, N.A. and Byrne, N.M. (2007). </w:t>
      </w:r>
      <w:r w:rsidRPr="003F61E9">
        <w:rPr>
          <w:rFonts w:ascii="Calibri" w:hAnsi="Calibri" w:cs="Calibri"/>
          <w:i/>
          <w:iCs/>
          <w:color w:val="000000"/>
          <w:sz w:val="22"/>
          <w:szCs w:val="22"/>
        </w:rPr>
        <w:t>Children, obesity and exercise : prevention, treatment, and management of childhood and adolescent obesity.</w:t>
      </w:r>
      <w:r w:rsidRPr="003F61E9">
        <w:rPr>
          <w:rFonts w:ascii="Calibri" w:hAnsi="Calibri" w:cs="Calibri"/>
          <w:color w:val="000000"/>
          <w:sz w:val="22"/>
          <w:szCs w:val="22"/>
        </w:rPr>
        <w:t> London: Routledge.</w:t>
      </w:r>
    </w:p>
    <w:p w14:paraId="764C7270"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6DCF32E3"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Imperial News (2018).</w:t>
      </w:r>
      <w:r w:rsidRPr="003F61E9">
        <w:rPr>
          <w:rFonts w:ascii="Calibri" w:hAnsi="Calibri" w:cs="Calibri"/>
          <w:i/>
          <w:iCs/>
          <w:color w:val="000000"/>
          <w:sz w:val="22"/>
          <w:szCs w:val="22"/>
        </w:rPr>
        <w:t> Obesity rising faster in rural areas than cities.</w:t>
      </w:r>
      <w:r w:rsidRPr="003F61E9">
        <w:rPr>
          <w:rFonts w:ascii="Calibri" w:hAnsi="Calibri" w:cs="Calibri"/>
          <w:color w:val="000000"/>
          <w:sz w:val="22"/>
          <w:szCs w:val="22"/>
        </w:rPr>
        <w:t> Imperial College London. [online] Imperial News. Available at: </w:t>
      </w:r>
      <w:hyperlink r:id="rId6" w:tgtFrame="_blank" w:history="1">
        <w:r w:rsidRPr="003F61E9">
          <w:rPr>
            <w:rStyle w:val="Hyperlink"/>
            <w:rFonts w:ascii="Calibri" w:hAnsi="Calibri" w:cs="Calibri"/>
            <w:color w:val="1155CC"/>
            <w:sz w:val="22"/>
            <w:szCs w:val="22"/>
          </w:rPr>
          <w:t>https://www.imperial.ac.uk/news/191164/obesity-rising-faster-rural-areas-than/</w:t>
        </w:r>
      </w:hyperlink>
      <w:r w:rsidRPr="003F61E9">
        <w:rPr>
          <w:rFonts w:ascii="Calibri" w:hAnsi="Calibri" w:cs="Calibri"/>
          <w:color w:val="000000"/>
          <w:sz w:val="22"/>
          <w:szCs w:val="22"/>
        </w:rPr>
        <w:t> [Accessed 27 Apr. 2021].</w:t>
      </w:r>
    </w:p>
    <w:p w14:paraId="40E02693"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7234B5D5"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ITV (2019). </w:t>
      </w:r>
      <w:r w:rsidRPr="003F61E9">
        <w:rPr>
          <w:rFonts w:ascii="Calibri" w:hAnsi="Calibri" w:cs="Calibri"/>
          <w:i/>
          <w:iCs/>
          <w:color w:val="000000"/>
          <w:sz w:val="22"/>
          <w:szCs w:val="22"/>
        </w:rPr>
        <w:t>Physical activity levels among children in Wales one of lowest in the world</w:t>
      </w:r>
      <w:r w:rsidRPr="003F61E9">
        <w:rPr>
          <w:rFonts w:ascii="Calibri" w:hAnsi="Calibri" w:cs="Calibri"/>
          <w:color w:val="000000"/>
          <w:sz w:val="22"/>
          <w:szCs w:val="22"/>
        </w:rPr>
        <w:t>. ITV News. Available at: </w:t>
      </w:r>
      <w:hyperlink r:id="rId7" w:tgtFrame="_blank" w:history="1">
        <w:r w:rsidRPr="003F61E9">
          <w:rPr>
            <w:rStyle w:val="Hyperlink"/>
            <w:rFonts w:ascii="Calibri" w:hAnsi="Calibri" w:cs="Calibri"/>
            <w:color w:val="1155CC"/>
            <w:sz w:val="22"/>
            <w:szCs w:val="22"/>
          </w:rPr>
          <w:t>https://www.itv.com/news/wales/2019-03-07/physical-activity-levels-among-children-in-wales-one-of-lowest-in-the-world</w:t>
        </w:r>
      </w:hyperlink>
      <w:r w:rsidRPr="003F61E9">
        <w:rPr>
          <w:rFonts w:ascii="Calibri" w:hAnsi="Calibri" w:cs="Calibri"/>
          <w:color w:val="000000"/>
          <w:sz w:val="22"/>
          <w:szCs w:val="22"/>
        </w:rPr>
        <w:t> [Accessed 27 Apr. 2021].</w:t>
      </w:r>
    </w:p>
    <w:p w14:paraId="6B30A3D0"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44095115"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lastRenderedPageBreak/>
        <w:t>NHS (2019)</w:t>
      </w:r>
      <w:r w:rsidRPr="003F61E9">
        <w:rPr>
          <w:rFonts w:ascii="Calibri" w:hAnsi="Calibri" w:cs="Calibri"/>
          <w:i/>
          <w:iCs/>
          <w:color w:val="000000"/>
          <w:sz w:val="22"/>
          <w:szCs w:val="22"/>
        </w:rPr>
        <w:t>. Exercise recommendations</w:t>
      </w:r>
      <w:r w:rsidRPr="003F61E9">
        <w:rPr>
          <w:rFonts w:ascii="Calibri" w:hAnsi="Calibri" w:cs="Calibri"/>
          <w:color w:val="000000"/>
          <w:sz w:val="22"/>
          <w:szCs w:val="22"/>
        </w:rPr>
        <w:t>. NHS. Available at: </w:t>
      </w:r>
      <w:hyperlink r:id="rId8" w:tgtFrame="_blank" w:history="1">
        <w:r w:rsidRPr="003F61E9">
          <w:rPr>
            <w:rStyle w:val="Hyperlink"/>
            <w:rFonts w:ascii="Calibri" w:hAnsi="Calibri" w:cs="Calibri"/>
            <w:color w:val="1155CC"/>
            <w:sz w:val="22"/>
            <w:szCs w:val="22"/>
          </w:rPr>
          <w:t>https://www.nhs.uk/live-well/exercise/</w:t>
        </w:r>
      </w:hyperlink>
      <w:r w:rsidRPr="003F61E9">
        <w:rPr>
          <w:rFonts w:ascii="Calibri" w:hAnsi="Calibri" w:cs="Calibri"/>
          <w:color w:val="000000"/>
          <w:sz w:val="22"/>
          <w:szCs w:val="22"/>
        </w:rPr>
        <w:t> [Accessed 27 Apr. 2021].</w:t>
      </w:r>
    </w:p>
    <w:p w14:paraId="34786979"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0A730E71"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phw.nhs.wales. (2019). </w:t>
      </w:r>
      <w:r w:rsidRPr="003F61E9">
        <w:rPr>
          <w:rFonts w:ascii="Calibri" w:hAnsi="Calibri" w:cs="Calibri"/>
          <w:i/>
          <w:iCs/>
          <w:color w:val="000000"/>
          <w:sz w:val="22"/>
          <w:szCs w:val="22"/>
        </w:rPr>
        <w:t>Adolescents in Wales not meeting physical activity guidelines – updated analysis - Public Health Wales</w:t>
      </w:r>
      <w:r w:rsidRPr="003F61E9">
        <w:rPr>
          <w:rFonts w:ascii="Calibri" w:hAnsi="Calibri" w:cs="Calibri"/>
          <w:color w:val="000000"/>
          <w:sz w:val="22"/>
          <w:szCs w:val="22"/>
        </w:rPr>
        <w:t>. Available at: </w:t>
      </w:r>
      <w:hyperlink r:id="rId9" w:tgtFrame="_blank" w:history="1">
        <w:r w:rsidRPr="003F61E9">
          <w:rPr>
            <w:rStyle w:val="Hyperlink"/>
            <w:rFonts w:ascii="Calibri" w:hAnsi="Calibri" w:cs="Calibri"/>
            <w:color w:val="1155CC"/>
            <w:sz w:val="22"/>
            <w:szCs w:val="22"/>
          </w:rPr>
          <w:t>https://phw.nhs.wales/news/adolescents-in-wales-not-meeting-physical-activity-guidelines-updated-analysis/</w:t>
        </w:r>
      </w:hyperlink>
      <w:r w:rsidRPr="003F61E9">
        <w:rPr>
          <w:rFonts w:ascii="Calibri" w:hAnsi="Calibri" w:cs="Calibri"/>
          <w:color w:val="000000"/>
          <w:sz w:val="22"/>
          <w:szCs w:val="22"/>
        </w:rPr>
        <w:t> [Accessed 27 Apr. 2021].</w:t>
      </w:r>
    </w:p>
    <w:p w14:paraId="7AFDC376"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744091D5"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Public Health Cymru (2018). </w:t>
      </w:r>
      <w:r w:rsidRPr="003F61E9">
        <w:rPr>
          <w:rFonts w:ascii="Calibri" w:hAnsi="Calibri" w:cs="Calibri"/>
          <w:i/>
          <w:iCs/>
          <w:color w:val="000000"/>
          <w:sz w:val="22"/>
          <w:szCs w:val="22"/>
        </w:rPr>
        <w:t>Obesity</w:t>
      </w:r>
      <w:r w:rsidRPr="003F61E9">
        <w:rPr>
          <w:rFonts w:ascii="Calibri" w:hAnsi="Calibri" w:cs="Calibri"/>
          <w:color w:val="000000"/>
          <w:sz w:val="22"/>
          <w:szCs w:val="22"/>
        </w:rPr>
        <w:t> | Public Health Network Cymru. www.publichealthnetwork.cymru. Available at: </w:t>
      </w:r>
      <w:hyperlink r:id="rId10" w:tgtFrame="_blank" w:history="1">
        <w:r w:rsidRPr="003F61E9">
          <w:rPr>
            <w:rStyle w:val="Hyperlink"/>
            <w:rFonts w:ascii="Calibri" w:hAnsi="Calibri" w:cs="Calibri"/>
            <w:color w:val="1155CC"/>
            <w:sz w:val="22"/>
            <w:szCs w:val="22"/>
          </w:rPr>
          <w:t>https://www.publichealthnetwork.cymru/en/topics/obesity/</w:t>
        </w:r>
      </w:hyperlink>
      <w:r w:rsidRPr="003F61E9">
        <w:rPr>
          <w:rFonts w:ascii="Calibri" w:hAnsi="Calibri" w:cs="Calibri"/>
          <w:color w:val="000000"/>
          <w:sz w:val="22"/>
          <w:szCs w:val="22"/>
        </w:rPr>
        <w:t>.</w:t>
      </w:r>
    </w:p>
    <w:p w14:paraId="6C277DE8"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42160BEA"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Public Health England (2016). </w:t>
      </w:r>
      <w:r w:rsidRPr="003F61E9">
        <w:rPr>
          <w:rFonts w:ascii="Calibri" w:hAnsi="Calibri" w:cs="Calibri"/>
          <w:i/>
          <w:iCs/>
          <w:color w:val="000000"/>
          <w:sz w:val="22"/>
          <w:szCs w:val="22"/>
        </w:rPr>
        <w:t>Physical activity: applying All Our Health</w:t>
      </w:r>
      <w:r w:rsidRPr="003F61E9">
        <w:rPr>
          <w:rFonts w:ascii="Calibri" w:hAnsi="Calibri" w:cs="Calibri"/>
          <w:color w:val="000000"/>
          <w:sz w:val="22"/>
          <w:szCs w:val="22"/>
        </w:rPr>
        <w:t>. </w:t>
      </w:r>
      <w:hyperlink r:id="rId11" w:tgtFrame="_blank" w:history="1">
        <w:r w:rsidRPr="003F61E9">
          <w:rPr>
            <w:rStyle w:val="Hyperlink"/>
            <w:rFonts w:ascii="Calibri" w:hAnsi="Calibri" w:cs="Calibri"/>
            <w:color w:val="1155CC"/>
            <w:sz w:val="22"/>
            <w:szCs w:val="22"/>
          </w:rPr>
          <w:t>GOV.UK</w:t>
        </w:r>
      </w:hyperlink>
      <w:r w:rsidRPr="003F61E9">
        <w:rPr>
          <w:rFonts w:ascii="Calibri" w:hAnsi="Calibri" w:cs="Calibri"/>
          <w:color w:val="000000"/>
          <w:sz w:val="22"/>
          <w:szCs w:val="22"/>
        </w:rPr>
        <w:t>. Available at: </w:t>
      </w:r>
      <w:hyperlink r:id="rId12" w:tgtFrame="_blank" w:history="1">
        <w:r w:rsidRPr="003F61E9">
          <w:rPr>
            <w:rStyle w:val="Hyperlink"/>
            <w:rFonts w:ascii="Calibri" w:hAnsi="Calibri" w:cs="Calibri"/>
            <w:color w:val="1155CC"/>
            <w:sz w:val="22"/>
            <w:szCs w:val="22"/>
          </w:rPr>
          <w:t>https://www.gov.uk/government/publications/physical-activity-applying-all-our-health/physical-activity-applying-all-our-health</w:t>
        </w:r>
      </w:hyperlink>
      <w:r w:rsidRPr="003F61E9">
        <w:rPr>
          <w:rFonts w:ascii="Calibri" w:hAnsi="Calibri" w:cs="Calibri"/>
          <w:color w:val="000000"/>
          <w:sz w:val="22"/>
          <w:szCs w:val="22"/>
        </w:rPr>
        <w:t>.</w:t>
      </w:r>
    </w:p>
    <w:p w14:paraId="62D3F9BB"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79206015"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Salmasi, L. and Celidon, M. (2017). </w:t>
      </w:r>
      <w:r w:rsidRPr="003F61E9">
        <w:rPr>
          <w:rFonts w:ascii="Calibri" w:hAnsi="Calibri" w:cs="Calibri"/>
          <w:i/>
          <w:iCs/>
          <w:color w:val="000000"/>
          <w:sz w:val="22"/>
          <w:szCs w:val="22"/>
        </w:rPr>
        <w:t>Investigating the poverty-obesity paradox in Europe. </w:t>
      </w:r>
      <w:r w:rsidRPr="003F61E9">
        <w:rPr>
          <w:rFonts w:ascii="Calibri" w:hAnsi="Calibri" w:cs="Calibri"/>
          <w:color w:val="000000"/>
          <w:sz w:val="22"/>
          <w:szCs w:val="22"/>
        </w:rPr>
        <w:t>Economics and human biology, p.70–85.</w:t>
      </w:r>
    </w:p>
    <w:p w14:paraId="6A130E12"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780FBFE6"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StatsWales (2018). </w:t>
      </w:r>
      <w:r w:rsidRPr="003F61E9">
        <w:rPr>
          <w:rFonts w:ascii="Calibri" w:hAnsi="Calibri" w:cs="Calibri"/>
          <w:i/>
          <w:iCs/>
          <w:color w:val="000000"/>
          <w:sz w:val="22"/>
          <w:szCs w:val="22"/>
        </w:rPr>
        <w:t>Number of healthy lifestyle behaviours - Health and well-being measures for children for the National Indicators. </w:t>
      </w:r>
      <w:r w:rsidRPr="003F61E9">
        <w:rPr>
          <w:rFonts w:ascii="Calibri" w:hAnsi="Calibri" w:cs="Calibri"/>
          <w:color w:val="000000"/>
          <w:sz w:val="22"/>
          <w:szCs w:val="22"/>
        </w:rPr>
        <w:t>statswales.gov.wales. Available at: </w:t>
      </w:r>
      <w:hyperlink r:id="rId13" w:tgtFrame="_blank" w:history="1">
        <w:r w:rsidRPr="003F61E9">
          <w:rPr>
            <w:rStyle w:val="Hyperlink"/>
            <w:rFonts w:ascii="Calibri" w:hAnsi="Calibri" w:cs="Calibri"/>
            <w:color w:val="1155CC"/>
            <w:sz w:val="22"/>
            <w:szCs w:val="22"/>
          </w:rPr>
          <w:t>https://statswales.gov.wales/Catalogue/Health-and-Social-Care/well-being/childwellbeingmeasuresnumberofhealthylifestylebehaviours</w:t>
        </w:r>
      </w:hyperlink>
      <w:r w:rsidRPr="003F61E9">
        <w:rPr>
          <w:rFonts w:ascii="Calibri" w:hAnsi="Calibri" w:cs="Calibri"/>
          <w:color w:val="000000"/>
          <w:sz w:val="22"/>
          <w:szCs w:val="22"/>
        </w:rPr>
        <w:t> [Accessed 27 Apr. 2021].</w:t>
      </w:r>
    </w:p>
    <w:p w14:paraId="0F41C1F6"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68BAA0F4"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StatsWales (2018). </w:t>
      </w:r>
      <w:r w:rsidRPr="003F61E9">
        <w:rPr>
          <w:rFonts w:ascii="Calibri" w:hAnsi="Calibri" w:cs="Calibri"/>
          <w:i/>
          <w:iCs/>
          <w:color w:val="000000"/>
          <w:sz w:val="22"/>
          <w:szCs w:val="22"/>
        </w:rPr>
        <w:t>Percentage of children who are active everyday - Health and well-being measures for children for the National Indicators. </w:t>
      </w:r>
      <w:r w:rsidRPr="003F61E9">
        <w:rPr>
          <w:rFonts w:ascii="Calibri" w:hAnsi="Calibri" w:cs="Calibri"/>
          <w:color w:val="000000"/>
          <w:sz w:val="22"/>
          <w:szCs w:val="22"/>
        </w:rPr>
        <w:t>statswales.gov.wales. Available at: </w:t>
      </w:r>
      <w:hyperlink r:id="rId14" w:tgtFrame="_blank" w:history="1">
        <w:r w:rsidRPr="003F61E9">
          <w:rPr>
            <w:rStyle w:val="Hyperlink"/>
            <w:rFonts w:ascii="Calibri" w:hAnsi="Calibri" w:cs="Calibri"/>
            <w:color w:val="1155CC"/>
            <w:sz w:val="22"/>
            <w:szCs w:val="22"/>
          </w:rPr>
          <w:t>https://statswales.gov.wales/Catalogue/Health-and-Social-Care/well-being/childwellbeingmeasuresphysicactivity</w:t>
        </w:r>
      </w:hyperlink>
      <w:r w:rsidRPr="003F61E9">
        <w:rPr>
          <w:rFonts w:ascii="Calibri" w:hAnsi="Calibri" w:cs="Calibri"/>
          <w:color w:val="000000"/>
          <w:sz w:val="22"/>
          <w:szCs w:val="22"/>
        </w:rPr>
        <w:t> [Accessed 27 Apr. 2021].</w:t>
      </w:r>
    </w:p>
    <w:p w14:paraId="5ABD9F62"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37985E46"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Vilar-Compte, M., Burrola-Méndez, S., Lozano-Marrufo, A., Ferré-Eguiluz, I., Flores, D., Gaitán-Rossi, P., Teruel, G. and Pérez-Escamilla, R. (2021).</w:t>
      </w:r>
      <w:r w:rsidRPr="003F61E9">
        <w:rPr>
          <w:rFonts w:ascii="Calibri" w:hAnsi="Calibri" w:cs="Calibri"/>
          <w:i/>
          <w:iCs/>
          <w:color w:val="000000"/>
          <w:sz w:val="22"/>
          <w:szCs w:val="22"/>
        </w:rPr>
        <w:t> Urban poverty and nutrition challenges associated with accessibility to a healthy diet: a global systematic literature review</w:t>
      </w:r>
      <w:r w:rsidRPr="003F61E9">
        <w:rPr>
          <w:rFonts w:ascii="Calibri" w:hAnsi="Calibri" w:cs="Calibri"/>
          <w:color w:val="000000"/>
          <w:sz w:val="22"/>
          <w:szCs w:val="22"/>
        </w:rPr>
        <w:t>. International Journal for Equity in Health, 20(1).</w:t>
      </w:r>
    </w:p>
    <w:p w14:paraId="6B657DF1"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2F9D7093"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lastRenderedPageBreak/>
        <w:t>Welsh Government (2018). </w:t>
      </w:r>
      <w:r w:rsidRPr="003F61E9">
        <w:rPr>
          <w:rFonts w:ascii="Calibri" w:hAnsi="Calibri" w:cs="Calibri"/>
          <w:i/>
          <w:iCs/>
          <w:color w:val="000000"/>
          <w:sz w:val="22"/>
          <w:szCs w:val="22"/>
        </w:rPr>
        <w:t>Well-being of Wales</w:t>
      </w:r>
      <w:r w:rsidRPr="003F61E9">
        <w:rPr>
          <w:rFonts w:ascii="Calibri" w:hAnsi="Calibri" w:cs="Calibri"/>
          <w:color w:val="000000"/>
          <w:sz w:val="22"/>
          <w:szCs w:val="22"/>
        </w:rPr>
        <w:t>. Available at: </w:t>
      </w:r>
      <w:hyperlink r:id="rId15" w:tgtFrame="_blank" w:history="1">
        <w:r w:rsidRPr="003F61E9">
          <w:rPr>
            <w:rStyle w:val="Hyperlink"/>
            <w:rFonts w:ascii="Calibri" w:hAnsi="Calibri" w:cs="Calibri"/>
            <w:color w:val="1155CC"/>
            <w:sz w:val="22"/>
            <w:szCs w:val="22"/>
          </w:rPr>
          <w:t>https://gov.wales/sites/default/files/statistics-and-research/2019-09/well-being-of-wales-2019-590.pdf</w:t>
        </w:r>
      </w:hyperlink>
      <w:r w:rsidRPr="003F61E9">
        <w:rPr>
          <w:rFonts w:ascii="Calibri" w:hAnsi="Calibri" w:cs="Calibri"/>
          <w:color w:val="000000"/>
          <w:sz w:val="22"/>
          <w:szCs w:val="22"/>
        </w:rPr>
        <w:t>.</w:t>
      </w:r>
    </w:p>
    <w:p w14:paraId="45F49224"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529747A4"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World Health Organisation (2012). </w:t>
      </w:r>
      <w:r w:rsidRPr="003F61E9">
        <w:rPr>
          <w:rFonts w:ascii="Calibri" w:hAnsi="Calibri" w:cs="Calibri"/>
          <w:i/>
          <w:iCs/>
          <w:color w:val="000000"/>
          <w:sz w:val="22"/>
          <w:szCs w:val="22"/>
        </w:rPr>
        <w:t>UNITED KINGDOM OF GREAT BRITAIN AND NORTHERN IRELAND PHYSICAL ACTIVITY FACTSHEET UNITED KINGDOM OF GREAT BRITAIN AND NORTHERN IRELAND PREVALENCE (%) OF ADULTS REACHING THE RECOMMENDED.</w:t>
      </w:r>
      <w:r w:rsidRPr="003F61E9">
        <w:rPr>
          <w:rFonts w:ascii="Calibri" w:hAnsi="Calibri" w:cs="Calibri"/>
          <w:color w:val="000000"/>
          <w:sz w:val="22"/>
          <w:szCs w:val="22"/>
        </w:rPr>
        <w:t> . Available at: </w:t>
      </w:r>
      <w:hyperlink r:id="rId16" w:tgtFrame="_blank" w:history="1">
        <w:r w:rsidRPr="003F61E9">
          <w:rPr>
            <w:rStyle w:val="Hyperlink"/>
            <w:rFonts w:ascii="Calibri" w:hAnsi="Calibri" w:cs="Calibri"/>
            <w:color w:val="1155CC"/>
            <w:sz w:val="22"/>
            <w:szCs w:val="22"/>
          </w:rPr>
          <w:t>https://ec.europa.eu/assets/eac/sport/library/factsheets/uk-factsheet_en.pdf</w:t>
        </w:r>
      </w:hyperlink>
      <w:r w:rsidRPr="003F61E9">
        <w:rPr>
          <w:rFonts w:ascii="Calibri" w:hAnsi="Calibri" w:cs="Calibri"/>
          <w:color w:val="000000"/>
          <w:sz w:val="22"/>
          <w:szCs w:val="22"/>
        </w:rPr>
        <w:t>.</w:t>
      </w:r>
    </w:p>
    <w:p w14:paraId="10A4533F"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p>
    <w:p w14:paraId="0B1A443F" w14:textId="77777777" w:rsidR="003F61E9" w:rsidRPr="003F61E9" w:rsidRDefault="003F61E9" w:rsidP="003F61E9">
      <w:pPr>
        <w:pStyle w:val="NormalWeb"/>
        <w:shd w:val="clear" w:color="auto" w:fill="FFFFFF"/>
        <w:spacing w:before="0" w:beforeAutospacing="0" w:after="0" w:afterAutospacing="0" w:line="360" w:lineRule="auto"/>
        <w:rPr>
          <w:rFonts w:ascii="Calibri" w:hAnsi="Calibri" w:cs="Calibri"/>
          <w:color w:val="000000"/>
          <w:sz w:val="22"/>
          <w:szCs w:val="22"/>
        </w:rPr>
      </w:pPr>
      <w:r w:rsidRPr="003F61E9">
        <w:rPr>
          <w:rFonts w:ascii="Calibri" w:hAnsi="Calibri" w:cs="Calibri"/>
          <w:color w:val="000000"/>
          <w:sz w:val="22"/>
          <w:szCs w:val="22"/>
        </w:rPr>
        <w:t>World health organisation (2014). WHO | </w:t>
      </w:r>
      <w:r w:rsidRPr="003F61E9">
        <w:rPr>
          <w:rFonts w:ascii="Calibri" w:hAnsi="Calibri" w:cs="Calibri"/>
          <w:i/>
          <w:iCs/>
          <w:color w:val="000000"/>
          <w:sz w:val="22"/>
          <w:szCs w:val="22"/>
        </w:rPr>
        <w:t>Why does childhood overweight and obesity matter? </w:t>
      </w:r>
      <w:r w:rsidRPr="003F61E9">
        <w:rPr>
          <w:rFonts w:ascii="Calibri" w:hAnsi="Calibri" w:cs="Calibri"/>
          <w:color w:val="000000"/>
          <w:sz w:val="22"/>
          <w:szCs w:val="22"/>
        </w:rPr>
        <w:t>Who.int. Available at: </w:t>
      </w:r>
      <w:hyperlink r:id="rId17" w:tgtFrame="_blank" w:history="1">
        <w:r w:rsidRPr="003F61E9">
          <w:rPr>
            <w:rStyle w:val="Hyperlink"/>
            <w:rFonts w:ascii="Calibri" w:hAnsi="Calibri" w:cs="Calibri"/>
            <w:color w:val="1155CC"/>
            <w:sz w:val="22"/>
            <w:szCs w:val="22"/>
          </w:rPr>
          <w:t>https://www.who.int/dietphysicalactivity/childhood_consequences/en/</w:t>
        </w:r>
      </w:hyperlink>
      <w:r w:rsidRPr="003F61E9">
        <w:rPr>
          <w:rFonts w:ascii="Calibri" w:hAnsi="Calibri" w:cs="Calibri"/>
          <w:color w:val="000000"/>
          <w:sz w:val="22"/>
          <w:szCs w:val="22"/>
        </w:rPr>
        <w:t>.</w:t>
      </w:r>
    </w:p>
    <w:p w14:paraId="0FC630F2" w14:textId="77777777" w:rsidR="00456A4F" w:rsidRDefault="002B3A25"/>
    <w:sectPr w:rsidR="00456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1E9"/>
    <w:rsid w:val="000C3F90"/>
    <w:rsid w:val="002B3A25"/>
    <w:rsid w:val="003F61E9"/>
    <w:rsid w:val="00C56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8F077"/>
  <w15:chartTrackingRefBased/>
  <w15:docId w15:val="{77D913B4-85DB-446F-B41A-80D93B040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2B3A2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B3A2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F61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F61E9"/>
    <w:rPr>
      <w:color w:val="0000FF"/>
      <w:u w:val="single"/>
    </w:rPr>
  </w:style>
  <w:style w:type="character" w:customStyle="1" w:styleId="Heading2Char">
    <w:name w:val="Heading 2 Char"/>
    <w:basedOn w:val="DefaultParagraphFont"/>
    <w:link w:val="Heading2"/>
    <w:rsid w:val="002B3A2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B3A25"/>
    <w:rPr>
      <w:rFonts w:ascii="Times New Roman" w:eastAsia="Times New Roman" w:hAnsi="Times New Roman" w:cs="Times New Roman"/>
      <w:sz w:val="40"/>
      <w:szCs w:val="20"/>
      <w:lang w:eastAsia="en-GB"/>
    </w:rPr>
  </w:style>
  <w:style w:type="paragraph" w:styleId="Header">
    <w:name w:val="header"/>
    <w:basedOn w:val="Normal"/>
    <w:link w:val="HeaderChar"/>
    <w:rsid w:val="002B3A2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B3A2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683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exercise/" TargetMode="External"/><Relationship Id="rId13" Type="http://schemas.openxmlformats.org/officeDocument/2006/relationships/hyperlink" Target="https://statswales.gov.wales/Catalogue/Health-and-Social-Care/well-being/childwellbeingmeasuresnumberofhealthylifestylebehaviour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tv.com/news/wales/2019-03-07/physical-activity-levels-among-children-in-wales-one-of-lowest-in-the-world" TargetMode="External"/><Relationship Id="rId12" Type="http://schemas.openxmlformats.org/officeDocument/2006/relationships/hyperlink" Target="https://www.gov.uk/government/publications/physical-activity-applying-all-our-health/physical-activity-applying-all-our-health" TargetMode="External"/><Relationship Id="rId17" Type="http://schemas.openxmlformats.org/officeDocument/2006/relationships/hyperlink" Target="https://www.who.int/dietphysicalactivity/childhood_consequences/en/" TargetMode="External"/><Relationship Id="rId2" Type="http://schemas.openxmlformats.org/officeDocument/2006/relationships/settings" Target="settings.xml"/><Relationship Id="rId16" Type="http://schemas.openxmlformats.org/officeDocument/2006/relationships/hyperlink" Target="https://ec.europa.eu/assets/eac/sport/library/factsheets/uk-factsheet_en.pdf" TargetMode="External"/><Relationship Id="rId1" Type="http://schemas.openxmlformats.org/officeDocument/2006/relationships/styles" Target="styles.xml"/><Relationship Id="rId6" Type="http://schemas.openxmlformats.org/officeDocument/2006/relationships/hyperlink" Target="https://www.imperial.ac.uk/news/191164/obesity-rising-faster-rural-areas-than/" TargetMode="External"/><Relationship Id="rId11" Type="http://schemas.openxmlformats.org/officeDocument/2006/relationships/hyperlink" Target="http://gov.uk/" TargetMode="External"/><Relationship Id="rId5" Type="http://schemas.openxmlformats.org/officeDocument/2006/relationships/image" Target="cid:image001.png@01D0EA4A.2BD679A0" TargetMode="External"/><Relationship Id="rId15" Type="http://schemas.openxmlformats.org/officeDocument/2006/relationships/hyperlink" Target="https://gov.wales/sites/default/files/statistics-and-research/2019-09/well-being-of-wales-2019-590.pdf" TargetMode="External"/><Relationship Id="rId10" Type="http://schemas.openxmlformats.org/officeDocument/2006/relationships/hyperlink" Target="https://www.publichealthnetwork.cymru/en/topics/obesity/"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phw.nhs.wales/news/adolescents-in-wales-not-meeting-physical-activity-guidelines-updated-analysis/" TargetMode="External"/><Relationship Id="rId14" Type="http://schemas.openxmlformats.org/officeDocument/2006/relationships/hyperlink" Target="https://statswales.gov.wales/Catalogue/Health-and-Social-Care/well-being/childwellbeingmeasuresphysica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2497</Words>
  <Characters>14234</Characters>
  <Application>Microsoft Office Word</Application>
  <DocSecurity>0</DocSecurity>
  <Lines>118</Lines>
  <Paragraphs>33</Paragraphs>
  <ScaleCrop>false</ScaleCrop>
  <Company/>
  <LinksUpToDate>false</LinksUpToDate>
  <CharactersWithSpaces>16698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Williams (2005470)</dc:creator>
  <cp:keywords/>
  <dc:description/>
  <cp:lastModifiedBy>Hannah Williams (2005470)</cp:lastModifiedBy>
  <cp:revision>2</cp:revision>
  <dcterms:created xsi:type="dcterms:W3CDTF">2021-04-28T19:25:00Z</dcterms:created>
  <dcterms:modified xsi:type="dcterms:W3CDTF">2021-04-28T19:27:00Z</dcterms:modified>
</cp:coreProperties>
</file>