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jc w:val="center"/>
        <w:tblLayout w:type="fixed"/>
        <w:tblLook w:val="04A0" w:firstRow="1" w:lastRow="0" w:firstColumn="1" w:lastColumn="0" w:noHBand="0" w:noVBand="1"/>
      </w:tblPr>
      <w:tblGrid>
        <w:gridCol w:w="9072"/>
      </w:tblGrid>
      <w:tr w:rsidR="002334A8" w14:paraId="5F2AD0C7" w14:textId="77777777">
        <w:trPr>
          <w:jc w:val="center"/>
        </w:trPr>
        <w:tc>
          <w:tcPr>
            <w:tcW w:w="9072" w:type="dxa"/>
            <w:tcBorders>
              <w:top w:val="single" w:sz="4" w:space="0" w:color="4F81BD"/>
              <w:left w:val="single" w:sz="4" w:space="0" w:color="4F81BD"/>
              <w:bottom w:val="single" w:sz="4" w:space="0" w:color="4F81BD"/>
              <w:right w:val="single" w:sz="4" w:space="0" w:color="4F81BD"/>
            </w:tcBorders>
            <w:shd w:val="clear" w:color="auto" w:fill="4F81BD"/>
            <w:tcMar>
              <w:top w:w="80" w:type="dxa"/>
              <w:left w:w="100" w:type="dxa"/>
              <w:bottom w:w="80" w:type="dxa"/>
              <w:right w:w="100" w:type="dxa"/>
            </w:tcMar>
          </w:tcPr>
          <w:p w14:paraId="44147073" w14:textId="291EDAF1" w:rsidR="002334A8" w:rsidRDefault="003674E0">
            <w:pPr>
              <w:spacing w:after="0" w:line="240" w:lineRule="auto"/>
              <w:jc w:val="center"/>
            </w:pPr>
            <w:r>
              <w:rPr>
                <w:b/>
                <w:color w:val="FFFFFF"/>
                <w:sz w:val="20"/>
              </w:rPr>
              <w:t xml:space="preserve">RESEARCH PROJECT </w:t>
            </w:r>
            <w:r w:rsidR="00C3630B">
              <w:rPr>
                <w:b/>
                <w:color w:val="FFFFFF"/>
                <w:sz w:val="20"/>
              </w:rPr>
              <w:t>DESIGN |</w:t>
            </w:r>
            <w:r>
              <w:rPr>
                <w:b/>
                <w:color w:val="FFFFFF"/>
                <w:sz w:val="20"/>
              </w:rPr>
              <w:t xml:space="preserve"> </w:t>
            </w:r>
            <w:r w:rsidR="00B445EC">
              <w:rPr>
                <w:b/>
                <w:color w:val="FFFFFF"/>
                <w:sz w:val="20"/>
              </w:rPr>
              <w:t>ACBA5024</w:t>
            </w:r>
          </w:p>
        </w:tc>
      </w:tr>
    </w:tbl>
    <w:p w14:paraId="08985CCE" w14:textId="77777777" w:rsidR="002334A8" w:rsidRDefault="002334A8">
      <w:pPr>
        <w:spacing w:after="0" w:line="240" w:lineRule="auto"/>
      </w:pPr>
    </w:p>
    <w:p w14:paraId="582CFDA3" w14:textId="77777777" w:rsidR="002334A8" w:rsidRDefault="002334A8">
      <w:pPr>
        <w:spacing w:after="0" w:line="240" w:lineRule="auto"/>
      </w:pPr>
    </w:p>
    <w:p w14:paraId="510B35E6" w14:textId="77777777" w:rsidR="002334A8" w:rsidRDefault="003674E0" w:rsidP="00EB02AF">
      <w:pPr>
        <w:pStyle w:val="Title"/>
        <w:jc w:val="left"/>
      </w:pPr>
      <w:r>
        <w:rPr>
          <w:rFonts w:ascii="Arial" w:hAnsi="Arial"/>
        </w:rPr>
        <w:t>RESEARCH PROPOSAL</w:t>
      </w:r>
    </w:p>
    <w:p w14:paraId="361F90AC" w14:textId="6ADC7E8F" w:rsidR="002334A8" w:rsidRDefault="003674E0" w:rsidP="004106EF">
      <w:pPr>
        <w:pStyle w:val="Subtitle"/>
        <w:spacing w:after="280" w:line="240" w:lineRule="auto"/>
        <w:jc w:val="left"/>
      </w:pPr>
      <w:r>
        <w:t>Assignment One</w:t>
      </w:r>
    </w:p>
    <w:tbl>
      <w:tblPr>
        <w:tblW w:w="0" w:type="auto"/>
        <w:jc w:val="center"/>
        <w:tblLayout w:type="fixed"/>
        <w:tblLook w:val="04A0" w:firstRow="1" w:lastRow="0" w:firstColumn="1" w:lastColumn="0" w:noHBand="0" w:noVBand="1"/>
      </w:tblPr>
      <w:tblGrid>
        <w:gridCol w:w="9072"/>
      </w:tblGrid>
      <w:tr w:rsidR="002334A8" w14:paraId="288DCB10" w14:textId="77777777">
        <w:trPr>
          <w:jc w:val="center"/>
        </w:trPr>
        <w:tc>
          <w:tcPr>
            <w:tcW w:w="9072" w:type="dxa"/>
            <w:tcBorders>
              <w:top w:val="single" w:sz="8" w:space="0" w:color="9CC3E5"/>
              <w:left w:val="single" w:sz="8" w:space="0" w:color="9CC3E5"/>
              <w:bottom w:val="single" w:sz="8" w:space="0" w:color="9CC3E5"/>
              <w:right w:val="single" w:sz="8" w:space="0" w:color="9CC3E5"/>
            </w:tcBorders>
            <w:shd w:val="clear" w:color="auto" w:fill="EAF3FB"/>
            <w:tcMar>
              <w:top w:w="200" w:type="dxa"/>
              <w:left w:w="160" w:type="dxa"/>
              <w:bottom w:w="200" w:type="dxa"/>
              <w:right w:w="160" w:type="dxa"/>
            </w:tcMar>
          </w:tcPr>
          <w:p w14:paraId="6DBA8BB0" w14:textId="39E358EE" w:rsidR="002334A8" w:rsidRDefault="007700D8" w:rsidP="00156AE1">
            <w:pPr>
              <w:spacing w:after="80" w:line="264" w:lineRule="auto"/>
              <w:jc w:val="center"/>
            </w:pPr>
            <w:r w:rsidRPr="007700D8">
              <w:rPr>
                <w:b/>
                <w:color w:val="2F5D8A"/>
                <w:sz w:val="36"/>
              </w:rPr>
              <w:t>The Impact of Low-Carbon Material Selection on Early-Stage Cost Planning in UK Residential Construction Projects</w:t>
            </w:r>
          </w:p>
        </w:tc>
      </w:tr>
    </w:tbl>
    <w:p w14:paraId="62B3DC7C" w14:textId="77777777" w:rsidR="002334A8" w:rsidRDefault="002334A8">
      <w:pPr>
        <w:spacing w:after="0" w:line="240" w:lineRule="auto"/>
      </w:pPr>
    </w:p>
    <w:tbl>
      <w:tblPr>
        <w:tblW w:w="0" w:type="auto"/>
        <w:jc w:val="center"/>
        <w:tblLayout w:type="fixed"/>
        <w:tblLook w:val="04A0" w:firstRow="1" w:lastRow="0" w:firstColumn="1" w:lastColumn="0" w:noHBand="0" w:noVBand="1"/>
      </w:tblPr>
      <w:tblGrid>
        <w:gridCol w:w="3024"/>
        <w:gridCol w:w="6048"/>
      </w:tblGrid>
      <w:tr w:rsidR="002334A8" w14:paraId="3A59D067" w14:textId="77777777">
        <w:trPr>
          <w:jc w:val="center"/>
        </w:trPr>
        <w:tc>
          <w:tcPr>
            <w:tcW w:w="3024" w:type="dxa"/>
            <w:tcBorders>
              <w:top w:val="single" w:sz="4" w:space="0" w:color="9CC3E5"/>
              <w:left w:val="single" w:sz="4" w:space="0" w:color="9CC3E5"/>
              <w:bottom w:val="single" w:sz="4" w:space="0" w:color="9CC3E5"/>
              <w:right w:val="single" w:sz="4" w:space="0" w:color="9CC3E5"/>
            </w:tcBorders>
            <w:shd w:val="clear" w:color="auto" w:fill="EAF3FB"/>
            <w:tcMar>
              <w:top w:w="90" w:type="dxa"/>
              <w:left w:w="120" w:type="dxa"/>
              <w:bottom w:w="90" w:type="dxa"/>
              <w:right w:w="120" w:type="dxa"/>
            </w:tcMar>
            <w:vAlign w:val="center"/>
          </w:tcPr>
          <w:p w14:paraId="291E5950" w14:textId="77777777" w:rsidR="002334A8" w:rsidRDefault="003674E0">
            <w:pPr>
              <w:spacing w:after="0"/>
            </w:pPr>
            <w:r>
              <w:rPr>
                <w:b/>
                <w:color w:val="2F5D8A"/>
                <w:sz w:val="20"/>
              </w:rPr>
              <w:t>Student name</w:t>
            </w:r>
          </w:p>
        </w:tc>
        <w:tc>
          <w:tcPr>
            <w:tcW w:w="6048" w:type="dxa"/>
            <w:tcBorders>
              <w:top w:val="single" w:sz="4" w:space="0" w:color="9CC3E5"/>
              <w:left w:val="single" w:sz="4" w:space="0" w:color="9CC3E5"/>
              <w:bottom w:val="single" w:sz="4" w:space="0" w:color="9CC3E5"/>
              <w:right w:val="single" w:sz="4" w:space="0" w:color="9CC3E5"/>
            </w:tcBorders>
            <w:tcMar>
              <w:top w:w="90" w:type="dxa"/>
              <w:left w:w="120" w:type="dxa"/>
              <w:bottom w:w="90" w:type="dxa"/>
              <w:right w:w="120" w:type="dxa"/>
            </w:tcMar>
            <w:vAlign w:val="center"/>
          </w:tcPr>
          <w:p w14:paraId="0C552ADB" w14:textId="5BE7254E" w:rsidR="002334A8" w:rsidRDefault="00262C55">
            <w:pPr>
              <w:spacing w:after="0"/>
            </w:pPr>
            <w:r>
              <w:rPr>
                <w:i/>
                <w:color w:val="666666"/>
                <w:sz w:val="21"/>
              </w:rPr>
              <w:t>Mikey Scourfield</w:t>
            </w:r>
          </w:p>
        </w:tc>
      </w:tr>
      <w:tr w:rsidR="002334A8" w14:paraId="321B501F" w14:textId="77777777">
        <w:trPr>
          <w:jc w:val="center"/>
        </w:trPr>
        <w:tc>
          <w:tcPr>
            <w:tcW w:w="3024" w:type="dxa"/>
            <w:tcBorders>
              <w:top w:val="single" w:sz="4" w:space="0" w:color="9CC3E5"/>
              <w:left w:val="single" w:sz="4" w:space="0" w:color="9CC3E5"/>
              <w:bottom w:val="single" w:sz="4" w:space="0" w:color="9CC3E5"/>
              <w:right w:val="single" w:sz="4" w:space="0" w:color="9CC3E5"/>
            </w:tcBorders>
            <w:shd w:val="clear" w:color="auto" w:fill="EAF3FB"/>
            <w:tcMar>
              <w:top w:w="90" w:type="dxa"/>
              <w:left w:w="120" w:type="dxa"/>
              <w:bottom w:w="90" w:type="dxa"/>
              <w:right w:w="120" w:type="dxa"/>
            </w:tcMar>
            <w:vAlign w:val="center"/>
          </w:tcPr>
          <w:p w14:paraId="229CC5C7" w14:textId="77777777" w:rsidR="002334A8" w:rsidRDefault="003674E0">
            <w:pPr>
              <w:spacing w:after="0"/>
            </w:pPr>
            <w:r>
              <w:rPr>
                <w:b/>
                <w:color w:val="2F5D8A"/>
                <w:sz w:val="20"/>
              </w:rPr>
              <w:t>Student ID</w:t>
            </w:r>
          </w:p>
        </w:tc>
        <w:tc>
          <w:tcPr>
            <w:tcW w:w="6048" w:type="dxa"/>
            <w:tcBorders>
              <w:top w:val="single" w:sz="4" w:space="0" w:color="9CC3E5"/>
              <w:left w:val="single" w:sz="4" w:space="0" w:color="9CC3E5"/>
              <w:bottom w:val="single" w:sz="4" w:space="0" w:color="9CC3E5"/>
              <w:right w:val="single" w:sz="4" w:space="0" w:color="9CC3E5"/>
            </w:tcBorders>
            <w:tcMar>
              <w:top w:w="90" w:type="dxa"/>
              <w:left w:w="120" w:type="dxa"/>
              <w:bottom w:w="90" w:type="dxa"/>
              <w:right w:w="120" w:type="dxa"/>
            </w:tcMar>
            <w:vAlign w:val="center"/>
          </w:tcPr>
          <w:p w14:paraId="735C2C45" w14:textId="471F6EA1" w:rsidR="002334A8" w:rsidRDefault="00262C55">
            <w:pPr>
              <w:spacing w:after="0"/>
            </w:pPr>
            <w:r>
              <w:rPr>
                <w:i/>
                <w:color w:val="666666"/>
                <w:sz w:val="21"/>
              </w:rPr>
              <w:t>2410362</w:t>
            </w:r>
          </w:p>
        </w:tc>
      </w:tr>
      <w:tr w:rsidR="002334A8" w14:paraId="6B640552" w14:textId="77777777">
        <w:trPr>
          <w:jc w:val="center"/>
        </w:trPr>
        <w:tc>
          <w:tcPr>
            <w:tcW w:w="3024" w:type="dxa"/>
            <w:tcBorders>
              <w:top w:val="single" w:sz="4" w:space="0" w:color="9CC3E5"/>
              <w:left w:val="single" w:sz="4" w:space="0" w:color="9CC3E5"/>
              <w:bottom w:val="single" w:sz="4" w:space="0" w:color="9CC3E5"/>
              <w:right w:val="single" w:sz="4" w:space="0" w:color="9CC3E5"/>
            </w:tcBorders>
            <w:shd w:val="clear" w:color="auto" w:fill="EAF3FB"/>
            <w:tcMar>
              <w:top w:w="90" w:type="dxa"/>
              <w:left w:w="120" w:type="dxa"/>
              <w:bottom w:w="90" w:type="dxa"/>
              <w:right w:w="120" w:type="dxa"/>
            </w:tcMar>
            <w:vAlign w:val="center"/>
          </w:tcPr>
          <w:p w14:paraId="5CDD953E" w14:textId="77777777" w:rsidR="002334A8" w:rsidRDefault="003674E0">
            <w:pPr>
              <w:spacing w:after="0"/>
            </w:pPr>
            <w:r>
              <w:rPr>
                <w:b/>
                <w:color w:val="2F5D8A"/>
                <w:sz w:val="20"/>
              </w:rPr>
              <w:t>Course / programme</w:t>
            </w:r>
          </w:p>
        </w:tc>
        <w:tc>
          <w:tcPr>
            <w:tcW w:w="6048" w:type="dxa"/>
            <w:tcBorders>
              <w:top w:val="single" w:sz="4" w:space="0" w:color="9CC3E5"/>
              <w:left w:val="single" w:sz="4" w:space="0" w:color="9CC3E5"/>
              <w:bottom w:val="single" w:sz="4" w:space="0" w:color="9CC3E5"/>
              <w:right w:val="single" w:sz="4" w:space="0" w:color="9CC3E5"/>
            </w:tcBorders>
            <w:tcMar>
              <w:top w:w="90" w:type="dxa"/>
              <w:left w:w="120" w:type="dxa"/>
              <w:bottom w:w="90" w:type="dxa"/>
              <w:right w:w="120" w:type="dxa"/>
            </w:tcMar>
            <w:vAlign w:val="center"/>
          </w:tcPr>
          <w:p w14:paraId="3BB35F83" w14:textId="6AF3AE6E" w:rsidR="002334A8" w:rsidRDefault="00262C55">
            <w:pPr>
              <w:spacing w:after="0"/>
            </w:pPr>
            <w:r>
              <w:rPr>
                <w:i/>
                <w:color w:val="666666"/>
                <w:sz w:val="21"/>
              </w:rPr>
              <w:t>Quantity Surveying</w:t>
            </w:r>
          </w:p>
        </w:tc>
      </w:tr>
      <w:tr w:rsidR="002334A8" w14:paraId="1A03B639" w14:textId="77777777">
        <w:trPr>
          <w:jc w:val="center"/>
        </w:trPr>
        <w:tc>
          <w:tcPr>
            <w:tcW w:w="3024" w:type="dxa"/>
            <w:tcBorders>
              <w:top w:val="single" w:sz="4" w:space="0" w:color="9CC3E5"/>
              <w:left w:val="single" w:sz="4" w:space="0" w:color="9CC3E5"/>
              <w:bottom w:val="single" w:sz="4" w:space="0" w:color="9CC3E5"/>
              <w:right w:val="single" w:sz="4" w:space="0" w:color="9CC3E5"/>
            </w:tcBorders>
            <w:shd w:val="clear" w:color="auto" w:fill="EAF3FB"/>
            <w:tcMar>
              <w:top w:w="90" w:type="dxa"/>
              <w:left w:w="120" w:type="dxa"/>
              <w:bottom w:w="90" w:type="dxa"/>
              <w:right w:w="120" w:type="dxa"/>
            </w:tcMar>
            <w:vAlign w:val="center"/>
          </w:tcPr>
          <w:p w14:paraId="772D07BB" w14:textId="77777777" w:rsidR="002334A8" w:rsidRDefault="003674E0">
            <w:pPr>
              <w:spacing w:after="0"/>
            </w:pPr>
            <w:r>
              <w:rPr>
                <w:b/>
                <w:color w:val="2F5D8A"/>
                <w:sz w:val="20"/>
              </w:rPr>
              <w:t>Module</w:t>
            </w:r>
          </w:p>
        </w:tc>
        <w:tc>
          <w:tcPr>
            <w:tcW w:w="6048" w:type="dxa"/>
            <w:tcBorders>
              <w:top w:val="single" w:sz="4" w:space="0" w:color="9CC3E5"/>
              <w:left w:val="single" w:sz="4" w:space="0" w:color="9CC3E5"/>
              <w:bottom w:val="single" w:sz="4" w:space="0" w:color="9CC3E5"/>
              <w:right w:val="single" w:sz="4" w:space="0" w:color="9CC3E5"/>
            </w:tcBorders>
            <w:tcMar>
              <w:top w:w="90" w:type="dxa"/>
              <w:left w:w="120" w:type="dxa"/>
              <w:bottom w:w="90" w:type="dxa"/>
              <w:right w:w="120" w:type="dxa"/>
            </w:tcMar>
            <w:vAlign w:val="center"/>
          </w:tcPr>
          <w:p w14:paraId="158E9556" w14:textId="77777777" w:rsidR="002334A8" w:rsidRDefault="003674E0">
            <w:pPr>
              <w:spacing w:after="0"/>
            </w:pPr>
            <w:r>
              <w:rPr>
                <w:sz w:val="21"/>
              </w:rPr>
              <w:t>Research Project Design</w:t>
            </w:r>
          </w:p>
        </w:tc>
      </w:tr>
      <w:tr w:rsidR="002334A8" w14:paraId="0A794E24" w14:textId="77777777">
        <w:trPr>
          <w:jc w:val="center"/>
        </w:trPr>
        <w:tc>
          <w:tcPr>
            <w:tcW w:w="3024" w:type="dxa"/>
            <w:tcBorders>
              <w:top w:val="single" w:sz="4" w:space="0" w:color="9CC3E5"/>
              <w:left w:val="single" w:sz="4" w:space="0" w:color="9CC3E5"/>
              <w:bottom w:val="single" w:sz="4" w:space="0" w:color="9CC3E5"/>
              <w:right w:val="single" w:sz="4" w:space="0" w:color="9CC3E5"/>
            </w:tcBorders>
            <w:shd w:val="clear" w:color="auto" w:fill="EAF3FB"/>
            <w:tcMar>
              <w:top w:w="90" w:type="dxa"/>
              <w:left w:w="120" w:type="dxa"/>
              <w:bottom w:w="90" w:type="dxa"/>
              <w:right w:w="120" w:type="dxa"/>
            </w:tcMar>
            <w:vAlign w:val="center"/>
          </w:tcPr>
          <w:p w14:paraId="1B72621B" w14:textId="77777777" w:rsidR="002334A8" w:rsidRDefault="003674E0">
            <w:pPr>
              <w:spacing w:after="0"/>
            </w:pPr>
            <w:r>
              <w:rPr>
                <w:b/>
                <w:color w:val="2F5D8A"/>
                <w:sz w:val="20"/>
              </w:rPr>
              <w:t>Module code</w:t>
            </w:r>
          </w:p>
        </w:tc>
        <w:tc>
          <w:tcPr>
            <w:tcW w:w="6048" w:type="dxa"/>
            <w:tcBorders>
              <w:top w:val="single" w:sz="4" w:space="0" w:color="9CC3E5"/>
              <w:left w:val="single" w:sz="4" w:space="0" w:color="9CC3E5"/>
              <w:bottom w:val="single" w:sz="4" w:space="0" w:color="9CC3E5"/>
              <w:right w:val="single" w:sz="4" w:space="0" w:color="9CC3E5"/>
            </w:tcBorders>
            <w:tcMar>
              <w:top w:w="90" w:type="dxa"/>
              <w:left w:w="120" w:type="dxa"/>
              <w:bottom w:w="90" w:type="dxa"/>
              <w:right w:w="120" w:type="dxa"/>
            </w:tcMar>
            <w:vAlign w:val="center"/>
          </w:tcPr>
          <w:p w14:paraId="0E2A5E88" w14:textId="77777777" w:rsidR="002334A8" w:rsidRDefault="003674E0">
            <w:pPr>
              <w:spacing w:after="0"/>
            </w:pPr>
            <w:r>
              <w:rPr>
                <w:sz w:val="21"/>
              </w:rPr>
              <w:t>ACBA5024</w:t>
            </w:r>
          </w:p>
        </w:tc>
      </w:tr>
      <w:tr w:rsidR="002334A8" w14:paraId="306E7620" w14:textId="77777777">
        <w:trPr>
          <w:jc w:val="center"/>
        </w:trPr>
        <w:tc>
          <w:tcPr>
            <w:tcW w:w="3024" w:type="dxa"/>
            <w:tcBorders>
              <w:top w:val="single" w:sz="4" w:space="0" w:color="9CC3E5"/>
              <w:left w:val="single" w:sz="4" w:space="0" w:color="9CC3E5"/>
              <w:bottom w:val="single" w:sz="4" w:space="0" w:color="9CC3E5"/>
              <w:right w:val="single" w:sz="4" w:space="0" w:color="9CC3E5"/>
            </w:tcBorders>
            <w:shd w:val="clear" w:color="auto" w:fill="EAF3FB"/>
            <w:tcMar>
              <w:top w:w="90" w:type="dxa"/>
              <w:left w:w="120" w:type="dxa"/>
              <w:bottom w:w="90" w:type="dxa"/>
              <w:right w:w="120" w:type="dxa"/>
            </w:tcMar>
            <w:vAlign w:val="center"/>
          </w:tcPr>
          <w:p w14:paraId="6AB78089" w14:textId="77777777" w:rsidR="002334A8" w:rsidRDefault="003674E0">
            <w:pPr>
              <w:spacing w:after="0"/>
            </w:pPr>
            <w:r>
              <w:rPr>
                <w:b/>
                <w:color w:val="2F5D8A"/>
                <w:sz w:val="20"/>
              </w:rPr>
              <w:t>Assignment title</w:t>
            </w:r>
          </w:p>
        </w:tc>
        <w:tc>
          <w:tcPr>
            <w:tcW w:w="6048" w:type="dxa"/>
            <w:tcBorders>
              <w:top w:val="single" w:sz="4" w:space="0" w:color="9CC3E5"/>
              <w:left w:val="single" w:sz="4" w:space="0" w:color="9CC3E5"/>
              <w:bottom w:val="single" w:sz="4" w:space="0" w:color="9CC3E5"/>
              <w:right w:val="single" w:sz="4" w:space="0" w:color="9CC3E5"/>
            </w:tcBorders>
            <w:tcMar>
              <w:top w:w="90" w:type="dxa"/>
              <w:left w:w="120" w:type="dxa"/>
              <w:bottom w:w="90" w:type="dxa"/>
              <w:right w:w="120" w:type="dxa"/>
            </w:tcMar>
            <w:vAlign w:val="center"/>
          </w:tcPr>
          <w:p w14:paraId="1CCAF039" w14:textId="77777777" w:rsidR="002334A8" w:rsidRDefault="003674E0">
            <w:pPr>
              <w:spacing w:after="0"/>
            </w:pPr>
            <w:r>
              <w:rPr>
                <w:sz w:val="21"/>
              </w:rPr>
              <w:t>Research Proposal</w:t>
            </w:r>
          </w:p>
        </w:tc>
      </w:tr>
      <w:tr w:rsidR="002334A8" w14:paraId="70C05002" w14:textId="77777777">
        <w:trPr>
          <w:jc w:val="center"/>
        </w:trPr>
        <w:tc>
          <w:tcPr>
            <w:tcW w:w="3024" w:type="dxa"/>
            <w:tcBorders>
              <w:top w:val="single" w:sz="4" w:space="0" w:color="9CC3E5"/>
              <w:left w:val="single" w:sz="4" w:space="0" w:color="9CC3E5"/>
              <w:bottom w:val="single" w:sz="4" w:space="0" w:color="9CC3E5"/>
              <w:right w:val="single" w:sz="4" w:space="0" w:color="9CC3E5"/>
            </w:tcBorders>
            <w:shd w:val="clear" w:color="auto" w:fill="EAF3FB"/>
            <w:tcMar>
              <w:top w:w="90" w:type="dxa"/>
              <w:left w:w="120" w:type="dxa"/>
              <w:bottom w:w="90" w:type="dxa"/>
              <w:right w:w="120" w:type="dxa"/>
            </w:tcMar>
            <w:vAlign w:val="center"/>
          </w:tcPr>
          <w:p w14:paraId="18B6850A" w14:textId="77777777" w:rsidR="002334A8" w:rsidRDefault="003674E0">
            <w:pPr>
              <w:spacing w:after="0"/>
            </w:pPr>
            <w:r>
              <w:rPr>
                <w:b/>
                <w:color w:val="2F5D8A"/>
                <w:sz w:val="20"/>
              </w:rPr>
              <w:t>Lecturer</w:t>
            </w:r>
          </w:p>
        </w:tc>
        <w:tc>
          <w:tcPr>
            <w:tcW w:w="6048" w:type="dxa"/>
            <w:tcBorders>
              <w:top w:val="single" w:sz="4" w:space="0" w:color="9CC3E5"/>
              <w:left w:val="single" w:sz="4" w:space="0" w:color="9CC3E5"/>
              <w:bottom w:val="single" w:sz="4" w:space="0" w:color="9CC3E5"/>
              <w:right w:val="single" w:sz="4" w:space="0" w:color="9CC3E5"/>
            </w:tcBorders>
            <w:tcMar>
              <w:top w:w="90" w:type="dxa"/>
              <w:left w:w="120" w:type="dxa"/>
              <w:bottom w:w="90" w:type="dxa"/>
              <w:right w:w="120" w:type="dxa"/>
            </w:tcMar>
            <w:vAlign w:val="center"/>
          </w:tcPr>
          <w:p w14:paraId="2D1A9B30" w14:textId="77777777" w:rsidR="002334A8" w:rsidRDefault="003674E0">
            <w:pPr>
              <w:spacing w:after="0"/>
            </w:pPr>
            <w:r>
              <w:rPr>
                <w:sz w:val="21"/>
              </w:rPr>
              <w:t>Hannah Williams</w:t>
            </w:r>
          </w:p>
        </w:tc>
      </w:tr>
      <w:tr w:rsidR="002334A8" w14:paraId="49276B14" w14:textId="77777777">
        <w:trPr>
          <w:jc w:val="center"/>
        </w:trPr>
        <w:tc>
          <w:tcPr>
            <w:tcW w:w="3024" w:type="dxa"/>
            <w:tcBorders>
              <w:top w:val="single" w:sz="4" w:space="0" w:color="9CC3E5"/>
              <w:left w:val="single" w:sz="4" w:space="0" w:color="9CC3E5"/>
              <w:bottom w:val="single" w:sz="4" w:space="0" w:color="9CC3E5"/>
              <w:right w:val="single" w:sz="4" w:space="0" w:color="9CC3E5"/>
            </w:tcBorders>
            <w:shd w:val="clear" w:color="auto" w:fill="EAF3FB"/>
            <w:tcMar>
              <w:top w:w="90" w:type="dxa"/>
              <w:left w:w="120" w:type="dxa"/>
              <w:bottom w:w="90" w:type="dxa"/>
              <w:right w:w="120" w:type="dxa"/>
            </w:tcMar>
            <w:vAlign w:val="center"/>
          </w:tcPr>
          <w:p w14:paraId="1CCA592F" w14:textId="77777777" w:rsidR="002334A8" w:rsidRDefault="003674E0">
            <w:pPr>
              <w:spacing w:after="0"/>
            </w:pPr>
            <w:r>
              <w:rPr>
                <w:b/>
                <w:color w:val="2F5D8A"/>
                <w:sz w:val="20"/>
              </w:rPr>
              <w:t>Submission date</w:t>
            </w:r>
          </w:p>
        </w:tc>
        <w:tc>
          <w:tcPr>
            <w:tcW w:w="6048" w:type="dxa"/>
            <w:tcBorders>
              <w:top w:val="single" w:sz="4" w:space="0" w:color="9CC3E5"/>
              <w:left w:val="single" w:sz="4" w:space="0" w:color="9CC3E5"/>
              <w:bottom w:val="single" w:sz="4" w:space="0" w:color="9CC3E5"/>
              <w:right w:val="single" w:sz="4" w:space="0" w:color="9CC3E5"/>
            </w:tcBorders>
            <w:tcMar>
              <w:top w:w="90" w:type="dxa"/>
              <w:left w:w="120" w:type="dxa"/>
              <w:bottom w:w="90" w:type="dxa"/>
              <w:right w:w="120" w:type="dxa"/>
            </w:tcMar>
            <w:vAlign w:val="center"/>
          </w:tcPr>
          <w:p w14:paraId="19CC2EAD" w14:textId="77777777" w:rsidR="002334A8" w:rsidRDefault="003674E0">
            <w:pPr>
              <w:spacing w:after="0"/>
            </w:pPr>
            <w:r>
              <w:rPr>
                <w:sz w:val="21"/>
              </w:rPr>
              <w:t>20 April 2026</w:t>
            </w:r>
          </w:p>
        </w:tc>
      </w:tr>
    </w:tbl>
    <w:p w14:paraId="0843BC01" w14:textId="77777777" w:rsidR="002334A8" w:rsidRDefault="002334A8">
      <w:pPr>
        <w:spacing w:after="0" w:line="240" w:lineRule="auto"/>
      </w:pPr>
    </w:p>
    <w:p w14:paraId="1B5E8B64" w14:textId="77777777" w:rsidR="002334A8" w:rsidRDefault="002334A8">
      <w:pPr>
        <w:sectPr w:rsidR="002334A8">
          <w:pgSz w:w="11906" w:h="16838"/>
          <w:pgMar w:top="1247" w:right="1247" w:bottom="1134" w:left="1247" w:header="720" w:footer="720" w:gutter="0"/>
          <w:cols w:space="720"/>
          <w:docGrid w:linePitch="360"/>
        </w:sectPr>
      </w:pPr>
    </w:p>
    <w:p w14:paraId="151636AD" w14:textId="77777777" w:rsidR="002334A8" w:rsidRDefault="003674E0">
      <w:pPr>
        <w:pStyle w:val="Heading1"/>
      </w:pPr>
      <w:r>
        <w:lastRenderedPageBreak/>
        <w:t>Abstract</w:t>
      </w:r>
    </w:p>
    <w:p w14:paraId="0CFDBCB3" w14:textId="58E979BB" w:rsidR="002334A8" w:rsidRDefault="00190CA9" w:rsidP="00B43A41">
      <w:pPr>
        <w:spacing w:after="240" w:line="312" w:lineRule="auto"/>
      </w:pPr>
      <w:r w:rsidRPr="00190CA9">
        <w:t xml:space="preserve">The construction industry is under increasing pressure to reduce carbon emissions, with material selection playing a significant role in improving environmental performance. </w:t>
      </w:r>
      <w:r w:rsidR="000E010C" w:rsidRPr="000E010C">
        <w:rPr>
          <w:rFonts w:cs="Arial"/>
        </w:rPr>
        <w:t xml:space="preserve">Low-carbon materials are being advocated </w:t>
      </w:r>
      <w:proofErr w:type="gramStart"/>
      <w:r w:rsidR="000E010C" w:rsidRPr="000E010C">
        <w:rPr>
          <w:rFonts w:cs="Arial"/>
        </w:rPr>
        <w:t>more and more</w:t>
      </w:r>
      <w:proofErr w:type="gramEnd"/>
      <w:r w:rsidR="000E010C" w:rsidRPr="000E010C">
        <w:rPr>
          <w:rFonts w:cs="Arial"/>
        </w:rPr>
        <w:t xml:space="preserve"> in UK residential construction to help lower embodied </w:t>
      </w:r>
      <w:r w:rsidR="00C17DFB">
        <w:rPr>
          <w:rFonts w:cs="Arial"/>
        </w:rPr>
        <w:t>carbon but</w:t>
      </w:r>
      <w:r w:rsidR="000E010C" w:rsidRPr="000E010C">
        <w:rPr>
          <w:rFonts w:cs="Arial"/>
        </w:rPr>
        <w:t xml:space="preserve"> incorporating them can also influence initial cost planning and the certainty of those </w:t>
      </w:r>
      <w:r w:rsidR="00C27381">
        <w:rPr>
          <w:rFonts w:cs="Arial"/>
        </w:rPr>
        <w:t xml:space="preserve">costs. </w:t>
      </w:r>
      <w:r w:rsidRPr="00190CA9">
        <w:t xml:space="preserve">This research proposal investigates how low-carbon material selection affects early-stage cost planning in UK residential construction projects. The study </w:t>
      </w:r>
      <w:r w:rsidR="0011710C">
        <w:t>seeks to clarify</w:t>
      </w:r>
      <w:r w:rsidRPr="00190CA9">
        <w:t xml:space="preserve"> the relationship between sustainable material choices and the practical challenges of estimating, budgeting, and managing cost risk during the initial stages of project development. </w:t>
      </w:r>
      <w:r w:rsidR="00A903CD" w:rsidRPr="00A903CD">
        <w:rPr>
          <w:rFonts w:cs="Arial"/>
        </w:rPr>
        <w:t>The plan involves qualitative research, where semi-structured interviews will be conducted with quantity surveyors and other construction professionals who are involved in cost planning and choosing materials.</w:t>
      </w:r>
      <w:r w:rsidR="00A903CD">
        <w:rPr>
          <w:rFonts w:cs="Arial"/>
        </w:rPr>
        <w:t xml:space="preserve"> </w:t>
      </w:r>
      <w:r w:rsidRPr="00190CA9">
        <w:t xml:space="preserve"> </w:t>
      </w:r>
      <w:r w:rsidR="005021EB" w:rsidRPr="005021EB">
        <w:rPr>
          <w:rFonts w:cs="Arial"/>
        </w:rPr>
        <w:t>The gathered data will undergo thematic analysis to uncover recurring challenges, attitudes, and elements that influence decisions.</w:t>
      </w:r>
      <w:r w:rsidR="005021EB">
        <w:rPr>
          <w:rFonts w:cs="Arial"/>
        </w:rPr>
        <w:t xml:space="preserve"> </w:t>
      </w:r>
      <w:r w:rsidRPr="00190CA9">
        <w:t xml:space="preserve"> The research is expected to show that while low-carbon materials may support long-term environmental goals, they can also introduce uncertainties in pricing, availability, and cost forecasting. The study will </w:t>
      </w:r>
      <w:r w:rsidR="0011710C">
        <w:t>clarify</w:t>
      </w:r>
      <w:r w:rsidRPr="00190CA9">
        <w:t xml:space="preserve"> how cost planning practices can better respond to sustainability requirements in residential construction.</w:t>
      </w:r>
    </w:p>
    <w:p w14:paraId="7D3CE2C2" w14:textId="77777777" w:rsidR="002334A8" w:rsidRDefault="003674E0">
      <w:r>
        <w:br w:type="page"/>
      </w:r>
    </w:p>
    <w:p w14:paraId="23D43479" w14:textId="77777777" w:rsidR="002334A8" w:rsidRDefault="003674E0">
      <w:pPr>
        <w:pStyle w:val="Heading1"/>
        <w:spacing w:after="160" w:line="240" w:lineRule="auto"/>
      </w:pPr>
      <w:r>
        <w:rPr>
          <w:color w:val="2F5D8A"/>
          <w:sz w:val="32"/>
        </w:rPr>
        <w:lastRenderedPageBreak/>
        <w:t>Table of Contents</w:t>
      </w:r>
    </w:p>
    <w:p w14:paraId="1ACD0E17" w14:textId="4CA4C0A8" w:rsidR="005021EB" w:rsidRDefault="005021EB">
      <w:pPr>
        <w:pStyle w:val="TOC1"/>
        <w:tabs>
          <w:tab w:val="right" w:pos="9402"/>
        </w:tabs>
        <w:rPr>
          <w:noProof/>
        </w:rPr>
      </w:pPr>
      <w:r>
        <w:t>Abstract</w:t>
      </w:r>
      <w:r>
        <w:tab/>
        <w:t>1</w:t>
      </w:r>
    </w:p>
    <w:p w14:paraId="47A23FA8" w14:textId="2AAFB9B0" w:rsidR="005021EB" w:rsidRDefault="005021EB">
      <w:pPr>
        <w:pStyle w:val="TOC1"/>
        <w:tabs>
          <w:tab w:val="right" w:pos="9402"/>
        </w:tabs>
        <w:rPr>
          <w:noProof/>
        </w:rPr>
      </w:pPr>
      <w:r>
        <w:t>Introduction</w:t>
      </w:r>
      <w:r>
        <w:tab/>
        <w:t>3</w:t>
      </w:r>
    </w:p>
    <w:p w14:paraId="3670DC76" w14:textId="0E42FE70" w:rsidR="005021EB" w:rsidRDefault="005021EB">
      <w:pPr>
        <w:pStyle w:val="TOC2"/>
        <w:tabs>
          <w:tab w:val="right" w:pos="9402"/>
        </w:tabs>
        <w:rPr>
          <w:noProof/>
        </w:rPr>
      </w:pPr>
      <w:r>
        <w:t>Background of the Study</w:t>
      </w:r>
      <w:r>
        <w:tab/>
        <w:t>3</w:t>
      </w:r>
    </w:p>
    <w:p w14:paraId="22C658D6" w14:textId="00EE8450" w:rsidR="005021EB" w:rsidRDefault="005021EB">
      <w:pPr>
        <w:pStyle w:val="TOC2"/>
        <w:tabs>
          <w:tab w:val="right" w:pos="9402"/>
        </w:tabs>
        <w:rPr>
          <w:noProof/>
        </w:rPr>
      </w:pPr>
      <w:r>
        <w:t>Research Question(s)</w:t>
      </w:r>
      <w:r>
        <w:tab/>
        <w:t>3</w:t>
      </w:r>
    </w:p>
    <w:p w14:paraId="2E4AC589" w14:textId="692FF39E" w:rsidR="005021EB" w:rsidRDefault="005021EB">
      <w:pPr>
        <w:pStyle w:val="TOC2"/>
        <w:tabs>
          <w:tab w:val="right" w:pos="9402"/>
        </w:tabs>
        <w:rPr>
          <w:noProof/>
        </w:rPr>
      </w:pPr>
      <w:r>
        <w:t>Aims / Objectives of the Study</w:t>
      </w:r>
      <w:r>
        <w:tab/>
        <w:t>4</w:t>
      </w:r>
    </w:p>
    <w:p w14:paraId="0588F0AA" w14:textId="318AFCA1" w:rsidR="005021EB" w:rsidRDefault="005021EB">
      <w:pPr>
        <w:pStyle w:val="TOC1"/>
        <w:tabs>
          <w:tab w:val="right" w:pos="9402"/>
        </w:tabs>
        <w:rPr>
          <w:noProof/>
        </w:rPr>
      </w:pPr>
      <w:r>
        <w:t>Literature Review</w:t>
      </w:r>
      <w:r>
        <w:tab/>
        <w:t>4</w:t>
      </w:r>
    </w:p>
    <w:p w14:paraId="71855FB4" w14:textId="798E24AB" w:rsidR="005021EB" w:rsidRDefault="005021EB">
      <w:pPr>
        <w:pStyle w:val="TOC2"/>
        <w:tabs>
          <w:tab w:val="right" w:pos="9402"/>
        </w:tabs>
        <w:rPr>
          <w:noProof/>
        </w:rPr>
      </w:pPr>
      <w:r>
        <w:t>Review of Relevant Literature</w:t>
      </w:r>
      <w:r>
        <w:tab/>
        <w:t>4</w:t>
      </w:r>
    </w:p>
    <w:p w14:paraId="24B57434" w14:textId="712C649A" w:rsidR="005021EB" w:rsidRDefault="005021EB">
      <w:pPr>
        <w:pStyle w:val="TOC2"/>
        <w:tabs>
          <w:tab w:val="right" w:pos="9402"/>
        </w:tabs>
        <w:rPr>
          <w:noProof/>
        </w:rPr>
      </w:pPr>
      <w:r>
        <w:t>Identification of Gaps in Current Research</w:t>
      </w:r>
      <w:r>
        <w:tab/>
        <w:t>6</w:t>
      </w:r>
    </w:p>
    <w:p w14:paraId="6037B373" w14:textId="10612525" w:rsidR="005021EB" w:rsidRDefault="005021EB">
      <w:pPr>
        <w:pStyle w:val="TOC2"/>
        <w:tabs>
          <w:tab w:val="right" w:pos="9402"/>
        </w:tabs>
        <w:rPr>
          <w:noProof/>
        </w:rPr>
      </w:pPr>
      <w:r>
        <w:t>How Your Research Will Address These Gaps</w:t>
      </w:r>
      <w:r>
        <w:tab/>
        <w:t>6</w:t>
      </w:r>
    </w:p>
    <w:p w14:paraId="53EC2455" w14:textId="54064E47" w:rsidR="005021EB" w:rsidRDefault="005021EB">
      <w:pPr>
        <w:pStyle w:val="TOC1"/>
        <w:tabs>
          <w:tab w:val="right" w:pos="9402"/>
        </w:tabs>
        <w:rPr>
          <w:noProof/>
        </w:rPr>
      </w:pPr>
      <w:r>
        <w:t>Research Design and Methodology</w:t>
      </w:r>
      <w:r>
        <w:tab/>
        <w:t>7</w:t>
      </w:r>
    </w:p>
    <w:p w14:paraId="253ABDC0" w14:textId="428DF679" w:rsidR="005021EB" w:rsidRDefault="005021EB">
      <w:pPr>
        <w:pStyle w:val="TOC2"/>
        <w:tabs>
          <w:tab w:val="right" w:pos="9402"/>
        </w:tabs>
        <w:rPr>
          <w:noProof/>
        </w:rPr>
      </w:pPr>
      <w:r>
        <w:t>Research Design</w:t>
      </w:r>
      <w:r>
        <w:tab/>
        <w:t>7</w:t>
      </w:r>
    </w:p>
    <w:p w14:paraId="598E45AA" w14:textId="25B4DBF6" w:rsidR="005021EB" w:rsidRDefault="005021EB">
      <w:pPr>
        <w:pStyle w:val="TOC2"/>
        <w:tabs>
          <w:tab w:val="right" w:pos="9402"/>
        </w:tabs>
        <w:rPr>
          <w:noProof/>
        </w:rPr>
      </w:pPr>
      <w:r>
        <w:t>Data Collection Methods</w:t>
      </w:r>
      <w:r>
        <w:tab/>
        <w:t>7</w:t>
      </w:r>
    </w:p>
    <w:p w14:paraId="42137F92" w14:textId="5E6E256E" w:rsidR="005021EB" w:rsidRDefault="005021EB">
      <w:pPr>
        <w:pStyle w:val="TOC2"/>
        <w:tabs>
          <w:tab w:val="right" w:pos="9402"/>
        </w:tabs>
        <w:rPr>
          <w:noProof/>
        </w:rPr>
      </w:pPr>
      <w:r>
        <w:t>Sampling Methods</w:t>
      </w:r>
      <w:r>
        <w:tab/>
        <w:t>8</w:t>
      </w:r>
    </w:p>
    <w:p w14:paraId="0111E4B3" w14:textId="63B2D04F" w:rsidR="005021EB" w:rsidRDefault="005021EB">
      <w:pPr>
        <w:pStyle w:val="TOC2"/>
        <w:tabs>
          <w:tab w:val="right" w:pos="9402"/>
        </w:tabs>
        <w:rPr>
          <w:noProof/>
        </w:rPr>
      </w:pPr>
      <w:r>
        <w:t>Data Analysis Plan</w:t>
      </w:r>
      <w:r>
        <w:tab/>
        <w:t>8</w:t>
      </w:r>
    </w:p>
    <w:p w14:paraId="267F66A5" w14:textId="1D5EC40F" w:rsidR="005021EB" w:rsidRDefault="005021EB">
      <w:pPr>
        <w:pStyle w:val="TOC2"/>
        <w:tabs>
          <w:tab w:val="right" w:pos="9402"/>
        </w:tabs>
        <w:rPr>
          <w:noProof/>
        </w:rPr>
      </w:pPr>
      <w:r>
        <w:t>Ethical Considerations</w:t>
      </w:r>
      <w:r>
        <w:tab/>
        <w:t>9</w:t>
      </w:r>
    </w:p>
    <w:p w14:paraId="00918397" w14:textId="6BB70BF9" w:rsidR="005021EB" w:rsidRDefault="005021EB">
      <w:pPr>
        <w:pStyle w:val="TOC1"/>
        <w:tabs>
          <w:tab w:val="right" w:pos="9402"/>
        </w:tabs>
        <w:rPr>
          <w:noProof/>
        </w:rPr>
      </w:pPr>
      <w:r>
        <w:t>Timeline</w:t>
      </w:r>
      <w:r>
        <w:tab/>
        <w:t>11</w:t>
      </w:r>
    </w:p>
    <w:p w14:paraId="6971E6F2" w14:textId="5AABCB9D" w:rsidR="005021EB" w:rsidRDefault="005021EB">
      <w:pPr>
        <w:pStyle w:val="TOC1"/>
        <w:tabs>
          <w:tab w:val="right" w:pos="9402"/>
        </w:tabs>
        <w:rPr>
          <w:noProof/>
        </w:rPr>
      </w:pPr>
      <w:r>
        <w:t>Expected Outcomes</w:t>
      </w:r>
      <w:r>
        <w:tab/>
        <w:t>12</w:t>
      </w:r>
    </w:p>
    <w:p w14:paraId="51B5C51E" w14:textId="57F68B17" w:rsidR="005021EB" w:rsidRDefault="005021EB">
      <w:pPr>
        <w:pStyle w:val="TOC1"/>
        <w:tabs>
          <w:tab w:val="right" w:pos="9402"/>
        </w:tabs>
        <w:rPr>
          <w:noProof/>
        </w:rPr>
      </w:pPr>
      <w:r>
        <w:t>References</w:t>
      </w:r>
      <w:r>
        <w:tab/>
        <w:t>13</w:t>
      </w:r>
    </w:p>
    <w:p w14:paraId="228A8C00" w14:textId="4557EC83" w:rsidR="002334A8" w:rsidRDefault="003674E0">
      <w:r>
        <w:br w:type="page"/>
      </w:r>
    </w:p>
    <w:p w14:paraId="3829B34B" w14:textId="77777777" w:rsidR="002334A8" w:rsidRDefault="003674E0">
      <w:pPr>
        <w:pStyle w:val="Heading1"/>
      </w:pPr>
      <w:r>
        <w:lastRenderedPageBreak/>
        <w:t>Introduction</w:t>
      </w:r>
    </w:p>
    <w:p w14:paraId="32D00F2D" w14:textId="58AC0175" w:rsidR="002334A8" w:rsidRDefault="003674E0">
      <w:pPr>
        <w:pStyle w:val="Heading2"/>
      </w:pPr>
      <w:r>
        <w:t>Background of the Study</w:t>
      </w:r>
    </w:p>
    <w:p w14:paraId="3903AE80" w14:textId="77777777" w:rsidR="00053E06" w:rsidRDefault="00793476">
      <w:r>
        <w:t>Material selection is an increasingly important issue in the construction industry because it influences not only building performance and quality, but also wider environmental outcomes and commercial decision-making. Embodied carbon is now recognised as a major component of whole-life building emissions, and the literature is clear that the greatest opportunity to reduce it sits at concept and early design stage, when building form, structural system and major material choices are still open to change (Röck et al., 2020; Fang et al., 2023; RICS, 2023). This makes low-carbon material selection more than a technical sustainability issue; it is part of the earliest strategic decisions that shape both project outcomes and later design flexibility.</w:t>
      </w:r>
    </w:p>
    <w:p w14:paraId="5D4A3A24" w14:textId="77777777" w:rsidR="00053E06" w:rsidRDefault="00793476">
      <w:r>
        <w:t>At the same time, material selection is closely connected to cost planning. RICS (2021) positions order of cost estimating and early cost planning as core pre-design and concept-stage activities, while Amadi (2024) shows that early construction economics relies on incomplete design information, assumptions and option appraisal rather than detailed measurement. When low-carbon materials are introduced into this process, they may create additional uncertainty in relation to pricing, supplier availability, performance expectations and perceived cost risk. As a result, the choice of lower-carbon materials may affect the accuracy and reliability of early-stage estimates as well as the level of cost certainty available to the client.</w:t>
      </w:r>
    </w:p>
    <w:p w14:paraId="03A56886" w14:textId="77777777" w:rsidR="00053E06" w:rsidRDefault="00793476">
      <w:r>
        <w:t>This issue is particularly relevant in UK residential construction. Residential projects are often shaped by strict budgets, programme pressures, standardised design approaches and the need to make key material decisions before the design is fully developed. At the same time, the sector is under increasing pressure from policy, clients and industry guidance to reduce embodied carbon and improve environmental performance (UK Government, Department for Business, Energy and Industrial Strategy, 2022; Drewniok et al., 2023; Department for Environment, Food and Rural Affairs, 2025). This creates a practical tension between sustainability ambitions and affordability, especially where project teams must make decisions with incomplete information. For construction professionals involved in early-stage cost advice, this means that material selection is no longer only a technical or procurement issue, but also a cost planning issue.</w:t>
      </w:r>
    </w:p>
    <w:p w14:paraId="7BA7904D" w14:textId="77777777" w:rsidR="00053E06" w:rsidRDefault="00793476">
      <w:r>
        <w:t>The topic is also significant to quantity surveying practice. Early-stage cost planning plays an important role in shaping client expectations, testing design options and supporting informed decision-making before a project progresses further. Recent professional and academic sources suggest that life-cycle costing, carbon literacy and sustainability appraisal are becoming more central to QS work, not peripheral to it (RICS, 2025; Khan, Tong and Phung, 2024). If low-carbon materials are perceived as difficult to price, uncertain in supply, or risky in cost terms, this may influence whether they are considered viable at all. Although low-carbon materials are widely discussed in relation to sustainable construction, there is less clarity around how they affect the practical process of early-stage cost planning in UK residential projects. For this reason, the proposed study will investigate how low-carbon material selection influences early-stage cost planning and cost certainty in this specific project context.</w:t>
      </w:r>
    </w:p>
    <w:p w14:paraId="092019E9" w14:textId="77777777" w:rsidR="002334A8" w:rsidRDefault="003674E0">
      <w:pPr>
        <w:pStyle w:val="Heading2"/>
      </w:pPr>
      <w:r>
        <w:t>Research Question(s)</w:t>
      </w:r>
    </w:p>
    <w:p w14:paraId="2F8EA9D5" w14:textId="07025AC9" w:rsidR="002334A8" w:rsidRDefault="00D509B1">
      <w:pPr>
        <w:spacing w:after="240" w:line="312" w:lineRule="auto"/>
      </w:pPr>
      <w:r w:rsidRPr="00D509B1">
        <w:t>How does low-carbon material selection affect early-stage cost planning in UK residential construction projects?</w:t>
      </w:r>
    </w:p>
    <w:p w14:paraId="0F160DF9" w14:textId="77777777" w:rsidR="002334A8" w:rsidRDefault="003674E0">
      <w:pPr>
        <w:pStyle w:val="Heading2"/>
      </w:pPr>
      <w:r>
        <w:lastRenderedPageBreak/>
        <w:t>Aims / Objectives of the Study</w:t>
      </w:r>
    </w:p>
    <w:p w14:paraId="5C22C8C5" w14:textId="68C2BD0E" w:rsidR="002334A8" w:rsidRDefault="00307E52">
      <w:pPr>
        <w:spacing w:after="240" w:line="312" w:lineRule="auto"/>
      </w:pPr>
      <w:r w:rsidRPr="00307E52">
        <w:t>To investigate how low-carbon material selection affects early-stage cost planning in UK residential construction projects.</w:t>
      </w:r>
    </w:p>
    <w:p w14:paraId="17C5D999" w14:textId="77777777" w:rsidR="00C35558" w:rsidRPr="00C35558" w:rsidRDefault="00F6444F">
      <w:pPr>
        <w:pStyle w:val="ListNumber"/>
        <w:spacing w:after="80" w:line="288" w:lineRule="auto"/>
      </w:pPr>
      <w:r w:rsidRPr="00F6444F">
        <w:rPr>
          <w:i/>
          <w:color w:val="666666"/>
        </w:rPr>
        <w:t>To review relevant literature on low-carbon materials and early-stage cost planning in UK residential construction.</w:t>
      </w:r>
    </w:p>
    <w:p w14:paraId="2987707A" w14:textId="77777777" w:rsidR="00C35558" w:rsidRPr="00C35558" w:rsidRDefault="00C35558" w:rsidP="00D509B1">
      <w:pPr>
        <w:pStyle w:val="ListNumber"/>
        <w:spacing w:after="80" w:line="288" w:lineRule="auto"/>
      </w:pPr>
      <w:r w:rsidRPr="00C35558">
        <w:rPr>
          <w:i/>
          <w:color w:val="666666"/>
        </w:rPr>
        <w:t>To examine how low-carbon material selection influences early-stage budgeting and estimating decisions.</w:t>
      </w:r>
    </w:p>
    <w:p w14:paraId="6C86B2E3" w14:textId="77777777" w:rsidR="00C35558" w:rsidRPr="00C35558" w:rsidRDefault="00C35558" w:rsidP="00C35558">
      <w:pPr>
        <w:pStyle w:val="ListNumber"/>
        <w:spacing w:after="80" w:line="288" w:lineRule="auto"/>
      </w:pPr>
      <w:r w:rsidRPr="00C35558">
        <w:rPr>
          <w:i/>
          <w:color w:val="666666"/>
        </w:rPr>
        <w:t>To identify the challenges faced by construction professionals when pricing low-carbon materials at the pre-contract stage.</w:t>
      </w:r>
    </w:p>
    <w:p w14:paraId="2D822496" w14:textId="1226909E" w:rsidR="00C35558" w:rsidRPr="00C35558" w:rsidRDefault="00C35558" w:rsidP="00C35558">
      <w:pPr>
        <w:pStyle w:val="ListNumber"/>
        <w:spacing w:after="80" w:line="288" w:lineRule="auto"/>
      </w:pPr>
      <w:r w:rsidRPr="00C35558">
        <w:rPr>
          <w:i/>
          <w:color w:val="666666"/>
        </w:rPr>
        <w:t xml:space="preserve">To assess how low-carbon material selection affects cost </w:t>
      </w:r>
      <w:proofErr w:type="gramStart"/>
      <w:r w:rsidRPr="00C35558">
        <w:rPr>
          <w:i/>
          <w:color w:val="666666"/>
        </w:rPr>
        <w:t>certainty</w:t>
      </w:r>
      <w:proofErr w:type="gramEnd"/>
      <w:r w:rsidRPr="00C35558">
        <w:rPr>
          <w:i/>
          <w:color w:val="666666"/>
        </w:rPr>
        <w:t xml:space="preserve"> in UK residential projects. </w:t>
      </w:r>
    </w:p>
    <w:p w14:paraId="74D3AD7B" w14:textId="2DCC5D28" w:rsidR="002334A8" w:rsidRDefault="003674E0">
      <w:pPr>
        <w:pStyle w:val="Heading1"/>
      </w:pPr>
      <w:r>
        <w:t>Literature Review</w:t>
      </w:r>
    </w:p>
    <w:p w14:paraId="77B343FD" w14:textId="77777777" w:rsidR="002334A8" w:rsidRDefault="003674E0">
      <w:pPr>
        <w:pStyle w:val="Heading2"/>
      </w:pPr>
      <w:r>
        <w:t>Review of Relevant Literature</w:t>
      </w:r>
    </w:p>
    <w:p w14:paraId="6657DFF1" w14:textId="77777777" w:rsidR="00053E06" w:rsidRDefault="00793476">
      <w:pPr>
        <w:pStyle w:val="Heading3"/>
      </w:pPr>
      <w:r>
        <w:t>Embodied carbon and early design decisions</w:t>
      </w:r>
    </w:p>
    <w:p w14:paraId="5437180F" w14:textId="77777777" w:rsidR="00053E06" w:rsidRDefault="00793476">
      <w:r>
        <w:t>Across the literature, there is broad agreement that embodied carbon is heavily influenced by decisions made before detailed design is complete. Fang et al. (2023) argue that structural form, grid, span and material family selected at concept stage have a disproportionate effect on later carbon outcomes, while Röck et al. (2020) describe embodied greenhouse-gas emissions as a hidden but increasingly important challenge as operational emissions fall. Roberts, Allen and Coley (2020) reinforce this by showing that life-cycle assessment is still often used too late in the design process to influence major decisions effectively. Taken together, these studies suggest that the key question is not simply how carbon is measured, but whether early decision-making frameworks are robust enough to guide live project choices while information is still incomplete.</w:t>
      </w:r>
    </w:p>
    <w:p w14:paraId="60A2ECC9" w14:textId="77777777" w:rsidR="00053E06" w:rsidRDefault="00793476">
      <w:r>
        <w:t>There is, however, a difference between literature that explains why early intervention matters and literature that explains how practitioners act on that knowledge. Victoria and Perera (2018) show that embodied carbon can be estimated parametrically before design information is complete, and Torabi and Evins (2025) demonstrate that early-stage structural choices can significantly alter embodied-carbon outcomes in residential buildings. Yet both studies remain primarily within modelling and design-support territory. They are valuable for showing what can be estimated early, but they do not explain how cost consultants or quantity surveyors decide whether a low-carbon option is sufficiently reliable, affordable or commercially defensible in pre-contract advice.</w:t>
      </w:r>
    </w:p>
    <w:p w14:paraId="6562C617" w14:textId="77777777" w:rsidR="00053E06" w:rsidRDefault="00793476">
      <w:r>
        <w:t>UK-focused evidence strengthens the importance of the topic while also exposing data-related uncertainty. Drewniok et al. (2023) map material use and embodied carbon across UK construction and show the scale of emissions linked to material choices, while Keyhani et al. (2023) demonstrate that carbon results for a typical UK residential building vary depending on the embodied-carbon data source used. RICS (2023) and the UK Green Building Council (2025) therefore place growing emphasis on consistent early-stage whole-life-carbon measurement. However, even this stronger professional framework is more developed on carbon assessment than on how those carbon-led decisions are translated into early-stage cost certainty.</w:t>
      </w:r>
    </w:p>
    <w:p w14:paraId="19564FDA" w14:textId="77777777" w:rsidR="00053E06" w:rsidRDefault="00793476">
      <w:pPr>
        <w:pStyle w:val="Heading3"/>
      </w:pPr>
      <w:r>
        <w:t>Low-carbon materials and cost implications</w:t>
      </w:r>
    </w:p>
    <w:p w14:paraId="1F421C77" w14:textId="77777777" w:rsidR="00053E06" w:rsidRDefault="00793476">
      <w:r>
        <w:t xml:space="preserve">The literature on cost implications is more divided. Solera Jimenez et al. (2023) argue that embodied-carbon reduction and cost reduction can be pursued together when design, system choice and material selection are considered concurrently, while Zhang et al. (2021) suggest </w:t>
      </w:r>
      <w:r>
        <w:lastRenderedPageBreak/>
        <w:t>that life-cycle costing can optimise environmental and financial performance at an early stage rather than treating sustainability as an inevitable premium. Read together, these studies challenge the simplistic assumption that low-carbon materials necessarily cost more. However, their conclusions are based on tightly defined case conditions and optimisation logics, which means they demonstrate what is possible under controlled conditions more than what typically happens in live pre-contract residential budgeting.</w:t>
      </w:r>
    </w:p>
    <w:p w14:paraId="464AB289" w14:textId="77777777" w:rsidR="00053E06" w:rsidRDefault="00793476">
      <w:r>
        <w:t>Practice-oriented studies present a more cautious picture. Giesekam, Barrett and Taylor (2016) found that UK construction professionals associated low-carbon materials with barriers such as perceived cost, weak responsibility allocation, limited benchmarks and insufficient product data. Chan, Masrom and Yasin (2022) similarly identify lack of demonstration projects, inconsistent information, limited technical knowledge and low market familiarity as persistent obstacles. The 2025 AECOM review for government adds a specifically commercial dimension, noting that innovative lower-carbon products may face cost variation linked to warranties, contractor risk, insurance, specialist design requirements and weak environmental product declaration coverage. In this literature, the issue is not simply whether a product is more expensive, but whether its pricing and performance claims are trusted enough to be used in early commercial advice.</w:t>
      </w:r>
    </w:p>
    <w:p w14:paraId="3AAFF92D" w14:textId="77777777" w:rsidR="00053E06" w:rsidRDefault="00793476">
      <w:r>
        <w:t>This is especially important in UK residential delivery, where affordability, repeatability and procurement certainty are often prioritised. UK Government case-study evidence on low-cost, low-carbon homes shows that innovative systems can create interface, coordination and delivery challenges even where their carbon case is attractive (UK Government, Department for Business, Energy and Industrial Strategy, 2022). Morris, Allen and Hawkins (2021) also show that apparently straightforward material comparisons, such as timber versus steel, are highly sensitive to methodological assumptions. The implication for this proposal is that cost implications cannot be reduced to a single headline premium; they are mediated by data quality, supply-chain maturity, insurance, programme risk and the credibility of assumptions behind both price and carbon claims.</w:t>
      </w:r>
    </w:p>
    <w:p w14:paraId="0BF71129" w14:textId="77777777" w:rsidR="00053E06" w:rsidRDefault="00793476">
      <w:pPr>
        <w:pStyle w:val="Heading3"/>
      </w:pPr>
      <w:r>
        <w:t>Uncertainty, risk, and cost certainty in early-stage estimating</w:t>
      </w:r>
    </w:p>
    <w:p w14:paraId="205A1542" w14:textId="77777777" w:rsidR="00053E06" w:rsidRDefault="00793476">
      <w:r>
        <w:t>The literature becomes thinnest when cost is discussed as uncertainty rather than as price alone. RICS (2021) is clear that early-stage cost planning is an order-of-cost activity undertaken before detailed design is available, and Amadi (2024) similarly shows that early construction economics depends on assumptions, appraisal and evolving project definition. RICS' cost prediction guidance also emphasises that estimates should make information completeness, assumptions and risk visible rather than disguise uncertainty behind a single precise figure. This matters because low-carbon materials enter the decision-making process at precisely the stage when design information, benchmark data and procurement routes are least settled.</w:t>
      </w:r>
    </w:p>
    <w:p w14:paraId="3AEE43C4" w14:textId="77777777" w:rsidR="00053E06" w:rsidRDefault="00793476">
      <w:r>
        <w:t>Recent UK evidence suggests that the problem is not only limited information but uneven information. AECOM (2025) notes that published cost data for alternative embodied-carbon approaches remain limited across typologies, and RICS (2023) explicitly formalises uncertainty allowances in early whole-life-carbon assessment to avoid spurious precision. When this is combined with the barriers identified by Giesekam, Barrett and Taylor (2016) and Chan, Masrom and Yasin (2022), the result is a commercial environment in which risk may be transferred through contingencies, qualifications, supplier choice, insurance terms or the decision not to recommend an unfamiliar option at all.</w:t>
      </w:r>
    </w:p>
    <w:p w14:paraId="61AA9848" w14:textId="77777777" w:rsidR="00053E06" w:rsidRDefault="00793476">
      <w:r>
        <w:t xml:space="preserve">This produces a clear tension across the literature. On one side, optimisation-based studies imply that cost and carbon can be jointly improved if analysed early enough. On the other, guidance and practitioner-facing evidence suggest that real early-stage decisions are made </w:t>
      </w:r>
      <w:r>
        <w:lastRenderedPageBreak/>
        <w:t>under imperfect information, where conservative assumptions, benchmark limitations and market unfamiliarity may dominate theoretically optimal solutions. What remains weakly explained is how professionals convert that uncertainty into practical estimating behaviour: how they judge pricing confidence, when they apply risk allowances, and how they communicate cost certainty to clients when low-carbon materials are being considered.</w:t>
      </w:r>
    </w:p>
    <w:p w14:paraId="68A0F971" w14:textId="77777777" w:rsidR="00053E06" w:rsidRDefault="00793476">
      <w:pPr>
        <w:pStyle w:val="Heading3"/>
      </w:pPr>
      <w:r>
        <w:t>The specific gap in UK residential QS practice</w:t>
      </w:r>
    </w:p>
    <w:p w14:paraId="028E447D" w14:textId="77777777" w:rsidR="00053E06" w:rsidRDefault="00793476">
      <w:r>
        <w:t>The final theme is the gap between broad embodied-carbon research and the specific realities of UK residential quantity surveying practice. Much of the literature addresses embodied carbon at industry level, through technical life-cycle assessment, benchmarking or policy guidance. Separately, QS literature increasingly argues that the profession should contribute more actively to sustainability, carbon reporting and life-cycle value thinking (Khan, Tong and Phung, 2024; RICS, 2025). Yet these sources are stronger at defining an expanded professional role than at showing how that role is carried out when low-carbon material options must be priced early in residential projects.</w:t>
      </w:r>
    </w:p>
    <w:p w14:paraId="26E61A1F" w14:textId="77777777" w:rsidR="00053E06" w:rsidRDefault="00793476">
      <w:r>
        <w:t>This matters because UK residential projects operate under conditions that intensify the tension between carbon ambition and cost certainty: tight budgets, standardised house types, programme pressure, warranty requirements and strong delivery expectations. Evidence drawn from broader construction samples, single-material comparisons or non-UK settings is therefore only partially transferable. What remains underexplained is how UK residential quantity surveyors and related cost professionals balance sustainability objectives against affordability, procurement constraints, client expectations and incomplete information at the earliest stages of design. This unresolved issue provides the clearest justification for the proposed study.</w:t>
      </w:r>
    </w:p>
    <w:p w14:paraId="58BCF2BC" w14:textId="77777777" w:rsidR="002334A8" w:rsidRDefault="003674E0">
      <w:pPr>
        <w:pStyle w:val="Heading2"/>
      </w:pPr>
      <w:r>
        <w:t>Identification of Gaps in Current Research</w:t>
      </w:r>
    </w:p>
    <w:p w14:paraId="6484DF45" w14:textId="77777777" w:rsidR="00053E06" w:rsidRDefault="00793476">
      <w:r>
        <w:t>Existing studies explain a great deal about embodied carbon, life-cycle assessment, carbon benchmarking and the environmental rationale for selecting lower-carbon materials. A smaller body of research also shows that cost and carbon can be considered together through optimisation models or case-based comparisons. However, far fewer studies examine how construction professionals actually manage cost uncertainty when such materials must be priced at the earliest project stages, when design information is incomplete, supplier data are inconsistent and benchmark rates are weak. The gap narrows further when attention is restricted to UK residential construction and early-stage quantity surveying advice. The most underexplored area, therefore, is not carbon performance alone, but how UK residential QSs and related practitioners form pricing judgements, apply contingencies and communicate cost confidence when low-carbon materials are being considered.</w:t>
      </w:r>
    </w:p>
    <w:p w14:paraId="5F18BA7E" w14:textId="77777777" w:rsidR="00591F62" w:rsidRPr="002F4C65" w:rsidRDefault="00591F62" w:rsidP="002F4C65">
      <w:pPr>
        <w:pStyle w:val="Heading2"/>
        <w:rPr>
          <w:rFonts w:ascii="Arial" w:hAnsi="Arial"/>
        </w:rPr>
      </w:pPr>
      <w:r>
        <w:t>How Your Research Will Address These Gaps</w:t>
      </w:r>
    </w:p>
    <w:p w14:paraId="587639E6" w14:textId="77777777" w:rsidR="00053E06" w:rsidRDefault="00793476">
      <w:r>
        <w:t>This study will address that gap by focusing specifically on early-stage quantity surveying practice in UK residential construction. Through semi-structured interviews with quantity surveyors, estimators, cost consultants and related professionals, it will examine how pricing confidence is formed, what sources of uncertainty are considered most significant, and how sustainability ambitions are balanced against budget constraints, procurement pressures and client expectations. In doing so, the research will contribute practice-based evidence that is largely missing from the current literature: academically, it will add a more precise account of cost certainty to a field dominated by carbon assessment and life-cycle discussion; practically, it should help identify where better benchmark data, earlier supplier engagement and clearer guidance could improve low-carbon decision-making at pre-contract stage.</w:t>
      </w:r>
    </w:p>
    <w:p w14:paraId="127C8FA9" w14:textId="77777777" w:rsidR="002334A8" w:rsidRDefault="003674E0">
      <w:pPr>
        <w:pStyle w:val="Heading1"/>
      </w:pPr>
      <w:r>
        <w:lastRenderedPageBreak/>
        <w:t>Research Design and Methodology</w:t>
      </w:r>
    </w:p>
    <w:p w14:paraId="4FA00316" w14:textId="77777777" w:rsidR="002334A8" w:rsidRDefault="003674E0">
      <w:pPr>
        <w:pStyle w:val="Heading2"/>
      </w:pPr>
      <w:r>
        <w:t>Research Design</w:t>
      </w:r>
    </w:p>
    <w:p w14:paraId="4A98129B" w14:textId="77777777" w:rsidR="00053E06" w:rsidRDefault="00793476">
      <w:r>
        <w:t>This study will adopt a qualitative research design because the research question is concerned with how professionals interpret, manage and respond to cost uncertainty rather than with measuring a single numerical relationship. Tomaszewski, Zarestky and Gonzalez (2020) argue that qualitative design is particularly appropriate where the aim is to explore how people understand complex issues in context and where the study is driven by open-ended how and why questions. That logic fits this proposal, which is concerned with the reasoning behind early-stage estimates, the assumptions used when pricing low-carbon materials, and the professional judgements that shape cost advice in live residential projects.</w:t>
      </w:r>
    </w:p>
    <w:p w14:paraId="470EAD48" w14:textId="77777777" w:rsidR="00053E06" w:rsidRDefault="00793476">
      <w:r>
        <w:t>The study will be underpinned by an interpretivist position. Ryan (2018) explains that interpretivism is concerned with understanding meaning rather than treating social reality as fully objective and measurable. This is suitable here because early-stage cost planning is shaped by experience, market familiarity, organisational context and judgement, not only by objective price data. An interpretivist approach therefore allows the research to examine how practitioners make sense of incomplete information, perceived risk and sustainability pressures, and how those interpretations influence the advice they provide to clients.</w:t>
      </w:r>
    </w:p>
    <w:p w14:paraId="191A8F5B" w14:textId="77777777" w:rsidR="00053E06" w:rsidRDefault="00793476">
      <w:r>
        <w:t>A purely quantitative design would be less suitable at this stage of enquiry. Although a survey or cost dataset might indicate how common particular views or price differences are, it would reveal much less about why professionals apply contingencies, distrust certain data sources, or treat some low-carbon options as commercially risky. Because the study is exploring a relatively underexamined practice-based issue, depth of explanation is more valuable than broad numerical coverage, making qualitative enquiry the stronger choice (Tomaszewski, Zarestky and Gonzalez, 2020).</w:t>
      </w:r>
    </w:p>
    <w:p w14:paraId="2AFA54A0" w14:textId="77777777" w:rsidR="00053E06" w:rsidRDefault="00793476">
      <w:r>
        <w:t>The design is also feasible for a Level 5 research project because it focuses on one defined sector, one project stage and a small but relevant participant group. This keeps the study manageable in terms of access, interview scheduling, transcription and analysis, while still allowing the researcher to produce a credible and detailed account of current practice.</w:t>
      </w:r>
    </w:p>
    <w:p w14:paraId="3A1F4084" w14:textId="77777777" w:rsidR="002334A8" w:rsidRDefault="003674E0">
      <w:pPr>
        <w:pStyle w:val="Heading2"/>
      </w:pPr>
      <w:r>
        <w:t>Data Collection Methods</w:t>
      </w:r>
    </w:p>
    <w:p w14:paraId="608D4B4D" w14:textId="77777777" w:rsidR="00053E06" w:rsidRDefault="00793476">
      <w:r>
        <w:t>Semi-structured interviews will be used as the main data collection method. DeJonckheere and Vaughn (2019) describe semi-structured interviewing as a guided but flexible dialogue that enables researchers to explore participants' beliefs, experiences and reasoning in depth. This makes it well suited to the present study, which requires comparable discussion of core issues such as pricing confidence, benchmark data and perceived commercial risk, while also leaving enough openness for participants to explain how decisions are shaped by particular project experiences.</w:t>
      </w:r>
    </w:p>
    <w:p w14:paraId="278EA643" w14:textId="77777777" w:rsidR="00053E06" w:rsidRDefault="00793476">
      <w:r>
        <w:t>Each interview is expected to last approximately 30-45 minutes. Subject to participant preference and access, interviews will be conducted online using Microsoft Teams or Zoom, or in person where practical. With consent, interviews will be audio-recorded to improve the accuracy of transcription, and brief field notes will also be taken to capture immediate impressions, emphasis and points for follow-up.</w:t>
      </w:r>
    </w:p>
    <w:p w14:paraId="268D114A" w14:textId="77777777" w:rsidR="00053E06" w:rsidRDefault="00793476">
      <w:r>
        <w:t xml:space="preserve">The interview guide will be structured around the research objectives and the key issues identified in the literature review. Kallio et al. (2016) argue that a rigorous semi-structured interview guide should be developed systematically through the use of prior knowledge, drafting, pilot testing and refinement. In line with that approach, core questions will address the </w:t>
      </w:r>
      <w:r>
        <w:lastRenderedPageBreak/>
        <w:t>availability of pricing data, the treatment of unfamiliar materials in early estimates, the role of supplier and specification information, the use of contingencies or assumptions, and the way sustainability objectives are weighed against affordability and programme certainty. Follow-up prompts will be used to elicit concrete examples from practice rather than general opinion.</w:t>
      </w:r>
    </w:p>
    <w:p w14:paraId="0CDCF929" w14:textId="77777777" w:rsidR="00053E06" w:rsidRDefault="00793476">
      <w:r>
        <w:t>Before formal data collection begins, the interview schedule will be checked for clarity, relevance and sequencing through supervisor feedback and, where possible, a short pilot discussion with an appropriate contact who is not part of the final sample. Tong, Sainsbury and Craig (2007) emphasise the value of transparent reporting for interview-based research, so the study will also keep a clear record of who conducted the interviews, how they were recorded and how the guide evolved before full data collection.</w:t>
      </w:r>
    </w:p>
    <w:p w14:paraId="421F8125" w14:textId="77777777" w:rsidR="002334A8" w:rsidRPr="007130E7" w:rsidRDefault="003674E0">
      <w:pPr>
        <w:pStyle w:val="Heading2"/>
        <w:rPr>
          <w:rFonts w:ascii="Arial" w:hAnsi="Arial"/>
        </w:rPr>
      </w:pPr>
      <w:r>
        <w:t>Sampling Methods</w:t>
      </w:r>
    </w:p>
    <w:p w14:paraId="144F52FE" w14:textId="77777777" w:rsidR="00053E06" w:rsidRDefault="00793476">
      <w:r>
        <w:t>The study will use purposive sampling, meaning participants will be selected because they can provide informed insight into early-stage cost planning and material-related decision-making in UK residential construction. Palinkas et al. (2015) describe purposive sampling as the selection of information-rich cases that are especially knowledgeable about the phenomenon of interest. This targeted approach is more suitable than random sampling because the research requires experience-based knowledge rather than general public opinion.</w:t>
      </w:r>
    </w:p>
    <w:p w14:paraId="422F9D7C" w14:textId="77777777" w:rsidR="00053E06" w:rsidRDefault="00793476">
      <w:r>
        <w:t>To be included, participants should have direct involvement in at least one of the following within UK residential projects: early-stage estimating, cost planning, pre-contract advice, material option appraisal, or sustainability-related decision-making. The sample will prioritise quantity surveyors, estimators and cost consultants, but may also include project managers or sustainability specialists where their role gives them clear experience of pricing or advising on low-carbon material choices. Participants should have sufficient professional familiarity with residential delivery to comment meaningfully on budget constraints, risk allowances and pricing confidence.</w:t>
      </w:r>
    </w:p>
    <w:p w14:paraId="37B97544" w14:textId="77777777" w:rsidR="00053E06" w:rsidRDefault="00793476">
      <w:r>
        <w:t>An anticipated sample of approximately eight to ten participants is considered appropriate for this study. Malterud, Siersma and Guassora (2016) argue that qualitative sample size should be guided by information power rather than by a fixed rule: the more specific the sample and the more focused the research aim, the fewer participants may be needed. Hennink and Kaiser (2022) similarly show that many focused interview studies reach sufficient thematic depth with relatively modest sample sizes, although they caution against treating any number as universally adequate. For this proposal, eight to ten interviews should provide a workable balance between feasibility and analytical richness, provided participants are closely aligned to the research focus.</w:t>
      </w:r>
    </w:p>
    <w:p w14:paraId="60D475A9" w14:textId="77777777" w:rsidR="00053E06" w:rsidRDefault="00793476">
      <w:r>
        <w:t>This target should be treated as a reasoned estimate rather than a rigid quota. If interviews begin to produce little genuinely new insight, data collection may stop at the lower end of the range; if important variation continues to emerge, a small extension may be justified. This approach is more methodologically defensible than selecting a sample size on convenience alone.</w:t>
      </w:r>
    </w:p>
    <w:p w14:paraId="154AF206" w14:textId="77777777" w:rsidR="002334A8" w:rsidRDefault="003674E0">
      <w:pPr>
        <w:pStyle w:val="Heading2"/>
      </w:pPr>
      <w:r>
        <w:t>Data Analysis Plan</w:t>
      </w:r>
    </w:p>
    <w:p w14:paraId="51B2CAEE" w14:textId="77777777" w:rsidR="00053E06" w:rsidRDefault="00793476">
      <w:r>
        <w:t>The interview data will be analysed using thematic analysis. Braun and Clarke (2006) present thematic analysis as a flexible and accessible method for identifying, analysing and reporting patterns across qualitative data, and that flexibility makes it well suited to an interpretivist interview study of professional judgement. Consistent with their approach, the analysis will move through familiarisation with the transcripts, initial coding, searching for themes, reviewing themes, defining and naming themes, and writing up the interpretation.</w:t>
      </w:r>
    </w:p>
    <w:p w14:paraId="531FF3F0" w14:textId="77777777" w:rsidR="00053E06" w:rsidRDefault="00793476">
      <w:r>
        <w:lastRenderedPageBreak/>
        <w:t>After the interviews are completed, audio recordings will be transcribed and read several times so the researcher becomes familiar with the dataset as a whole. The first cycle of coding will involve assigning short labels to meaningful segments of text, such as references to unreliable benchmark data, supplier uncertainty, risk allowances, client pressure or concerns about programme certainty. These initial codes will then be compared across transcripts and grouped into broader categories. A second stage of coding will refine these categories by combining overlapping codes, separating distinct ideas and identifying whether certain issues are associated with particular professional roles or project experiences.</w:t>
      </w:r>
    </w:p>
    <w:p w14:paraId="0BDE121C" w14:textId="77777777" w:rsidR="00053E06" w:rsidRDefault="00793476">
      <w:r>
        <w:t>From this process, candidate themes will be developed and reviewed against both the coded extracts and the full dataset to ensure that they are well supported and clearly distinct. Braun and Clarke (2021) stress that quality in reflexive thematic analysis depends on thoughtful interpretation rather than on treating coding as a purely mechanical exercise. Likely themes may include pricing uncertainty, material availability, perceived commercial risk, sustainability priorities and client expectations, but the final themes will depend on what the interviews actually reveal.</w:t>
      </w:r>
    </w:p>
    <w:p w14:paraId="6169806E" w14:textId="77777777" w:rsidR="00053E06" w:rsidRDefault="00793476">
      <w:r>
        <w:t>To support credibility, the researcher will use the same core interview guide across participants, keep clear notes on how codes were developed and maintain a transparent link between quotations, codes and final themes. Nowell et al. (2017) argue that trustworthiness in thematic analysis is strengthened by a clear analytic process, an audit trail and careful reflexive practice. In line with that guidance, the study will keep coding notes and reflexive observations so that the interpretation remains systematic, well evidenced and transparent, even though it does not aim for statistical generalisation.</w:t>
      </w:r>
    </w:p>
    <w:p w14:paraId="10A47ACE" w14:textId="77777777" w:rsidR="002334A8" w:rsidRDefault="003674E0">
      <w:pPr>
        <w:pStyle w:val="Heading2"/>
      </w:pPr>
      <w:r>
        <w:t>Ethical Considerations</w:t>
      </w:r>
    </w:p>
    <w:p w14:paraId="2770E802" w14:textId="77777777" w:rsidR="00053E06" w:rsidRDefault="00793476">
      <w:r>
        <w:t>Ethical considerations are an important part of this proposed study because it involves human participants and professional opinions. The British Sociological Association (2017) states that participation should, as far as possible, rest on freely given informed consent and that researchers should explain clearly what the research is about, why it is being conducted and how the results will be used. In this study, all participants will receive an information sheet before taking part, informed consent will be obtained prior to interview, and participation will be entirely voluntary. Participants will have the right to withdraw up to the point at which the data have been anonymised and incorporated into analysis.</w:t>
      </w:r>
    </w:p>
    <w:p w14:paraId="31816BB8" w14:textId="77777777" w:rsidR="00053E06" w:rsidRDefault="00793476">
      <w:r>
        <w:t>Confidentiality and anonymity will be protected throughout the research process, but they will not be described in unrealistic terms. Because the participant pool is likely to be relatively small and professionally networked, full anonymity cannot be absolutely guaranteed if roles or project contexts are highly distinctive. The study will therefore remove names, company identifiers and project-specific details wherever possible, use pseudonyms or generic role descriptions in reporting, and avoid requesting confidential cost figures, project names or commercially sensitive information unless they can be discussed in fully non-identifiable terms.</w:t>
      </w:r>
    </w:p>
    <w:p w14:paraId="4D0E4743" w14:textId="77777777" w:rsidR="00053E06" w:rsidRDefault="00793476">
      <w:r>
        <w:t>Data handling will follow the principle of minimisation. The Information Commissioner's Office (n.d.) distinguishes ethical consent from the lawful basis for processing personal data and emphasises safeguards such as data minimisation, secure storage and pseudonymisation where possible. In practice, audio files and transcripts will be stored securely, access will be limited to the researcher and supervisor, and personal identifiers will be removed early in the process. These measures are particularly necessary because the research may involve discussion of pricing practices, procurement decisions and perceived commercial risk.</w:t>
      </w:r>
    </w:p>
    <w:p w14:paraId="37D0B1E1" w14:textId="77777777" w:rsidR="00053E06" w:rsidRDefault="00793476">
      <w:r>
        <w:lastRenderedPageBreak/>
        <w:t>Ethics will be treated as an issue across the full project lifecycle rather than only at the moment of consent. In line with UK Research and Innovation guidance (UK Research and Innovation, n.d.), the study will seek institutional ethics approval before data collection begins, will use a clear consent procedure, and will report findings fairly so that no participant is placed under pressure or exposed to avoidable professional harm. A further limitation is that interview data reflects professional perception rather than direct measurement of actual project costs, so the findings should be treated as context-specific insight rather than statistically generalisable evidence.</w:t>
      </w:r>
    </w:p>
    <w:p w14:paraId="56C103DE" w14:textId="479B53DC" w:rsidR="00043D61" w:rsidRDefault="00043D61" w:rsidP="00043D61">
      <w:pPr>
        <w:pStyle w:val="Heading2"/>
        <w:rPr>
          <w:rFonts w:ascii="Arial" w:hAnsi="Arial"/>
        </w:rPr>
      </w:pPr>
      <w:r w:rsidRPr="00043D61">
        <w:rPr>
          <w:rFonts w:ascii="Arial" w:hAnsi="Arial"/>
        </w:rPr>
        <w:t>Methodological Limitations</w:t>
      </w:r>
    </w:p>
    <w:p w14:paraId="5C44C4BA" w14:textId="77777777" w:rsidR="00053E06" w:rsidRDefault="00793476">
      <w:r>
        <w:t>One limitation of the proposed methodology is that the sample will be relatively small and focused on a particular sector and project stage. The findings will therefore not be statistically generalisable to the whole UK construction industry, nor will they capture every regional or organisational variation in practice. However, this limitation is acceptable because the purpose of the study is to develop detailed understanding of a specific professional issue rather than to produce broad numerical claims.</w:t>
      </w:r>
    </w:p>
    <w:p w14:paraId="553BF20E" w14:textId="77777777" w:rsidR="00053E06" w:rsidRDefault="00793476">
      <w:r>
        <w:t>A further limitation is that the research relies on self-reported professional experience. Participants may describe practices selectively, may remember some projects more clearly than others, and may be cautious when discussing commercially sensitive decisions. To reduce this risk, interviews will avoid requesting confidential figures or project-identifying information and will encourage participants to explain reasoning, assumptions and examples in general terms. The resulting findings should therefore be treated as context-specific insight into how cost uncertainty is understood and managed, while also indicating areas for later quantitative or larger-scale research.</w:t>
      </w:r>
    </w:p>
    <w:p w14:paraId="7A88F7CB" w14:textId="77777777" w:rsidR="002334A8" w:rsidRDefault="003674E0">
      <w:pPr>
        <w:pStyle w:val="Heading1"/>
        <w:pageBreakBefore/>
      </w:pPr>
      <w:r>
        <w:lastRenderedPageBreak/>
        <w:t>Timeline</w:t>
      </w:r>
    </w:p>
    <w:p w14:paraId="7F3C1275" w14:textId="77777777" w:rsidR="002334A8" w:rsidRDefault="002334A8"/>
    <w:tbl>
      <w:tblPr>
        <w:tblW w:w="11026" w:type="dxa"/>
        <w:jc w:val="center"/>
        <w:tblLayout w:type="fixed"/>
        <w:tblLook w:val="04A0" w:firstRow="1" w:lastRow="0" w:firstColumn="1" w:lastColumn="0" w:noHBand="0" w:noVBand="1"/>
      </w:tblPr>
      <w:tblGrid>
        <w:gridCol w:w="2609"/>
        <w:gridCol w:w="1814"/>
        <w:gridCol w:w="3140"/>
        <w:gridCol w:w="3463"/>
      </w:tblGrid>
      <w:tr w:rsidR="00FE0E0F" w14:paraId="4E8080A3" w14:textId="77777777" w:rsidTr="001C5110">
        <w:trPr>
          <w:tblHeader/>
          <w:jc w:val="center"/>
        </w:trPr>
        <w:tc>
          <w:tcPr>
            <w:tcW w:w="2609" w:type="dxa"/>
            <w:tcBorders>
              <w:top w:val="single" w:sz="4" w:space="0" w:color="9CC3E5"/>
              <w:left w:val="single" w:sz="4" w:space="0" w:color="9CC3E5"/>
              <w:bottom w:val="single" w:sz="4" w:space="0" w:color="9CC3E5"/>
              <w:right w:val="single" w:sz="4" w:space="0" w:color="9CC3E5"/>
            </w:tcBorders>
            <w:shd w:val="clear" w:color="auto" w:fill="D6E7F8"/>
            <w:tcMar>
              <w:top w:w="80" w:type="dxa"/>
              <w:left w:w="90" w:type="dxa"/>
              <w:bottom w:w="80" w:type="dxa"/>
              <w:right w:w="90" w:type="dxa"/>
            </w:tcMar>
            <w:vAlign w:val="center"/>
          </w:tcPr>
          <w:p w14:paraId="3E9D21C4" w14:textId="65CFD704" w:rsidR="00FE0E0F" w:rsidRDefault="00FE0E0F" w:rsidP="00FE0E0F">
            <w:pPr>
              <w:spacing w:after="0" w:line="264" w:lineRule="auto"/>
              <w:jc w:val="center"/>
            </w:pPr>
            <w:r>
              <w:rPr>
                <w:b/>
                <w:bCs/>
              </w:rPr>
              <w:t>Stage</w:t>
            </w:r>
          </w:p>
        </w:tc>
        <w:tc>
          <w:tcPr>
            <w:tcW w:w="1814" w:type="dxa"/>
            <w:tcBorders>
              <w:top w:val="single" w:sz="4" w:space="0" w:color="9CC3E5"/>
              <w:left w:val="single" w:sz="4" w:space="0" w:color="9CC3E5"/>
              <w:bottom w:val="single" w:sz="4" w:space="0" w:color="9CC3E5"/>
              <w:right w:val="single" w:sz="4" w:space="0" w:color="9CC3E5"/>
            </w:tcBorders>
            <w:shd w:val="clear" w:color="auto" w:fill="D6E7F8"/>
            <w:tcMar>
              <w:top w:w="80" w:type="dxa"/>
              <w:left w:w="90" w:type="dxa"/>
              <w:bottom w:w="80" w:type="dxa"/>
              <w:right w:w="90" w:type="dxa"/>
            </w:tcMar>
            <w:vAlign w:val="center"/>
          </w:tcPr>
          <w:p w14:paraId="2D25416F" w14:textId="3C1F6094" w:rsidR="00FE0E0F" w:rsidRDefault="00FE0E0F" w:rsidP="00FE0E0F">
            <w:pPr>
              <w:spacing w:after="0" w:line="264" w:lineRule="auto"/>
              <w:jc w:val="center"/>
            </w:pPr>
            <w:r>
              <w:rPr>
                <w:b/>
                <w:bCs/>
              </w:rPr>
              <w:t>Planned Dates</w:t>
            </w:r>
          </w:p>
        </w:tc>
        <w:tc>
          <w:tcPr>
            <w:tcW w:w="3140" w:type="dxa"/>
            <w:tcBorders>
              <w:top w:val="single" w:sz="4" w:space="0" w:color="9CC3E5"/>
              <w:left w:val="single" w:sz="4" w:space="0" w:color="9CC3E5"/>
              <w:bottom w:val="single" w:sz="4" w:space="0" w:color="9CC3E5"/>
              <w:right w:val="single" w:sz="4" w:space="0" w:color="9CC3E5"/>
            </w:tcBorders>
            <w:shd w:val="clear" w:color="auto" w:fill="D6E7F8"/>
            <w:tcMar>
              <w:top w:w="80" w:type="dxa"/>
              <w:left w:w="90" w:type="dxa"/>
              <w:bottom w:w="80" w:type="dxa"/>
              <w:right w:w="90" w:type="dxa"/>
            </w:tcMar>
            <w:vAlign w:val="center"/>
          </w:tcPr>
          <w:p w14:paraId="094C0204" w14:textId="274A83EA" w:rsidR="00FE0E0F" w:rsidRDefault="00FE0E0F" w:rsidP="00FE0E0F">
            <w:pPr>
              <w:spacing w:after="0" w:line="264" w:lineRule="auto"/>
              <w:jc w:val="center"/>
            </w:pPr>
            <w:r>
              <w:rPr>
                <w:b/>
                <w:bCs/>
              </w:rPr>
              <w:t>Activity</w:t>
            </w:r>
          </w:p>
        </w:tc>
        <w:tc>
          <w:tcPr>
            <w:tcW w:w="3463" w:type="dxa"/>
            <w:tcBorders>
              <w:top w:val="single" w:sz="4" w:space="0" w:color="9CC3E5"/>
              <w:left w:val="single" w:sz="4" w:space="0" w:color="9CC3E5"/>
              <w:bottom w:val="single" w:sz="4" w:space="0" w:color="9CC3E5"/>
              <w:right w:val="single" w:sz="4" w:space="0" w:color="9CC3E5"/>
            </w:tcBorders>
            <w:shd w:val="clear" w:color="auto" w:fill="D6E7F8"/>
            <w:tcMar>
              <w:top w:w="80" w:type="dxa"/>
              <w:left w:w="90" w:type="dxa"/>
              <w:bottom w:w="80" w:type="dxa"/>
              <w:right w:w="90" w:type="dxa"/>
            </w:tcMar>
            <w:vAlign w:val="center"/>
          </w:tcPr>
          <w:p w14:paraId="43F5F9E4" w14:textId="2FFC855A" w:rsidR="00FE0E0F" w:rsidRDefault="00FE0E0F" w:rsidP="00FE0E0F">
            <w:pPr>
              <w:spacing w:after="0" w:line="264" w:lineRule="auto"/>
              <w:jc w:val="center"/>
            </w:pPr>
            <w:r>
              <w:rPr>
                <w:b/>
                <w:bCs/>
              </w:rPr>
              <w:t>Notes</w:t>
            </w:r>
          </w:p>
        </w:tc>
      </w:tr>
      <w:tr w:rsidR="00FE0E0F" w14:paraId="36197892" w14:textId="77777777" w:rsidTr="001C5110">
        <w:trPr>
          <w:trHeight w:val="331"/>
          <w:jc w:val="center"/>
        </w:trPr>
        <w:tc>
          <w:tcPr>
            <w:tcW w:w="2609"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57E11233" w14:textId="31D810DC" w:rsidR="00FE0E0F" w:rsidRDefault="00FE0E0F" w:rsidP="00FE0E0F">
            <w:pPr>
              <w:spacing w:after="0"/>
            </w:pPr>
            <w:r>
              <w:t>Topic confirmation and proposal refinement</w:t>
            </w:r>
          </w:p>
        </w:tc>
        <w:tc>
          <w:tcPr>
            <w:tcW w:w="1814"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70840F7B" w14:textId="5A4475CF" w:rsidR="00FE0E0F" w:rsidRDefault="00FE0E0F" w:rsidP="00FE0E0F">
            <w:pPr>
              <w:spacing w:after="0"/>
              <w:jc w:val="center"/>
            </w:pPr>
            <w:r>
              <w:t>Week 1</w:t>
            </w:r>
          </w:p>
        </w:tc>
        <w:tc>
          <w:tcPr>
            <w:tcW w:w="3140"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1552E38A" w14:textId="34C893D2" w:rsidR="00FE0E0F" w:rsidRDefault="00FE0E0F" w:rsidP="00FE0E0F">
            <w:pPr>
              <w:spacing w:after="0"/>
            </w:pPr>
            <w:r>
              <w:t xml:space="preserve">Confirm final research title, research question, aim, and objectives. Refine the study focus so it remains manageable and clearly </w:t>
            </w:r>
            <w:proofErr w:type="spellStart"/>
            <w:r>
              <w:t>centred</w:t>
            </w:r>
            <w:proofErr w:type="spellEnd"/>
            <w:r>
              <w:t xml:space="preserve"> on UK residential construction.</w:t>
            </w:r>
          </w:p>
        </w:tc>
        <w:tc>
          <w:tcPr>
            <w:tcW w:w="3463"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27EFD05E" w14:textId="3E745A07" w:rsidR="00FE0E0F" w:rsidRDefault="00FE0E0F" w:rsidP="00FE0E0F">
            <w:pPr>
              <w:spacing w:after="0"/>
            </w:pPr>
            <w:r>
              <w:t>Ensure the scope of the study is realistic and fully aligned with the proposal topic.</w:t>
            </w:r>
          </w:p>
        </w:tc>
      </w:tr>
      <w:tr w:rsidR="00FE0E0F" w14:paraId="68623E5C" w14:textId="77777777" w:rsidTr="001C5110">
        <w:trPr>
          <w:trHeight w:val="272"/>
          <w:jc w:val="center"/>
        </w:trPr>
        <w:tc>
          <w:tcPr>
            <w:tcW w:w="2609"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0A334B64" w14:textId="1363CCEF" w:rsidR="00FE0E0F" w:rsidRDefault="00FE0E0F" w:rsidP="00FE0E0F">
            <w:pPr>
              <w:spacing w:after="0"/>
            </w:pPr>
            <w:r>
              <w:t>Literature search and source collection</w:t>
            </w:r>
          </w:p>
        </w:tc>
        <w:tc>
          <w:tcPr>
            <w:tcW w:w="1814"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6CDFE057" w14:textId="4C1926B1" w:rsidR="00FE0E0F" w:rsidRDefault="00FE0E0F" w:rsidP="00FE0E0F">
            <w:pPr>
              <w:spacing w:after="0"/>
              <w:jc w:val="center"/>
            </w:pPr>
            <w:r>
              <w:t>Week 2</w:t>
            </w:r>
          </w:p>
        </w:tc>
        <w:tc>
          <w:tcPr>
            <w:tcW w:w="3140"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63AE5F77" w14:textId="7ECB45F3" w:rsidR="00FE0E0F" w:rsidRDefault="00FE0E0F" w:rsidP="00FE0E0F">
            <w:pPr>
              <w:spacing w:after="0"/>
            </w:pPr>
            <w:r>
              <w:t>Search for and collect academic, professional, and policy-related sources relevant to low-carbon materials, embodied carbon, and early-stage cost planning.</w:t>
            </w:r>
          </w:p>
        </w:tc>
        <w:tc>
          <w:tcPr>
            <w:tcW w:w="3463"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33914DCB" w14:textId="6AFFFEF2" w:rsidR="00FE0E0F" w:rsidRDefault="00FE0E0F" w:rsidP="00FE0E0F">
            <w:pPr>
              <w:spacing w:after="0"/>
            </w:pPr>
            <w:r>
              <w:t>Build a focused body of sources to support the literature review and wider justification for the study.</w:t>
            </w:r>
          </w:p>
        </w:tc>
      </w:tr>
      <w:tr w:rsidR="00FE0E0F" w14:paraId="6D074526" w14:textId="77777777" w:rsidTr="001C5110">
        <w:trPr>
          <w:trHeight w:val="15"/>
          <w:jc w:val="center"/>
        </w:trPr>
        <w:tc>
          <w:tcPr>
            <w:tcW w:w="2609"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1BFF328E" w14:textId="4FEC8EB6" w:rsidR="00FE0E0F" w:rsidRDefault="00FE0E0F" w:rsidP="00FE0E0F">
            <w:pPr>
              <w:spacing w:after="0"/>
            </w:pPr>
            <w:r>
              <w:t>Literature review and gap identification</w:t>
            </w:r>
          </w:p>
        </w:tc>
        <w:tc>
          <w:tcPr>
            <w:tcW w:w="1814"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284330FA" w14:textId="4512C820" w:rsidR="00FE0E0F" w:rsidRDefault="00FE0E0F" w:rsidP="00FE0E0F">
            <w:pPr>
              <w:spacing w:after="0"/>
              <w:jc w:val="center"/>
            </w:pPr>
            <w:r>
              <w:t>Week 3</w:t>
            </w:r>
          </w:p>
        </w:tc>
        <w:tc>
          <w:tcPr>
            <w:tcW w:w="3140"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34BAB3EC" w14:textId="5EB1F3D1" w:rsidR="00FE0E0F" w:rsidRDefault="00FE0E0F" w:rsidP="00FE0E0F">
            <w:pPr>
              <w:spacing w:after="0"/>
            </w:pPr>
            <w:r>
              <w:t>Read, compare, and critically review the selected literature. Identify key themes, debates, and gaps in current research.</w:t>
            </w:r>
          </w:p>
        </w:tc>
        <w:tc>
          <w:tcPr>
            <w:tcW w:w="3463"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79953B0C" w14:textId="12C477B4" w:rsidR="00FE0E0F" w:rsidRDefault="00FE0E0F" w:rsidP="00FE0E0F">
            <w:pPr>
              <w:spacing w:after="0"/>
            </w:pPr>
            <w:r>
              <w:t>Establish what is already known, what remains unclear, and how the proposed study will address the gap.</w:t>
            </w:r>
          </w:p>
        </w:tc>
      </w:tr>
      <w:tr w:rsidR="00FE0E0F" w14:paraId="65BA74E9" w14:textId="77777777" w:rsidTr="001C5110">
        <w:trPr>
          <w:trHeight w:val="838"/>
          <w:jc w:val="center"/>
        </w:trPr>
        <w:tc>
          <w:tcPr>
            <w:tcW w:w="2609"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4AF4C481" w14:textId="6BEE9052" w:rsidR="00FE0E0F" w:rsidRDefault="00FE0E0F" w:rsidP="00FE0E0F">
            <w:pPr>
              <w:spacing w:after="0"/>
            </w:pPr>
            <w:r>
              <w:t>Methodology design</w:t>
            </w:r>
          </w:p>
        </w:tc>
        <w:tc>
          <w:tcPr>
            <w:tcW w:w="1814"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2B2372E3" w14:textId="7FACDB7D" w:rsidR="00FE0E0F" w:rsidRDefault="00FE0E0F" w:rsidP="00FE0E0F">
            <w:pPr>
              <w:spacing w:after="0"/>
              <w:jc w:val="center"/>
            </w:pPr>
            <w:r>
              <w:t>Week 4</w:t>
            </w:r>
          </w:p>
        </w:tc>
        <w:tc>
          <w:tcPr>
            <w:tcW w:w="3140"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09FB4922" w14:textId="69BDBE45" w:rsidR="00FE0E0F" w:rsidRDefault="00FE0E0F" w:rsidP="00FE0E0F">
            <w:pPr>
              <w:spacing w:after="0"/>
            </w:pPr>
            <w:proofErr w:type="spellStart"/>
            <w:r>
              <w:t>Finalise</w:t>
            </w:r>
            <w:proofErr w:type="spellEnd"/>
            <w:r>
              <w:t xml:space="preserve"> the qualitative research design, interpretivist approach, interview method, sampling strategy, and thematic analysis plan. Draft the methodology section.</w:t>
            </w:r>
          </w:p>
        </w:tc>
        <w:tc>
          <w:tcPr>
            <w:tcW w:w="3463"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08314897" w14:textId="440730E8" w:rsidR="00FE0E0F" w:rsidRDefault="00FE0E0F" w:rsidP="00FE0E0F">
            <w:pPr>
              <w:spacing w:after="0"/>
            </w:pPr>
            <w:r>
              <w:t>Ensure the proposed method is appropriate to the research question and feasible within the project timescale.</w:t>
            </w:r>
          </w:p>
        </w:tc>
      </w:tr>
      <w:tr w:rsidR="00FE0E0F" w14:paraId="5FB59AFF" w14:textId="77777777" w:rsidTr="001C5110">
        <w:trPr>
          <w:jc w:val="center"/>
        </w:trPr>
        <w:tc>
          <w:tcPr>
            <w:tcW w:w="2609"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474CC33E" w14:textId="14317516" w:rsidR="00FE0E0F" w:rsidRDefault="00FE0E0F" w:rsidP="00FE0E0F">
            <w:pPr>
              <w:spacing w:after="0"/>
              <w:rPr>
                <w:sz w:val="20"/>
              </w:rPr>
            </w:pPr>
            <w:r>
              <w:t>Interview schedule and ethics preparation</w:t>
            </w:r>
          </w:p>
        </w:tc>
        <w:tc>
          <w:tcPr>
            <w:tcW w:w="1814"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66EAFAD6" w14:textId="7796FD6E" w:rsidR="00FE0E0F" w:rsidRDefault="00FE0E0F" w:rsidP="00FE0E0F">
            <w:pPr>
              <w:spacing w:after="0"/>
              <w:jc w:val="center"/>
              <w:rPr>
                <w:i/>
                <w:color w:val="666666"/>
                <w:sz w:val="20"/>
              </w:rPr>
            </w:pPr>
            <w:r>
              <w:t>Week 5</w:t>
            </w:r>
          </w:p>
        </w:tc>
        <w:tc>
          <w:tcPr>
            <w:tcW w:w="3140"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5FA5D15C" w14:textId="732B5498" w:rsidR="00FE0E0F" w:rsidRDefault="00FE0E0F" w:rsidP="00FE0E0F">
            <w:pPr>
              <w:spacing w:after="0"/>
              <w:rPr>
                <w:i/>
                <w:color w:val="666666"/>
                <w:sz w:val="20"/>
              </w:rPr>
            </w:pPr>
            <w:r>
              <w:t>Prepare semi-structured interview questions, participant information sheet, consent form, and data handling plan. Review ethical issues such as confidentiality, anonymity, and voluntary participation.</w:t>
            </w:r>
          </w:p>
        </w:tc>
        <w:tc>
          <w:tcPr>
            <w:tcW w:w="3463"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775DACA8" w14:textId="5D5038BD" w:rsidR="00FE0E0F" w:rsidRDefault="00FE0E0F" w:rsidP="00FE0E0F">
            <w:pPr>
              <w:spacing w:after="0"/>
            </w:pPr>
            <w:r>
              <w:t>Make sure the study is ethically sound and that the interview schedule is clearly linked to the research objectives.</w:t>
            </w:r>
          </w:p>
        </w:tc>
      </w:tr>
      <w:tr w:rsidR="00FE0E0F" w14:paraId="5426B7E3" w14:textId="77777777" w:rsidTr="001C5110">
        <w:trPr>
          <w:jc w:val="center"/>
        </w:trPr>
        <w:tc>
          <w:tcPr>
            <w:tcW w:w="2609"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7C1A8C28" w14:textId="5BD409F4" w:rsidR="00FE0E0F" w:rsidRDefault="00FE0E0F" w:rsidP="00FE0E0F">
            <w:pPr>
              <w:spacing w:after="0"/>
              <w:rPr>
                <w:sz w:val="20"/>
              </w:rPr>
            </w:pPr>
            <w:r>
              <w:t>Participant recruitment</w:t>
            </w:r>
          </w:p>
        </w:tc>
        <w:tc>
          <w:tcPr>
            <w:tcW w:w="1814"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217FC588" w14:textId="2FD1921F" w:rsidR="00FE0E0F" w:rsidRDefault="00FE0E0F" w:rsidP="00FE0E0F">
            <w:pPr>
              <w:spacing w:after="0"/>
              <w:jc w:val="center"/>
              <w:rPr>
                <w:i/>
                <w:color w:val="666666"/>
                <w:sz w:val="20"/>
              </w:rPr>
            </w:pPr>
            <w:r>
              <w:t>Week 6</w:t>
            </w:r>
          </w:p>
        </w:tc>
        <w:tc>
          <w:tcPr>
            <w:tcW w:w="3140"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3DC9B492" w14:textId="380F24FC" w:rsidR="00FE0E0F" w:rsidRDefault="00FE0E0F" w:rsidP="00FE0E0F">
            <w:pPr>
              <w:spacing w:after="0"/>
              <w:rPr>
                <w:i/>
                <w:color w:val="666666"/>
                <w:sz w:val="20"/>
              </w:rPr>
            </w:pPr>
            <w:r>
              <w:t>Identify suitable participants and make initial contact with quantity surveyors, estimators, cost consultants, project managers, and related professionals involved in UK residential construction.</w:t>
            </w:r>
          </w:p>
        </w:tc>
        <w:tc>
          <w:tcPr>
            <w:tcW w:w="3463"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7E21076C" w14:textId="0CE2390A" w:rsidR="00FE0E0F" w:rsidRDefault="00FE0E0F" w:rsidP="00FE0E0F">
            <w:pPr>
              <w:spacing w:after="0"/>
            </w:pPr>
            <w:r>
              <w:t>Use purposive sampling to recruit participants with relevant early-stage cost planning experience.</w:t>
            </w:r>
          </w:p>
        </w:tc>
      </w:tr>
      <w:tr w:rsidR="00FE0E0F" w14:paraId="42DDFD14" w14:textId="77777777" w:rsidTr="001C5110">
        <w:trPr>
          <w:jc w:val="center"/>
        </w:trPr>
        <w:tc>
          <w:tcPr>
            <w:tcW w:w="2609"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3550C8E5" w14:textId="316E63A4" w:rsidR="00FE0E0F" w:rsidRDefault="00FE0E0F" w:rsidP="00FE0E0F">
            <w:pPr>
              <w:spacing w:after="0"/>
              <w:rPr>
                <w:sz w:val="20"/>
              </w:rPr>
            </w:pPr>
            <w:r>
              <w:t>Recruitment follow-up and interview planning</w:t>
            </w:r>
          </w:p>
        </w:tc>
        <w:tc>
          <w:tcPr>
            <w:tcW w:w="1814"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7737D9D9" w14:textId="303BFED7" w:rsidR="00FE0E0F" w:rsidRDefault="00FE0E0F" w:rsidP="00FE0E0F">
            <w:pPr>
              <w:spacing w:after="0"/>
              <w:jc w:val="center"/>
              <w:rPr>
                <w:i/>
                <w:color w:val="666666"/>
                <w:sz w:val="20"/>
              </w:rPr>
            </w:pPr>
            <w:r>
              <w:t>Week 7</w:t>
            </w:r>
          </w:p>
        </w:tc>
        <w:tc>
          <w:tcPr>
            <w:tcW w:w="3140"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34AD3FCF" w14:textId="53F95024" w:rsidR="00FE0E0F" w:rsidRDefault="00FE0E0F" w:rsidP="00FE0E0F">
            <w:pPr>
              <w:spacing w:after="0"/>
              <w:rPr>
                <w:i/>
                <w:color w:val="666666"/>
                <w:sz w:val="20"/>
              </w:rPr>
            </w:pPr>
            <w:r>
              <w:t xml:space="preserve">Confirm participant availability, arrange interview dates, and </w:t>
            </w:r>
            <w:proofErr w:type="spellStart"/>
            <w:r>
              <w:t>finalise</w:t>
            </w:r>
            <w:proofErr w:type="spellEnd"/>
            <w:r>
              <w:t xml:space="preserve"> the interview timetable.</w:t>
            </w:r>
          </w:p>
        </w:tc>
        <w:tc>
          <w:tcPr>
            <w:tcW w:w="3463"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7575CA47" w14:textId="55F991DA" w:rsidR="00FE0E0F" w:rsidRDefault="00FE0E0F" w:rsidP="00FE0E0F">
            <w:pPr>
              <w:spacing w:after="0"/>
            </w:pPr>
            <w:r>
              <w:t xml:space="preserve">Ensure sufficient access to participants and prepare for data collection in a realistic and </w:t>
            </w:r>
            <w:proofErr w:type="spellStart"/>
            <w:r>
              <w:t>organised</w:t>
            </w:r>
            <w:proofErr w:type="spellEnd"/>
            <w:r>
              <w:t xml:space="preserve"> way.</w:t>
            </w:r>
          </w:p>
        </w:tc>
      </w:tr>
      <w:tr w:rsidR="00FE0E0F" w14:paraId="7F6C98DA" w14:textId="77777777" w:rsidTr="00EB4BA0">
        <w:trPr>
          <w:jc w:val="center"/>
        </w:trPr>
        <w:tc>
          <w:tcPr>
            <w:tcW w:w="2609"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77C1DECC" w14:textId="77777777" w:rsidR="00053E06" w:rsidRDefault="00793476">
            <w:r>
              <w:t>Data collection</w:t>
            </w:r>
          </w:p>
        </w:tc>
        <w:tc>
          <w:tcPr>
            <w:tcW w:w="1814"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638D1E89" w14:textId="77777777" w:rsidR="00053E06" w:rsidRDefault="00793476">
            <w:r>
              <w:t>Weeks 8-9</w:t>
            </w:r>
          </w:p>
        </w:tc>
        <w:tc>
          <w:tcPr>
            <w:tcW w:w="3140"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37D9534C" w14:textId="77777777" w:rsidR="00053E06" w:rsidRDefault="00793476">
            <w:r>
              <w:t>Conduct semi-structured interviews, record responses with participant consent and keep brief field notes after each discussion.</w:t>
            </w:r>
          </w:p>
        </w:tc>
        <w:tc>
          <w:tcPr>
            <w:tcW w:w="3463" w:type="dxa"/>
            <w:tcBorders>
              <w:top w:val="single" w:sz="4" w:space="0" w:color="9CC3E5"/>
              <w:left w:val="single" w:sz="4" w:space="0" w:color="9CC3E5"/>
              <w:bottom w:val="single" w:sz="4" w:space="0" w:color="9CC3E5"/>
              <w:right w:val="single" w:sz="4" w:space="0" w:color="9CC3E5"/>
            </w:tcBorders>
            <w:tcMar>
              <w:top w:w="85" w:type="dxa"/>
              <w:left w:w="90" w:type="dxa"/>
              <w:bottom w:w="85" w:type="dxa"/>
              <w:right w:w="90" w:type="dxa"/>
            </w:tcMar>
            <w:vAlign w:val="center"/>
          </w:tcPr>
          <w:p w14:paraId="275D692C" w14:textId="77777777" w:rsidR="00053E06" w:rsidRDefault="00793476">
            <w:r>
              <w:t>Generate the primary dataset and monitor whether the sample is producing sufficient information-rich insight.</w:t>
            </w:r>
          </w:p>
        </w:tc>
      </w:tr>
      <w:tr w:rsidR="00053E06" w14:paraId="2EEADE94" w14:textId="77777777" w:rsidTr="00EB4BA0">
        <w:trPr>
          <w:jc w:val="center"/>
        </w:trPr>
        <w:tc>
          <w:tcPr>
            <w:tcW w:w="2609" w:type="dxa"/>
            <w:tcBorders>
              <w:top w:val="single" w:sz="4" w:space="0" w:color="9CC3E5"/>
              <w:left w:val="single" w:sz="4" w:space="0" w:color="9CC3E5"/>
              <w:bottom w:val="single" w:sz="4" w:space="0" w:color="9CC3E5"/>
              <w:right w:val="single" w:sz="4" w:space="0" w:color="9CC3E5"/>
            </w:tcBorders>
          </w:tcPr>
          <w:p w14:paraId="4598794D" w14:textId="77777777" w:rsidR="00053E06" w:rsidRDefault="00793476">
            <w:r>
              <w:t>Transcription and familiarisation</w:t>
            </w:r>
          </w:p>
        </w:tc>
        <w:tc>
          <w:tcPr>
            <w:tcW w:w="1814" w:type="dxa"/>
            <w:tcBorders>
              <w:top w:val="single" w:sz="4" w:space="0" w:color="9CC3E5"/>
              <w:left w:val="single" w:sz="4" w:space="0" w:color="9CC3E5"/>
              <w:bottom w:val="single" w:sz="4" w:space="0" w:color="9CC3E5"/>
              <w:right w:val="single" w:sz="4" w:space="0" w:color="9CC3E5"/>
            </w:tcBorders>
          </w:tcPr>
          <w:p w14:paraId="05726148" w14:textId="77777777" w:rsidR="00053E06" w:rsidRDefault="00793476">
            <w:r>
              <w:t>Week 10</w:t>
            </w:r>
          </w:p>
        </w:tc>
        <w:tc>
          <w:tcPr>
            <w:tcW w:w="3140" w:type="dxa"/>
            <w:tcBorders>
              <w:top w:val="single" w:sz="4" w:space="0" w:color="9CC3E5"/>
              <w:left w:val="single" w:sz="4" w:space="0" w:color="9CC3E5"/>
              <w:bottom w:val="single" w:sz="4" w:space="0" w:color="9CC3E5"/>
              <w:right w:val="single" w:sz="4" w:space="0" w:color="9CC3E5"/>
            </w:tcBorders>
          </w:tcPr>
          <w:p w14:paraId="100AC6A0" w14:textId="77777777" w:rsidR="00053E06" w:rsidRDefault="00793476">
            <w:r>
              <w:t>Transcribe interviews, check transcripts for accuracy and read the full dataset repeatedly to identify early patterns and points of contrast.</w:t>
            </w:r>
          </w:p>
        </w:tc>
        <w:tc>
          <w:tcPr>
            <w:tcW w:w="3463" w:type="dxa"/>
            <w:tcBorders>
              <w:top w:val="single" w:sz="4" w:space="0" w:color="9CC3E5"/>
              <w:left w:val="single" w:sz="4" w:space="0" w:color="9CC3E5"/>
              <w:bottom w:val="single" w:sz="4" w:space="0" w:color="9CC3E5"/>
              <w:right w:val="single" w:sz="4" w:space="0" w:color="9CC3E5"/>
            </w:tcBorders>
          </w:tcPr>
          <w:p w14:paraId="087295D6" w14:textId="77777777" w:rsidR="00053E06" w:rsidRDefault="00793476">
            <w:r>
              <w:t>Prepare the dataset for analysis and begin the familiarisation stage required for thematic analysis.</w:t>
            </w:r>
          </w:p>
        </w:tc>
      </w:tr>
      <w:tr w:rsidR="00053E06" w14:paraId="27358E65" w14:textId="77777777" w:rsidTr="00EB4BA0">
        <w:trPr>
          <w:jc w:val="center"/>
        </w:trPr>
        <w:tc>
          <w:tcPr>
            <w:tcW w:w="2609" w:type="dxa"/>
            <w:tcBorders>
              <w:top w:val="single" w:sz="4" w:space="0" w:color="9CC3E5"/>
              <w:left w:val="single" w:sz="4" w:space="0" w:color="9CC3E5"/>
              <w:bottom w:val="single" w:sz="4" w:space="0" w:color="9CC3E5"/>
              <w:right w:val="single" w:sz="4" w:space="0" w:color="9CC3E5"/>
            </w:tcBorders>
          </w:tcPr>
          <w:p w14:paraId="03699136" w14:textId="77777777" w:rsidR="00053E06" w:rsidRDefault="00793476">
            <w:r>
              <w:t>Initial coding and theme development</w:t>
            </w:r>
          </w:p>
        </w:tc>
        <w:tc>
          <w:tcPr>
            <w:tcW w:w="1814" w:type="dxa"/>
            <w:tcBorders>
              <w:top w:val="single" w:sz="4" w:space="0" w:color="9CC3E5"/>
              <w:left w:val="single" w:sz="4" w:space="0" w:color="9CC3E5"/>
              <w:bottom w:val="single" w:sz="4" w:space="0" w:color="9CC3E5"/>
              <w:right w:val="single" w:sz="4" w:space="0" w:color="9CC3E5"/>
            </w:tcBorders>
          </w:tcPr>
          <w:p w14:paraId="03F47600" w14:textId="77777777" w:rsidR="00053E06" w:rsidRDefault="00793476">
            <w:r>
              <w:t>Week 11</w:t>
            </w:r>
          </w:p>
        </w:tc>
        <w:tc>
          <w:tcPr>
            <w:tcW w:w="3140" w:type="dxa"/>
            <w:tcBorders>
              <w:top w:val="single" w:sz="4" w:space="0" w:color="9CC3E5"/>
              <w:left w:val="single" w:sz="4" w:space="0" w:color="9CC3E5"/>
              <w:bottom w:val="single" w:sz="4" w:space="0" w:color="9CC3E5"/>
              <w:right w:val="single" w:sz="4" w:space="0" w:color="9CC3E5"/>
            </w:tcBorders>
          </w:tcPr>
          <w:p w14:paraId="545F8603" w14:textId="77777777" w:rsidR="00053E06" w:rsidRDefault="00793476">
            <w:r>
              <w:t>Assign initial codes to meaningful extracts, compare codes across interviews and group them into broader candidate themes.</w:t>
            </w:r>
          </w:p>
        </w:tc>
        <w:tc>
          <w:tcPr>
            <w:tcW w:w="3463" w:type="dxa"/>
            <w:tcBorders>
              <w:top w:val="single" w:sz="4" w:space="0" w:color="9CC3E5"/>
              <w:left w:val="single" w:sz="4" w:space="0" w:color="9CC3E5"/>
              <w:bottom w:val="single" w:sz="4" w:space="0" w:color="9CC3E5"/>
              <w:right w:val="single" w:sz="4" w:space="0" w:color="9CC3E5"/>
            </w:tcBorders>
          </w:tcPr>
          <w:p w14:paraId="6FA4FAC7" w14:textId="77777777" w:rsidR="00053E06" w:rsidRDefault="00793476">
            <w:r>
              <w:t>Move from raw interview data to a structured analytic framework linked to the research question.</w:t>
            </w:r>
          </w:p>
        </w:tc>
      </w:tr>
      <w:tr w:rsidR="00053E06" w14:paraId="2E4D692E" w14:textId="77777777" w:rsidTr="00EB4BA0">
        <w:trPr>
          <w:jc w:val="center"/>
        </w:trPr>
        <w:tc>
          <w:tcPr>
            <w:tcW w:w="2609" w:type="dxa"/>
            <w:tcBorders>
              <w:top w:val="single" w:sz="4" w:space="0" w:color="9CC3E5"/>
              <w:left w:val="single" w:sz="4" w:space="0" w:color="9CC3E5"/>
              <w:bottom w:val="single" w:sz="4" w:space="0" w:color="9CC3E5"/>
              <w:right w:val="single" w:sz="4" w:space="0" w:color="9CC3E5"/>
            </w:tcBorders>
          </w:tcPr>
          <w:p w14:paraId="4CA473F6" w14:textId="77777777" w:rsidR="00053E06" w:rsidRDefault="00793476">
            <w:r>
              <w:t>Interpretation and chapter drafting</w:t>
            </w:r>
          </w:p>
        </w:tc>
        <w:tc>
          <w:tcPr>
            <w:tcW w:w="1814" w:type="dxa"/>
            <w:tcBorders>
              <w:top w:val="single" w:sz="4" w:space="0" w:color="9CC3E5"/>
              <w:left w:val="single" w:sz="4" w:space="0" w:color="9CC3E5"/>
              <w:bottom w:val="single" w:sz="4" w:space="0" w:color="9CC3E5"/>
              <w:right w:val="single" w:sz="4" w:space="0" w:color="9CC3E5"/>
            </w:tcBorders>
          </w:tcPr>
          <w:p w14:paraId="5C0171D7" w14:textId="77777777" w:rsidR="00053E06" w:rsidRDefault="00793476">
            <w:r>
              <w:t>Week 12</w:t>
            </w:r>
          </w:p>
        </w:tc>
        <w:tc>
          <w:tcPr>
            <w:tcW w:w="3140" w:type="dxa"/>
            <w:tcBorders>
              <w:top w:val="single" w:sz="4" w:space="0" w:color="9CC3E5"/>
              <w:left w:val="single" w:sz="4" w:space="0" w:color="9CC3E5"/>
              <w:bottom w:val="single" w:sz="4" w:space="0" w:color="9CC3E5"/>
              <w:right w:val="single" w:sz="4" w:space="0" w:color="9CC3E5"/>
            </w:tcBorders>
          </w:tcPr>
          <w:p w14:paraId="3E793E44" w14:textId="77777777" w:rsidR="00053E06" w:rsidRDefault="00793476">
            <w:r>
              <w:t>Review and refine themes, interpret the findings against the literature, and draft the findings and discussion sections.</w:t>
            </w:r>
          </w:p>
        </w:tc>
        <w:tc>
          <w:tcPr>
            <w:tcW w:w="3463" w:type="dxa"/>
            <w:tcBorders>
              <w:top w:val="single" w:sz="4" w:space="0" w:color="9CC3E5"/>
              <w:left w:val="single" w:sz="4" w:space="0" w:color="9CC3E5"/>
              <w:bottom w:val="single" w:sz="4" w:space="0" w:color="9CC3E5"/>
              <w:right w:val="single" w:sz="4" w:space="0" w:color="9CC3E5"/>
            </w:tcBorders>
          </w:tcPr>
          <w:p w14:paraId="4C568587" w14:textId="77777777" w:rsidR="00053E06" w:rsidRDefault="00793476">
            <w:r>
              <w:t>Explain what the themes mean rather than only listing them, and relate them back to the proposal objectives.</w:t>
            </w:r>
          </w:p>
        </w:tc>
      </w:tr>
      <w:tr w:rsidR="00053E06" w14:paraId="134B2902" w14:textId="77777777" w:rsidTr="00EB4BA0">
        <w:trPr>
          <w:jc w:val="center"/>
        </w:trPr>
        <w:tc>
          <w:tcPr>
            <w:tcW w:w="2609" w:type="dxa"/>
            <w:tcBorders>
              <w:top w:val="single" w:sz="4" w:space="0" w:color="9CC3E5"/>
              <w:left w:val="single" w:sz="4" w:space="0" w:color="9CC3E5"/>
              <w:bottom w:val="single" w:sz="4" w:space="0" w:color="9CC3E5"/>
              <w:right w:val="single" w:sz="4" w:space="0" w:color="9CC3E5"/>
            </w:tcBorders>
          </w:tcPr>
          <w:p w14:paraId="6AC8DB15" w14:textId="77777777" w:rsidR="00053E06" w:rsidRDefault="00793476">
            <w:r>
              <w:t>Revision, proofreading and final preparation</w:t>
            </w:r>
          </w:p>
        </w:tc>
        <w:tc>
          <w:tcPr>
            <w:tcW w:w="1814" w:type="dxa"/>
            <w:tcBorders>
              <w:top w:val="single" w:sz="4" w:space="0" w:color="9CC3E5"/>
              <w:left w:val="single" w:sz="4" w:space="0" w:color="9CC3E5"/>
              <w:bottom w:val="single" w:sz="4" w:space="0" w:color="9CC3E5"/>
              <w:right w:val="single" w:sz="4" w:space="0" w:color="9CC3E5"/>
            </w:tcBorders>
          </w:tcPr>
          <w:p w14:paraId="36899882" w14:textId="77777777" w:rsidR="00053E06" w:rsidRDefault="00793476">
            <w:r>
              <w:t>Week 13</w:t>
            </w:r>
          </w:p>
        </w:tc>
        <w:tc>
          <w:tcPr>
            <w:tcW w:w="3140" w:type="dxa"/>
            <w:tcBorders>
              <w:top w:val="single" w:sz="4" w:space="0" w:color="9CC3E5"/>
              <w:left w:val="single" w:sz="4" w:space="0" w:color="9CC3E5"/>
              <w:bottom w:val="single" w:sz="4" w:space="0" w:color="9CC3E5"/>
              <w:right w:val="single" w:sz="4" w:space="0" w:color="9CC3E5"/>
            </w:tcBorders>
          </w:tcPr>
          <w:p w14:paraId="57AC9202" w14:textId="77777777" w:rsidR="00053E06" w:rsidRDefault="00793476">
            <w:r>
              <w:t>Revise the full dissertation draft, check consistency between aims, literature, findings and conclusions, and finalise references, appendices and formatting.</w:t>
            </w:r>
          </w:p>
        </w:tc>
        <w:tc>
          <w:tcPr>
            <w:tcW w:w="3463" w:type="dxa"/>
            <w:tcBorders>
              <w:top w:val="single" w:sz="4" w:space="0" w:color="9CC3E5"/>
              <w:left w:val="single" w:sz="4" w:space="0" w:color="9CC3E5"/>
              <w:bottom w:val="single" w:sz="4" w:space="0" w:color="9CC3E5"/>
              <w:right w:val="single" w:sz="4" w:space="0" w:color="9CC3E5"/>
            </w:tcBorders>
          </w:tcPr>
          <w:p w14:paraId="126A4E51" w14:textId="77777777" w:rsidR="00053E06" w:rsidRDefault="00793476">
            <w:r>
              <w:t>Allow time for final quality checks, proof-reading and presentation improvements before submission.</w:t>
            </w:r>
          </w:p>
        </w:tc>
      </w:tr>
    </w:tbl>
    <w:p w14:paraId="3D24075B" w14:textId="77777777" w:rsidR="002334A8" w:rsidRDefault="002334A8">
      <w:pPr>
        <w:spacing w:after="0" w:line="240" w:lineRule="auto"/>
      </w:pPr>
    </w:p>
    <w:p w14:paraId="2A3AF970" w14:textId="77777777" w:rsidR="002334A8" w:rsidRDefault="003674E0">
      <w:pPr>
        <w:pStyle w:val="Heading1"/>
      </w:pPr>
      <w:r>
        <w:t>Expected Outcomes</w:t>
      </w:r>
    </w:p>
    <w:p w14:paraId="6CA49A93" w14:textId="2EDB8027" w:rsidR="00D24237" w:rsidRPr="00D24237" w:rsidRDefault="00D24237" w:rsidP="00D24237">
      <w:pPr>
        <w:spacing w:after="240" w:line="312" w:lineRule="auto"/>
        <w:rPr>
          <w:lang w:val="en-GB"/>
        </w:rPr>
      </w:pPr>
      <w:r w:rsidRPr="00D24237">
        <w:rPr>
          <w:lang w:val="en-GB"/>
        </w:rPr>
        <w:t xml:space="preserve">This study is expected to indicate that low-carbon material selection influences early-stage cost planning in UK residential construction projects. </w:t>
      </w:r>
      <w:r w:rsidR="001C7518" w:rsidRPr="00D24237">
        <w:rPr>
          <w:lang w:val="en-GB"/>
        </w:rPr>
        <w:t>It</w:t>
      </w:r>
      <w:r w:rsidRPr="00D24237">
        <w:rPr>
          <w:lang w:val="en-GB"/>
        </w:rPr>
        <w:t xml:space="preserve"> is anticipated that the use of low-carbon materials may increase complexity during the initial estimating and budgeting stages, especially where pricing information is limited, supplier data is inconsistent, or material performance is less familiar to project teams.</w:t>
      </w:r>
    </w:p>
    <w:p w14:paraId="01CAE78D" w14:textId="77777777" w:rsidR="00D24237" w:rsidRPr="00D24237" w:rsidRDefault="00D24237" w:rsidP="00D24237">
      <w:pPr>
        <w:spacing w:after="240" w:line="312" w:lineRule="auto"/>
        <w:rPr>
          <w:lang w:val="en-GB"/>
        </w:rPr>
      </w:pPr>
      <w:r w:rsidRPr="00D24237">
        <w:rPr>
          <w:lang w:val="en-GB"/>
        </w:rPr>
        <w:t>The research is also expected to suggest that the main challenge is not simply whether low-carbon materials are more expensive than conventional alternatives, but whether they introduce greater uncertainty into budgeting assumptions, forecasting, and overall cost certainty. This is likely to be especially relevant during the early stages of residential projects, when design information is still developing and cost advice is often based on incomplete detail.</w:t>
      </w:r>
    </w:p>
    <w:p w14:paraId="6021C04C" w14:textId="77777777" w:rsidR="00D24237" w:rsidRPr="00D24237" w:rsidRDefault="00D24237" w:rsidP="00D24237">
      <w:pPr>
        <w:spacing w:after="240" w:line="312" w:lineRule="auto"/>
        <w:rPr>
          <w:lang w:val="en-GB"/>
        </w:rPr>
      </w:pPr>
      <w:r w:rsidRPr="00D24237">
        <w:rPr>
          <w:lang w:val="en-GB"/>
        </w:rPr>
        <w:t>In addition, the study may identify several practical factors that affect cost planning decisions, including market availability, limited standardised pricing data, procurement constraints, and the level of professional familiarity with low-carbon options. The findings may also show that quantity surveyors and other construction professionals increasingly need to balance capital cost considerations with wider sustainability goals and client expectations when advising at the pre-contract stage.</w:t>
      </w:r>
    </w:p>
    <w:p w14:paraId="73589DED" w14:textId="14E93D3F" w:rsidR="006E7C93" w:rsidRPr="006E7C93" w:rsidRDefault="00D24237" w:rsidP="00D24237">
      <w:pPr>
        <w:spacing w:after="240" w:line="312" w:lineRule="auto"/>
        <w:rPr>
          <w:lang w:val="en-GB"/>
        </w:rPr>
      </w:pPr>
      <w:r w:rsidRPr="00D24237">
        <w:rPr>
          <w:lang w:val="en-GB"/>
        </w:rPr>
        <w:t>Overall, the study is expected to contribute to a better understanding of how early-stage cost planning can respond to the growing importance of low-carbon construction. The findings may help highlight the need for improved cost data, clearer industry guidance, and greater confidence in evaluating low-carbon material options within UK residential construction projects.</w:t>
      </w:r>
    </w:p>
    <w:p w14:paraId="5C2A39EC" w14:textId="77777777" w:rsidR="003B4B0B" w:rsidRDefault="00793476">
      <w:r>
        <w:t>The anticipated contribution is both practical and academic. Practically, the study may highlight where better benchmark data, earlier supplier engagement, and clearer carbon-cost guidance could improve estimate reliability. Academically, it should add a more practice-based account of cost certainty to a literature that is currently stronger on carbon assessment than on pre-contract commercial decision-making.</w:t>
      </w:r>
    </w:p>
    <w:p w14:paraId="1C36F4BF" w14:textId="77777777" w:rsidR="00227F32" w:rsidRDefault="00227F32">
      <w:pPr>
        <w:spacing w:after="200"/>
        <w:rPr>
          <w:rFonts w:asciiTheme="majorHAnsi" w:eastAsiaTheme="majorEastAsia" w:hAnsiTheme="majorHAnsi" w:cstheme="majorBidi"/>
          <w:b/>
          <w:bCs/>
          <w:color w:val="1F4E79"/>
          <w:sz w:val="30"/>
          <w:szCs w:val="28"/>
        </w:rPr>
      </w:pPr>
      <w:r>
        <w:br w:type="page"/>
      </w:r>
    </w:p>
    <w:p w14:paraId="5286B990" w14:textId="75280AE5" w:rsidR="002334A8" w:rsidRDefault="003674E0">
      <w:pPr>
        <w:pStyle w:val="Heading1"/>
      </w:pPr>
      <w:r>
        <w:lastRenderedPageBreak/>
        <w:t>References</w:t>
      </w:r>
    </w:p>
    <w:p w14:paraId="4570F251" w14:textId="5DADC2B7" w:rsidR="00053E06" w:rsidRDefault="00793476" w:rsidP="00FC5665">
      <w:pPr>
        <w:pStyle w:val="ListParagraph"/>
        <w:numPr>
          <w:ilvl w:val="0"/>
          <w:numId w:val="15"/>
        </w:numPr>
      </w:pPr>
      <w:r>
        <w:t xml:space="preserve">AECOM (2025) The practical, technical and economic impacts of measuring and reducing embodied carbon in new buildings. London: Ministry of Housing, Communities and Local Government. Available at: https://assets.publishing.service.gov.uk/media/6823078e53add7d476d8194c/The_Practical__Technical_and_Economic_Impacts_of_Measuring_and_Reducing_Embodied_Carbon_in_New_Buildings.pdf (Accessed: </w:t>
      </w:r>
      <w:r w:rsidR="00797384">
        <w:t>31 March</w:t>
      </w:r>
      <w:r>
        <w:t xml:space="preserve"> 2026).</w:t>
      </w:r>
    </w:p>
    <w:p w14:paraId="190CD6EF" w14:textId="0B57C6D4" w:rsidR="00053E06" w:rsidRDefault="00793476" w:rsidP="00FC5665">
      <w:pPr>
        <w:pStyle w:val="ListParagraph"/>
        <w:numPr>
          <w:ilvl w:val="0"/>
          <w:numId w:val="15"/>
        </w:numPr>
      </w:pPr>
      <w:r>
        <w:t>Amadi, A.I. (</w:t>
      </w:r>
      <w:proofErr w:type="gramStart"/>
      <w:r>
        <w:t>2024) ‘</w:t>
      </w:r>
      <w:proofErr w:type="gramEnd"/>
      <w:r>
        <w:t xml:space="preserve">Construction economics at early stage: order of cost estimating, life cycle costing and development appraisal of a proposed office complex’, International Journal of Building Pathology and Adaptation. Available at: https://doi.org/10.1108/IJBPA-02-2023-0025 (Accessed: </w:t>
      </w:r>
      <w:r w:rsidR="00797384">
        <w:t>31 March</w:t>
      </w:r>
      <w:r>
        <w:t xml:space="preserve"> 2026).</w:t>
      </w:r>
    </w:p>
    <w:p w14:paraId="1C9E4992" w14:textId="04BC6F9A" w:rsidR="00053E06" w:rsidRDefault="00793476" w:rsidP="00FC5665">
      <w:pPr>
        <w:pStyle w:val="ListParagraph"/>
        <w:numPr>
          <w:ilvl w:val="0"/>
          <w:numId w:val="15"/>
        </w:numPr>
      </w:pPr>
      <w:r>
        <w:t>Braun, V. and Clarke, V. (</w:t>
      </w:r>
      <w:proofErr w:type="gramStart"/>
      <w:r>
        <w:t>2006) ‘</w:t>
      </w:r>
      <w:proofErr w:type="gramEnd"/>
      <w:r>
        <w:t xml:space="preserve">Using thematic analysis in psychology’, Qualitative Research in Psychology, 3(2), pp. 77-101. Available at: https://doi.org/10.1191/1478088706qp063oa (Accessed: </w:t>
      </w:r>
      <w:r w:rsidR="00797384">
        <w:t>31 March</w:t>
      </w:r>
      <w:r>
        <w:t xml:space="preserve"> 2026).</w:t>
      </w:r>
    </w:p>
    <w:p w14:paraId="7F792919" w14:textId="6E7DE80A" w:rsidR="00053E06" w:rsidRDefault="00793476" w:rsidP="00FC5665">
      <w:pPr>
        <w:pStyle w:val="ListParagraph"/>
        <w:numPr>
          <w:ilvl w:val="0"/>
          <w:numId w:val="15"/>
        </w:numPr>
      </w:pPr>
      <w:r>
        <w:t>Braun, V. and Clarke, V. (</w:t>
      </w:r>
      <w:proofErr w:type="gramStart"/>
      <w:r>
        <w:t>2021) ‘</w:t>
      </w:r>
      <w:proofErr w:type="gramEnd"/>
      <w:r>
        <w:t xml:space="preserve">One size </w:t>
      </w:r>
      <w:proofErr w:type="gramStart"/>
      <w:r>
        <w:t>fits</w:t>
      </w:r>
      <w:proofErr w:type="gramEnd"/>
      <w:r>
        <w:t xml:space="preserve"> all? What counts as quality practice in reflexive thematic analysis?’, Qualitative Research in Psychology, 18(3), pp. 328-352. Available at: https://doi.org/10.1080/14780887.2020.1769238 (Accessed: </w:t>
      </w:r>
      <w:r w:rsidR="00797384">
        <w:t>31 March</w:t>
      </w:r>
      <w:r>
        <w:t xml:space="preserve"> 2026).</w:t>
      </w:r>
    </w:p>
    <w:p w14:paraId="662A93B9" w14:textId="633A70D1" w:rsidR="00053E06" w:rsidRDefault="00793476" w:rsidP="00FC5665">
      <w:pPr>
        <w:pStyle w:val="ListParagraph"/>
        <w:numPr>
          <w:ilvl w:val="0"/>
          <w:numId w:val="15"/>
        </w:numPr>
      </w:pPr>
      <w:r>
        <w:t xml:space="preserve">British Sociological Association (2017) Statement of ethical practice. Available at: https://www.britsoc.co.uk/media/24310/bsa_statement_of_ethical_practice.pdf (Accessed: </w:t>
      </w:r>
      <w:r w:rsidR="00797384">
        <w:t>31 March</w:t>
      </w:r>
      <w:r>
        <w:t xml:space="preserve"> 2026).</w:t>
      </w:r>
    </w:p>
    <w:p w14:paraId="0A7212ED" w14:textId="26C4F8E5" w:rsidR="00053E06" w:rsidRDefault="00793476" w:rsidP="00FC5665">
      <w:pPr>
        <w:pStyle w:val="ListParagraph"/>
        <w:numPr>
          <w:ilvl w:val="0"/>
          <w:numId w:val="15"/>
        </w:numPr>
      </w:pPr>
      <w:r>
        <w:t>Chan, M., Masrom, M.A.N. and Yasin, S.S. (</w:t>
      </w:r>
      <w:proofErr w:type="gramStart"/>
      <w:r>
        <w:t>2022) ‘</w:t>
      </w:r>
      <w:proofErr w:type="gramEnd"/>
      <w:r>
        <w:t xml:space="preserve">Selection of low-carbon building materials in construction projects: construction professionals’ perspectives’, Buildings, 12(4), article 486. Available at: https://doi.org/10.3390/buildings12040486 (Accessed: </w:t>
      </w:r>
      <w:r w:rsidR="00797384">
        <w:t>31 March</w:t>
      </w:r>
      <w:r>
        <w:t xml:space="preserve"> 2026).</w:t>
      </w:r>
    </w:p>
    <w:p w14:paraId="554CC518" w14:textId="5AA59160" w:rsidR="00053E06" w:rsidRDefault="00793476" w:rsidP="00FC5665">
      <w:pPr>
        <w:pStyle w:val="ListParagraph"/>
        <w:numPr>
          <w:ilvl w:val="0"/>
          <w:numId w:val="15"/>
        </w:numPr>
      </w:pPr>
      <w:r>
        <w:t xml:space="preserve">DeJonckheere, M. and Vaughn, L.M. (2019) ‘Semistructured interviewing in primary care research: a balance of relationship and rigour’, Family Medicine and Community Health, 7(2), article e000057. Available at: https://doi.org/10.1136/fmch-2018-000057 (Accessed: </w:t>
      </w:r>
      <w:r w:rsidR="00797384">
        <w:t>31 March</w:t>
      </w:r>
      <w:r>
        <w:t xml:space="preserve"> 2026).</w:t>
      </w:r>
    </w:p>
    <w:p w14:paraId="7D320FFE" w14:textId="19E93626" w:rsidR="00053E06" w:rsidRDefault="00793476" w:rsidP="00FC5665">
      <w:pPr>
        <w:pStyle w:val="ListParagraph"/>
        <w:numPr>
          <w:ilvl w:val="0"/>
          <w:numId w:val="15"/>
        </w:numPr>
      </w:pPr>
      <w:r>
        <w:t xml:space="preserve">Department for Environment, Food and Rural Affairs (2025) Timber in construction roadmap 2025. Available at: https://www.gov.uk/government/publications/timber-in-construction-roadmap-2025/timber-in-construction-roadmap-2025 (Accessed: </w:t>
      </w:r>
      <w:r w:rsidR="00797384">
        <w:t>14 April</w:t>
      </w:r>
      <w:r>
        <w:t xml:space="preserve"> 2026).</w:t>
      </w:r>
    </w:p>
    <w:p w14:paraId="049C8128" w14:textId="7E38CABC" w:rsidR="00053E06" w:rsidRDefault="00793476" w:rsidP="00FC5665">
      <w:pPr>
        <w:pStyle w:val="ListParagraph"/>
        <w:numPr>
          <w:ilvl w:val="0"/>
          <w:numId w:val="15"/>
        </w:numPr>
      </w:pPr>
      <w:r>
        <w:t xml:space="preserve">Drewniok, M.P., Cruz Azevedo, J.M., Dunant, C.F., Allwood, J.M., Cullen, J.M., Ibell, T. and Hawkins, W. (2023) ‘Mapping material use and embodied carbon in UK construction’, Resources, Conservation and Recycling, 197, article 107056. Available at: https://doi.org/10.1016/j.resconrec.2023.107056 (Accessed: </w:t>
      </w:r>
      <w:r w:rsidR="00797384">
        <w:t>14 April</w:t>
      </w:r>
      <w:r>
        <w:t xml:space="preserve"> 2026).</w:t>
      </w:r>
    </w:p>
    <w:p w14:paraId="03139501" w14:textId="5189AAF0" w:rsidR="00053E06" w:rsidRDefault="00793476" w:rsidP="00FC5665">
      <w:pPr>
        <w:pStyle w:val="ListParagraph"/>
        <w:numPr>
          <w:ilvl w:val="0"/>
          <w:numId w:val="15"/>
        </w:numPr>
      </w:pPr>
      <w:r>
        <w:t>Fang, D., Brown, N., De Wolf, C. and Mueller, C. (</w:t>
      </w:r>
      <w:proofErr w:type="gramStart"/>
      <w:r>
        <w:t>2023) ‘</w:t>
      </w:r>
      <w:proofErr w:type="gramEnd"/>
      <w:r>
        <w:t xml:space="preserve">Reducing embodied carbon in structural systems: a review of early-stage design strategies’, Journal of Building Engineering, 76, article 107054. Available at: https://doi.org/10.1016/j.jobe.2023.107054 (Accessed: </w:t>
      </w:r>
      <w:r w:rsidR="00797384">
        <w:t>14 April</w:t>
      </w:r>
      <w:r>
        <w:t xml:space="preserve"> 2026).</w:t>
      </w:r>
    </w:p>
    <w:p w14:paraId="2148070E" w14:textId="77777777" w:rsidR="00053E06" w:rsidRDefault="00793476" w:rsidP="00FC5665">
      <w:pPr>
        <w:pStyle w:val="ListParagraph"/>
        <w:numPr>
          <w:ilvl w:val="0"/>
          <w:numId w:val="15"/>
        </w:numPr>
      </w:pPr>
      <w:r>
        <w:t>Giesekam, J., Barrett, J.R. and Taylor, P. (</w:t>
      </w:r>
      <w:proofErr w:type="gramStart"/>
      <w:r>
        <w:t>2016) ‘</w:t>
      </w:r>
      <w:proofErr w:type="gramEnd"/>
      <w:r>
        <w:t>Construction sector views on low carbon building materials’, Building Research &amp; Information, 44(4), pp. 423-444. Available at: https://doi.org/10.1080/09613218.2016.1086872 (Accessed: 20 April 2026).</w:t>
      </w:r>
    </w:p>
    <w:p w14:paraId="634366B3" w14:textId="77777777" w:rsidR="00053E06" w:rsidRDefault="00793476" w:rsidP="00FC5665">
      <w:pPr>
        <w:pStyle w:val="ListParagraph"/>
        <w:numPr>
          <w:ilvl w:val="0"/>
          <w:numId w:val="15"/>
        </w:numPr>
      </w:pPr>
      <w:r>
        <w:t>Hennink, M. and Kaiser, B.N. (</w:t>
      </w:r>
      <w:proofErr w:type="gramStart"/>
      <w:r>
        <w:t>2022) ‘</w:t>
      </w:r>
      <w:proofErr w:type="gramEnd"/>
      <w:r>
        <w:t>Sample sizes for saturation in qualitative research: a systematic review of empirical tests’, Social Science &amp; Medicine, 292, article 114523. Available at: https://doi.org/10.1016/j.socscimed.2021.114523 (Accessed: 20 April 2026).</w:t>
      </w:r>
    </w:p>
    <w:p w14:paraId="2BC7BDDD" w14:textId="77777777" w:rsidR="00053E06" w:rsidRDefault="00793476" w:rsidP="00FC5665">
      <w:pPr>
        <w:pStyle w:val="ListParagraph"/>
        <w:numPr>
          <w:ilvl w:val="0"/>
          <w:numId w:val="15"/>
        </w:numPr>
      </w:pPr>
      <w:r>
        <w:lastRenderedPageBreak/>
        <w:t>Information Commissioner's Office (n.d.) Principles and grounds for processing. Available at: https://ico.org.uk/for-organisations/uk-gdpr-guidance-and-resources/the-research-provisions/principles-and-grounds-for-processing/ (Accessed: 20 April 2026).</w:t>
      </w:r>
    </w:p>
    <w:p w14:paraId="28CBA326" w14:textId="77777777" w:rsidR="00053E06" w:rsidRDefault="00793476" w:rsidP="00FC5665">
      <w:pPr>
        <w:pStyle w:val="ListParagraph"/>
        <w:numPr>
          <w:ilvl w:val="0"/>
          <w:numId w:val="15"/>
        </w:numPr>
      </w:pPr>
      <w:r>
        <w:t>Kallio, H., Pietila, A.-M., Johnson, M. and Kangasniemi, M. (</w:t>
      </w:r>
      <w:proofErr w:type="gramStart"/>
      <w:r>
        <w:t>2016) ‘</w:t>
      </w:r>
      <w:proofErr w:type="gramEnd"/>
      <w:r>
        <w:t>Systematic methodological review: developing a framework for a qualitative semi-structured interview guide’, Journal of Advanced Nursing, 72, pp. 2954-2965. Available at: https://doi.org/10.1111/jan.13031 (Accessed: 20 April 2026).</w:t>
      </w:r>
    </w:p>
    <w:p w14:paraId="273EB6CF" w14:textId="77777777" w:rsidR="00053E06" w:rsidRDefault="00793476" w:rsidP="00FC5665">
      <w:pPr>
        <w:pStyle w:val="ListParagraph"/>
        <w:numPr>
          <w:ilvl w:val="0"/>
          <w:numId w:val="15"/>
        </w:numPr>
      </w:pPr>
      <w:r>
        <w:t>Keyhani, M., Abbaspour, A., Bahadori-Jahromi, A., Mylona, A., Janbey, A., Godfrey, P. and Zhang, H. (2023) ‘Whole life carbon assessment of a typical UK residential building using different embodied carbon data sources’, Sustainability, 15(6), article 5115. Available at: https://doi.org/10.3390/su15065115 (Accessed: 20 April 2026).</w:t>
      </w:r>
    </w:p>
    <w:p w14:paraId="2BF7DA0C" w14:textId="77777777" w:rsidR="00053E06" w:rsidRDefault="00793476" w:rsidP="00FC5665">
      <w:pPr>
        <w:pStyle w:val="ListParagraph"/>
        <w:numPr>
          <w:ilvl w:val="0"/>
          <w:numId w:val="15"/>
        </w:numPr>
      </w:pPr>
      <w:r>
        <w:t>Khan, L., Tong, N. and Phung, Q.A. (</w:t>
      </w:r>
      <w:proofErr w:type="gramStart"/>
      <w:r>
        <w:t>2024) ‘</w:t>
      </w:r>
      <w:proofErr w:type="gramEnd"/>
      <w:r>
        <w:t>Isn't it time for quantity surveyors to contribute to sustainability?’, International Journal of Sustainable Construction Engineering and Technology, 15(3), pp. 1-10. Available at: https://publisher.uthm.edu.my/ojs/index.php/IJSCET/article/view/19737 (Accessed: 20 April 2026).</w:t>
      </w:r>
    </w:p>
    <w:p w14:paraId="5E74D6B3" w14:textId="77777777" w:rsidR="00053E06" w:rsidRDefault="00793476" w:rsidP="00FC5665">
      <w:pPr>
        <w:pStyle w:val="ListParagraph"/>
        <w:numPr>
          <w:ilvl w:val="0"/>
          <w:numId w:val="15"/>
        </w:numPr>
      </w:pPr>
      <w:r>
        <w:t>Malterud, K., Siersma, V.D. and Guassora, A.D. (</w:t>
      </w:r>
      <w:proofErr w:type="gramStart"/>
      <w:r>
        <w:t>2016) ‘</w:t>
      </w:r>
      <w:proofErr w:type="gramEnd"/>
      <w:r>
        <w:t>Sample size in qualitative interview studies: guided by information power’, Qualitative Health Research, 26(13), pp. 1753-1760. Available at: https://doi.org/10.1177/1049732315617444 (Accessed: 20 April 2026).</w:t>
      </w:r>
    </w:p>
    <w:p w14:paraId="435D70C9" w14:textId="77777777" w:rsidR="00053E06" w:rsidRDefault="00793476" w:rsidP="00FC5665">
      <w:pPr>
        <w:pStyle w:val="ListParagraph"/>
        <w:numPr>
          <w:ilvl w:val="0"/>
          <w:numId w:val="15"/>
        </w:numPr>
      </w:pPr>
      <w:r>
        <w:t>Morris, F., Allen, S. and Hawkins, W. (</w:t>
      </w:r>
      <w:proofErr w:type="gramStart"/>
      <w:r>
        <w:t>2021) ‘</w:t>
      </w:r>
      <w:proofErr w:type="gramEnd"/>
      <w:r>
        <w:t>On the embodied carbon of structural timber versus steel, and the influence of LCA methodology’, Building and Environment, 206, article 108285. Available at: https://doi.org/10.1016/j.buildenv.2021.108285 (Accessed: 20 April 2026).</w:t>
      </w:r>
    </w:p>
    <w:p w14:paraId="72BCAE1A" w14:textId="77777777" w:rsidR="00053E06" w:rsidRDefault="00793476" w:rsidP="00FC5665">
      <w:pPr>
        <w:pStyle w:val="ListParagraph"/>
        <w:numPr>
          <w:ilvl w:val="0"/>
          <w:numId w:val="15"/>
        </w:numPr>
      </w:pPr>
      <w:r>
        <w:t>Nowell, L.S., Norris, J.M., White, D.E. and Moules, N.J. (</w:t>
      </w:r>
      <w:proofErr w:type="gramStart"/>
      <w:r>
        <w:t>2017) ‘</w:t>
      </w:r>
      <w:proofErr w:type="gramEnd"/>
      <w:r>
        <w:t>Thematic analysis: striving to meet the trustworthiness criteria’, International Journal of Qualitative Methods, 16(1), pp. 1-13. Available at: https://doi.org/10.1177/1609406917733847 (Accessed: 20 April 2026).</w:t>
      </w:r>
    </w:p>
    <w:p w14:paraId="4B70088A" w14:textId="77777777" w:rsidR="00053E06" w:rsidRDefault="00793476" w:rsidP="00FC5665">
      <w:pPr>
        <w:pStyle w:val="ListParagraph"/>
        <w:numPr>
          <w:ilvl w:val="0"/>
          <w:numId w:val="15"/>
        </w:numPr>
      </w:pPr>
      <w:r>
        <w:t>Palinkas, L.A., Horwitz, S.M., Green, C.A., Wisdom, J.P., Duan, N. and Hoagwood, K. (2015) ‘Purposeful sampling for qualitative data collection and analysis in mixed method implementation research’, Administration and Policy in Mental Health and Mental Health Services Research, 42(5), pp. 533-544. Available at: https://doi.org/10.1007/s10488-013-0528-y (Accessed: 20 April 2026).</w:t>
      </w:r>
    </w:p>
    <w:p w14:paraId="240481F5" w14:textId="77777777" w:rsidR="00053E06" w:rsidRDefault="00793476" w:rsidP="00FC5665">
      <w:pPr>
        <w:pStyle w:val="ListParagraph"/>
        <w:numPr>
          <w:ilvl w:val="0"/>
          <w:numId w:val="15"/>
        </w:numPr>
      </w:pPr>
      <w:r>
        <w:t>RICS (2021) NRM 1: Order of cost estimating and cost planning for capital building works. 3rd edn. Available at: https://www.rics.org/content/dam/ricsglobal/documents/standards/october_2021_nrm_1.pdf (Accessed: 20 April 2026).</w:t>
      </w:r>
    </w:p>
    <w:p w14:paraId="5BFA5617" w14:textId="77777777" w:rsidR="00053E06" w:rsidRDefault="00793476" w:rsidP="00FC5665">
      <w:pPr>
        <w:pStyle w:val="ListParagraph"/>
        <w:numPr>
          <w:ilvl w:val="0"/>
          <w:numId w:val="15"/>
        </w:numPr>
      </w:pPr>
      <w:r>
        <w:t>RICS (2023) Whole life carbon assessment for the built environment. 2nd edn. Available at: https://www.rics.org/content/dam/ricsglobal/documents/standards/Whole_life_carbon_assessment_PS_Sept23.pdf (Accessed: 20 April 2026).</w:t>
      </w:r>
    </w:p>
    <w:p w14:paraId="2DC59223" w14:textId="77777777" w:rsidR="00053E06" w:rsidRDefault="00793476" w:rsidP="00FC5665">
      <w:pPr>
        <w:pStyle w:val="ListParagraph"/>
        <w:numPr>
          <w:ilvl w:val="0"/>
          <w:numId w:val="15"/>
        </w:numPr>
      </w:pPr>
      <w:r>
        <w:t>RICS (2024) Cost prediction. Available at: https://www.rics.org/content/dam/ricsglobal/documents/standards/19_nov_2020_cost_prediction_ps_1st_edition.pdf (Accessed: 20 April 2026).</w:t>
      </w:r>
    </w:p>
    <w:p w14:paraId="0F842421" w14:textId="77777777" w:rsidR="00053E06" w:rsidRDefault="00793476" w:rsidP="00FC5665">
      <w:pPr>
        <w:pStyle w:val="ListParagraph"/>
        <w:numPr>
          <w:ilvl w:val="0"/>
          <w:numId w:val="15"/>
        </w:numPr>
      </w:pPr>
      <w:r>
        <w:t>RICS (2025) Life cycle costing. Reissue of 1st edn, originally published 2016. Available at: https://www.rics.org/content/dam/ricsglobal/documents/standards/Life-cycle-costing_1st-edition.pdf (Accessed: 20 April 2026).</w:t>
      </w:r>
    </w:p>
    <w:p w14:paraId="5B6AD08A" w14:textId="77777777" w:rsidR="00053E06" w:rsidRDefault="00793476" w:rsidP="00FC5665">
      <w:pPr>
        <w:pStyle w:val="ListParagraph"/>
        <w:numPr>
          <w:ilvl w:val="0"/>
          <w:numId w:val="15"/>
        </w:numPr>
      </w:pPr>
      <w:r>
        <w:lastRenderedPageBreak/>
        <w:t>Roberts, M., Allen, S. and Coley, D. (</w:t>
      </w:r>
      <w:proofErr w:type="gramStart"/>
      <w:r>
        <w:t>2020) ‘</w:t>
      </w:r>
      <w:proofErr w:type="gramEnd"/>
      <w:r>
        <w:t>Life cycle assessment in the building design process - a systematic literature review’, Building and Environment, 185, article 107274. Available at: https://doi.org/10.1016/j.buildenv.2020.107274 (Accessed: 20 April 2026).</w:t>
      </w:r>
    </w:p>
    <w:p w14:paraId="2BCF3412" w14:textId="77777777" w:rsidR="00053E06" w:rsidRDefault="00793476" w:rsidP="00FC5665">
      <w:pPr>
        <w:pStyle w:val="ListParagraph"/>
        <w:numPr>
          <w:ilvl w:val="0"/>
          <w:numId w:val="15"/>
        </w:numPr>
      </w:pPr>
      <w:r>
        <w:t>Röck, M., Ruschi Mendes Saade, M., Balouktsi, M., Rasmussen, F.N., Birgisdottir, H., Frischknecht, R., Habert, G., Lutzkendorf, T. and Passer, A. (</w:t>
      </w:r>
      <w:proofErr w:type="gramStart"/>
      <w:r>
        <w:t>2020) ‘</w:t>
      </w:r>
      <w:proofErr w:type="gramEnd"/>
      <w:r>
        <w:t>Embodied GHG emissions of buildings - the hidden challenge for effective climate change mitigation’, Applied Energy, 258, article 114107. Available at: https://doi.org/10.1016/j.apenergy.2019.114107 (Accessed: 20 April 2026).</w:t>
      </w:r>
    </w:p>
    <w:p w14:paraId="470D6CA2" w14:textId="77777777" w:rsidR="00053E06" w:rsidRDefault="00793476" w:rsidP="00FC5665">
      <w:pPr>
        <w:pStyle w:val="ListParagraph"/>
        <w:numPr>
          <w:ilvl w:val="0"/>
          <w:numId w:val="15"/>
        </w:numPr>
      </w:pPr>
      <w:r>
        <w:t>Ryan, G. (</w:t>
      </w:r>
      <w:proofErr w:type="gramStart"/>
      <w:r>
        <w:t>2018) ‘</w:t>
      </w:r>
      <w:proofErr w:type="gramEnd"/>
      <w:r>
        <w:t>Introduction to positivism, interpretivism and critical theory’, Nurse Researcher, 25(4), pp. 41-49. Available at: https://doi.org/10.7748/nr.2018.e1466 (Accessed: 20 April 2026).</w:t>
      </w:r>
    </w:p>
    <w:p w14:paraId="690D5160" w14:textId="77777777" w:rsidR="00053E06" w:rsidRDefault="00793476" w:rsidP="00FC5665">
      <w:pPr>
        <w:pStyle w:val="ListParagraph"/>
        <w:numPr>
          <w:ilvl w:val="0"/>
          <w:numId w:val="15"/>
        </w:numPr>
      </w:pPr>
      <w:r>
        <w:t>Solera Jimenez, M., Cortesao, J., Lenzholzer, S. and Walker, R. (</w:t>
      </w:r>
      <w:proofErr w:type="gramStart"/>
      <w:r>
        <w:t>2023) ‘</w:t>
      </w:r>
      <w:proofErr w:type="gramEnd"/>
      <w:r>
        <w:t>Early-stage design of a low-embodied carbon and cost-effective green facade system’, Journal of Building Engineering, 72, article 106588. Available at: https://doi.org/10.1016/j.jobe.2023.106588 (Accessed: 20 April 2026).</w:t>
      </w:r>
    </w:p>
    <w:p w14:paraId="3EF7B780" w14:textId="77777777" w:rsidR="00053E06" w:rsidRDefault="00793476" w:rsidP="00FC5665">
      <w:pPr>
        <w:pStyle w:val="ListParagraph"/>
        <w:numPr>
          <w:ilvl w:val="0"/>
          <w:numId w:val="15"/>
        </w:numPr>
      </w:pPr>
      <w:r>
        <w:t>Tomaszewski, L.E., Zarestky, J. and Gonzalez, E. (</w:t>
      </w:r>
      <w:proofErr w:type="gramStart"/>
      <w:r>
        <w:t>2020) ‘</w:t>
      </w:r>
      <w:proofErr w:type="gramEnd"/>
      <w:r>
        <w:t>Planning qualitative research: design and decision making for new researchers’, International Journal of Qualitative Methods, 19, pp. 1-7. Available at: https://doi.org/10.1177/1609406920967174 (Accessed: 20 April 2026).</w:t>
      </w:r>
    </w:p>
    <w:p w14:paraId="40478B5B" w14:textId="77777777" w:rsidR="00053E06" w:rsidRDefault="00793476" w:rsidP="00FC5665">
      <w:pPr>
        <w:pStyle w:val="ListParagraph"/>
        <w:numPr>
          <w:ilvl w:val="0"/>
          <w:numId w:val="15"/>
        </w:numPr>
      </w:pPr>
      <w:r>
        <w:t>Tong, A., Sainsbury, P. and Craig, J. (</w:t>
      </w:r>
      <w:proofErr w:type="gramStart"/>
      <w:r>
        <w:t>2007) ‘</w:t>
      </w:r>
      <w:proofErr w:type="gramEnd"/>
      <w:r>
        <w:t>Consolidated criteria for reporting qualitative research: a 32-item checklist for interviews and focus groups’, International Journal for Quality in Health Care, 19(6), pp. 349-357. Available at: https://doi.org/10.1093/intqhc/mzm042 (Accessed: 20 April 2026).</w:t>
      </w:r>
    </w:p>
    <w:p w14:paraId="13BA0471" w14:textId="77777777" w:rsidR="00053E06" w:rsidRDefault="00793476" w:rsidP="00FC5665">
      <w:pPr>
        <w:pStyle w:val="ListParagraph"/>
        <w:numPr>
          <w:ilvl w:val="0"/>
          <w:numId w:val="15"/>
        </w:numPr>
      </w:pPr>
      <w:r>
        <w:t>Torabi, M. and Evins, R. (</w:t>
      </w:r>
      <w:proofErr w:type="gramStart"/>
      <w:r>
        <w:t>2025) ‘</w:t>
      </w:r>
      <w:proofErr w:type="gramEnd"/>
      <w:r>
        <w:t>Towards net-zero carbon buildings: investigating the impact of early-stage structure design on building embodied carbon’, The International Journal of Life Cycle Assessment, 30, pp. 2374-2389. Available at: https://doi.org/10.1007/s11367-024-02287-w (Accessed: 20 April 2026).</w:t>
      </w:r>
    </w:p>
    <w:p w14:paraId="6249297B" w14:textId="77777777" w:rsidR="00053E06" w:rsidRDefault="00793476" w:rsidP="00FC5665">
      <w:pPr>
        <w:pStyle w:val="ListParagraph"/>
        <w:numPr>
          <w:ilvl w:val="0"/>
          <w:numId w:val="15"/>
        </w:numPr>
      </w:pPr>
      <w:r>
        <w:t>UK Government, Department for Business, Energy and Industrial Strategy (2022) Building for 2050: Low cost, low carbon homes. Available at: https://www.gov.uk/government/publications/building-for-2050/building-for-2050-low-cost-low-carbon-homes (Accessed: 20 April 2026).</w:t>
      </w:r>
    </w:p>
    <w:p w14:paraId="2BC949FF" w14:textId="77777777" w:rsidR="00053E06" w:rsidRDefault="00793476" w:rsidP="00FC5665">
      <w:pPr>
        <w:pStyle w:val="ListParagraph"/>
        <w:numPr>
          <w:ilvl w:val="0"/>
          <w:numId w:val="15"/>
        </w:numPr>
      </w:pPr>
      <w:r>
        <w:t>UK Green Building Council (</w:t>
      </w:r>
      <w:proofErr w:type="gramStart"/>
      <w:r>
        <w:t>2025) ‘</w:t>
      </w:r>
      <w:proofErr w:type="gramEnd"/>
      <w:r>
        <w:t>Taking action for consistent early-stage embodied carbon measurement’. Available at: https://ukgbc.org/news/taking-action-for-consistent-early-stage-embodied-carbon-measurement/ (Accessed: 20 April 2026).</w:t>
      </w:r>
    </w:p>
    <w:p w14:paraId="64288E35" w14:textId="77777777" w:rsidR="00053E06" w:rsidRDefault="00793476" w:rsidP="00FC5665">
      <w:pPr>
        <w:pStyle w:val="ListParagraph"/>
        <w:numPr>
          <w:ilvl w:val="0"/>
          <w:numId w:val="15"/>
        </w:numPr>
      </w:pPr>
      <w:r>
        <w:t>UK Research and Innovation (n.d.) Research ethics guidance - ESRC. Available at: https://www.ukri.org/councils/esrc/guidance-for-applicants/research-ethics-guidance/ (Accessed: 20 April 2026).</w:t>
      </w:r>
    </w:p>
    <w:p w14:paraId="02E4678A" w14:textId="77777777" w:rsidR="00053E06" w:rsidRDefault="00793476" w:rsidP="00FC5665">
      <w:pPr>
        <w:pStyle w:val="ListParagraph"/>
        <w:numPr>
          <w:ilvl w:val="0"/>
          <w:numId w:val="15"/>
        </w:numPr>
        <w:spacing w:before="120"/>
        <w:ind w:left="714" w:hanging="357"/>
      </w:pPr>
      <w:r>
        <w:t>Victoria, M.F. and Perera, S. (</w:t>
      </w:r>
      <w:proofErr w:type="gramStart"/>
      <w:r>
        <w:t>2018) ‘</w:t>
      </w:r>
      <w:proofErr w:type="gramEnd"/>
      <w:r>
        <w:t>Parametric embodied carbon prediction model for early stage estimating’, Energy and Buildings, 168, pp. 106-119. Available at: https://doi.org/10.1016/j.enbuild.2018.02.044 (Accessed: 20 April 2026).</w:t>
      </w:r>
    </w:p>
    <w:p w14:paraId="0F64DC46" w14:textId="77777777" w:rsidR="00053E06" w:rsidRDefault="00793476" w:rsidP="00FC5665">
      <w:pPr>
        <w:pStyle w:val="ListParagraph"/>
        <w:numPr>
          <w:ilvl w:val="0"/>
          <w:numId w:val="15"/>
        </w:numPr>
      </w:pPr>
      <w:r>
        <w:t>Zhang, C., Hu, M., Laclau, B., Garnesson, T., Yang, X., Li, C. and Tukker, A. (2021) ‘Environmental life cycle costing at the early stage for supporting cost optimization of precast concrete panel for energy renovation of existing buildings’, Journal of Building Engineering, 35, article 102002. Available at: https://doi.org/10.1016/j.jobe.2020.102002 (Accessed: 20 April 2026).</w:t>
      </w:r>
    </w:p>
    <w:sectPr w:rsidR="00053E06" w:rsidSect="00034616">
      <w:headerReference w:type="default" r:id="rId8"/>
      <w:footerReference w:type="default" r:id="rId9"/>
      <w:pgSz w:w="11906" w:h="16838"/>
      <w:pgMar w:top="1247" w:right="1247" w:bottom="1134" w:left="1247"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E88367" w14:textId="77777777" w:rsidR="00575C1E" w:rsidRDefault="00575C1E">
      <w:pPr>
        <w:spacing w:after="0" w:line="240" w:lineRule="auto"/>
      </w:pPr>
      <w:r>
        <w:separator/>
      </w:r>
    </w:p>
  </w:endnote>
  <w:endnote w:type="continuationSeparator" w:id="0">
    <w:p w14:paraId="75512E7A" w14:textId="77777777" w:rsidR="00575C1E" w:rsidRDefault="00575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5CC6BC" w14:textId="77777777" w:rsidR="002334A8" w:rsidRDefault="003674E0">
    <w:pPr>
      <w:pStyle w:val="Footer"/>
      <w:jc w:val="center"/>
    </w:pPr>
    <w:r>
      <w:rPr>
        <w:color w:val="2F5D8A"/>
        <w:sz w:val="18"/>
      </w:rPr>
      <w:t xml:space="preserve">Page </w:t>
    </w:r>
    <w:r>
      <w:fldChar w:fldCharType="begin"/>
    </w:r>
    <w:r>
      <w:instrText xml:space="preserve"> PAGE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22FD30" w14:textId="77777777" w:rsidR="00575C1E" w:rsidRDefault="00575C1E">
      <w:pPr>
        <w:spacing w:after="0" w:line="240" w:lineRule="auto"/>
      </w:pPr>
      <w:r>
        <w:separator/>
      </w:r>
    </w:p>
  </w:footnote>
  <w:footnote w:type="continuationSeparator" w:id="0">
    <w:p w14:paraId="13A2FA43" w14:textId="77777777" w:rsidR="00575C1E" w:rsidRDefault="00575C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5E3A6" w14:textId="77777777" w:rsidR="002334A8" w:rsidRDefault="002334A8">
    <w:pPr>
      <w:pStyle w:val="Header"/>
    </w:pPr>
  </w:p>
  <w:tbl>
    <w:tblPr>
      <w:tblW w:w="0" w:type="auto"/>
      <w:jc w:val="center"/>
      <w:tblLayout w:type="fixed"/>
      <w:tblLook w:val="04A0" w:firstRow="1" w:lastRow="0" w:firstColumn="1" w:lastColumn="0" w:noHBand="0" w:noVBand="1"/>
    </w:tblPr>
    <w:tblGrid>
      <w:gridCol w:w="6624"/>
      <w:gridCol w:w="2448"/>
    </w:tblGrid>
    <w:tr w:rsidR="002334A8" w14:paraId="06580247" w14:textId="77777777">
      <w:trPr>
        <w:jc w:val="center"/>
      </w:trPr>
      <w:tc>
        <w:tcPr>
          <w:tcW w:w="6624" w:type="dxa"/>
          <w:tcBorders>
            <w:top w:val="nil"/>
            <w:left w:val="nil"/>
            <w:bottom w:val="single" w:sz="8" w:space="0" w:color="9CC3E5"/>
            <w:right w:val="nil"/>
          </w:tcBorders>
          <w:tcMar>
            <w:top w:w="20" w:type="dxa"/>
            <w:left w:w="0" w:type="dxa"/>
            <w:bottom w:w="20" w:type="dxa"/>
            <w:right w:w="0" w:type="dxa"/>
          </w:tcMar>
        </w:tcPr>
        <w:p w14:paraId="261B4560" w14:textId="546F7E64" w:rsidR="0056239A" w:rsidRPr="0056239A" w:rsidRDefault="003674E0">
          <w:pPr>
            <w:spacing w:after="0" w:line="240" w:lineRule="auto"/>
            <w:rPr>
              <w:b/>
              <w:color w:val="2F5D8A"/>
              <w:sz w:val="18"/>
            </w:rPr>
          </w:pPr>
          <w:r>
            <w:rPr>
              <w:b/>
              <w:color w:val="2F5D8A"/>
              <w:sz w:val="18"/>
            </w:rPr>
            <w:t>Research Proposal</w:t>
          </w:r>
          <w:r w:rsidR="0056239A">
            <w:rPr>
              <w:b/>
              <w:color w:val="2F5D8A"/>
              <w:sz w:val="18"/>
            </w:rPr>
            <w:t xml:space="preserve"> – AS1</w:t>
          </w:r>
        </w:p>
      </w:tc>
      <w:tc>
        <w:tcPr>
          <w:tcW w:w="2448" w:type="dxa"/>
          <w:tcBorders>
            <w:top w:val="nil"/>
            <w:left w:val="nil"/>
            <w:bottom w:val="single" w:sz="8" w:space="0" w:color="9CC3E5"/>
            <w:right w:val="nil"/>
          </w:tcBorders>
          <w:tcMar>
            <w:top w:w="20" w:type="dxa"/>
            <w:left w:w="0" w:type="dxa"/>
            <w:bottom w:w="20" w:type="dxa"/>
            <w:right w:w="0" w:type="dxa"/>
          </w:tcMar>
        </w:tcPr>
        <w:p w14:paraId="7F414744" w14:textId="77777777" w:rsidR="002334A8" w:rsidRDefault="003674E0">
          <w:pPr>
            <w:spacing w:after="0" w:line="240" w:lineRule="auto"/>
            <w:jc w:val="right"/>
          </w:pPr>
          <w:r>
            <w:rPr>
              <w:b/>
              <w:color w:val="2F5D8A"/>
              <w:sz w:val="18"/>
            </w:rPr>
            <w:t>ACBA5024</w: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EEA6FD1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8D392C"/>
    <w:multiLevelType w:val="hybridMultilevel"/>
    <w:tmpl w:val="3A0078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CB976F5"/>
    <w:multiLevelType w:val="hybridMultilevel"/>
    <w:tmpl w:val="51882A74"/>
    <w:lvl w:ilvl="0" w:tplc="AAF04010">
      <w:start w:val="1"/>
      <w:numFmt w:val="decimal"/>
      <w:lvlText w:val="%1."/>
      <w:lvlJc w:val="left"/>
      <w:pPr>
        <w:ind w:left="720" w:hanging="360"/>
      </w:pPr>
      <w:rPr>
        <w:rFonts w:hint="default"/>
        <w:i/>
        <w:color w:val="66666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77298D"/>
    <w:multiLevelType w:val="hybridMultilevel"/>
    <w:tmpl w:val="5E92917C"/>
    <w:lvl w:ilvl="0" w:tplc="AAF04010">
      <w:start w:val="1"/>
      <w:numFmt w:val="decimal"/>
      <w:lvlText w:val="%1."/>
      <w:lvlJc w:val="left"/>
      <w:pPr>
        <w:ind w:left="720" w:hanging="360"/>
      </w:pPr>
      <w:rPr>
        <w:rFonts w:hint="default"/>
        <w:i/>
        <w:color w:val="66666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0A05AF"/>
    <w:multiLevelType w:val="hybridMultilevel"/>
    <w:tmpl w:val="8A64AB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63100366">
    <w:abstractNumId w:val="8"/>
  </w:num>
  <w:num w:numId="2" w16cid:durableId="1928028263">
    <w:abstractNumId w:val="6"/>
  </w:num>
  <w:num w:numId="3" w16cid:durableId="612054985">
    <w:abstractNumId w:val="5"/>
  </w:num>
  <w:num w:numId="4" w16cid:durableId="1091388219">
    <w:abstractNumId w:val="4"/>
  </w:num>
  <w:num w:numId="5" w16cid:durableId="775909662">
    <w:abstractNumId w:val="7"/>
  </w:num>
  <w:num w:numId="6" w16cid:durableId="1049887542">
    <w:abstractNumId w:val="3"/>
  </w:num>
  <w:num w:numId="7" w16cid:durableId="461701890">
    <w:abstractNumId w:val="2"/>
  </w:num>
  <w:num w:numId="8" w16cid:durableId="1132017054">
    <w:abstractNumId w:val="1"/>
  </w:num>
  <w:num w:numId="9" w16cid:durableId="424423253">
    <w:abstractNumId w:val="0"/>
  </w:num>
  <w:num w:numId="10" w16cid:durableId="2146123438">
    <w:abstractNumId w:val="10"/>
  </w:num>
  <w:num w:numId="11" w16cid:durableId="880899608">
    <w:abstractNumId w:val="11"/>
  </w:num>
  <w:num w:numId="12" w16cid:durableId="721249602">
    <w:abstractNumId w:val="12"/>
  </w:num>
  <w:num w:numId="13" w16cid:durableId="672148240">
    <w:abstractNumId w:val="7"/>
  </w:num>
  <w:num w:numId="14" w16cid:durableId="618606230">
    <w:abstractNumId w:val="7"/>
  </w:num>
  <w:num w:numId="15" w16cid:durableId="242683287">
    <w:abstractNumId w:val="9"/>
  </w:num>
  <w:num w:numId="16" w16cid:durableId="1862696799">
    <w:abstractNumId w:val="7"/>
  </w:num>
  <w:num w:numId="17" w16cid:durableId="15894572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20FD1"/>
    <w:rsid w:val="00034616"/>
    <w:rsid w:val="00043D61"/>
    <w:rsid w:val="00053E06"/>
    <w:rsid w:val="0006063C"/>
    <w:rsid w:val="000751A4"/>
    <w:rsid w:val="00086D81"/>
    <w:rsid w:val="0009572E"/>
    <w:rsid w:val="000E010C"/>
    <w:rsid w:val="000F7FDC"/>
    <w:rsid w:val="00105C01"/>
    <w:rsid w:val="001075D4"/>
    <w:rsid w:val="00115EC9"/>
    <w:rsid w:val="0011710C"/>
    <w:rsid w:val="0015074B"/>
    <w:rsid w:val="00156AE1"/>
    <w:rsid w:val="00190CA9"/>
    <w:rsid w:val="00193660"/>
    <w:rsid w:val="001C5110"/>
    <w:rsid w:val="001C7518"/>
    <w:rsid w:val="00227F32"/>
    <w:rsid w:val="002334A8"/>
    <w:rsid w:val="00262C55"/>
    <w:rsid w:val="0029639D"/>
    <w:rsid w:val="002A1B66"/>
    <w:rsid w:val="002F4C65"/>
    <w:rsid w:val="00307E52"/>
    <w:rsid w:val="003257E1"/>
    <w:rsid w:val="00326F90"/>
    <w:rsid w:val="0033254F"/>
    <w:rsid w:val="00353DE7"/>
    <w:rsid w:val="003674E0"/>
    <w:rsid w:val="003706ED"/>
    <w:rsid w:val="003B1E9D"/>
    <w:rsid w:val="003B4B0B"/>
    <w:rsid w:val="003E5E0F"/>
    <w:rsid w:val="004018F0"/>
    <w:rsid w:val="00401DB6"/>
    <w:rsid w:val="004106EF"/>
    <w:rsid w:val="00436DF8"/>
    <w:rsid w:val="004A452A"/>
    <w:rsid w:val="004A5E3D"/>
    <w:rsid w:val="004F2106"/>
    <w:rsid w:val="005021EB"/>
    <w:rsid w:val="0053013C"/>
    <w:rsid w:val="0056239A"/>
    <w:rsid w:val="00575C1E"/>
    <w:rsid w:val="00591F62"/>
    <w:rsid w:val="005C3495"/>
    <w:rsid w:val="00626456"/>
    <w:rsid w:val="006C0869"/>
    <w:rsid w:val="006E3963"/>
    <w:rsid w:val="006E7C93"/>
    <w:rsid w:val="007130E7"/>
    <w:rsid w:val="0071531A"/>
    <w:rsid w:val="007700D8"/>
    <w:rsid w:val="00785300"/>
    <w:rsid w:val="00793476"/>
    <w:rsid w:val="00797384"/>
    <w:rsid w:val="007A5C2E"/>
    <w:rsid w:val="007C2E02"/>
    <w:rsid w:val="00812D66"/>
    <w:rsid w:val="00884AB4"/>
    <w:rsid w:val="00904775"/>
    <w:rsid w:val="0092047C"/>
    <w:rsid w:val="009A1B99"/>
    <w:rsid w:val="00A22A0C"/>
    <w:rsid w:val="00A82480"/>
    <w:rsid w:val="00A903CD"/>
    <w:rsid w:val="00AA1D8D"/>
    <w:rsid w:val="00AA707B"/>
    <w:rsid w:val="00AC1DB8"/>
    <w:rsid w:val="00AE0206"/>
    <w:rsid w:val="00B0343E"/>
    <w:rsid w:val="00B06E53"/>
    <w:rsid w:val="00B43A41"/>
    <w:rsid w:val="00B445EC"/>
    <w:rsid w:val="00B47730"/>
    <w:rsid w:val="00B51C0E"/>
    <w:rsid w:val="00BB4B8E"/>
    <w:rsid w:val="00BE3F48"/>
    <w:rsid w:val="00C17DFB"/>
    <w:rsid w:val="00C27381"/>
    <w:rsid w:val="00C35558"/>
    <w:rsid w:val="00C3630B"/>
    <w:rsid w:val="00CB0664"/>
    <w:rsid w:val="00CF69A4"/>
    <w:rsid w:val="00CF6B93"/>
    <w:rsid w:val="00D06E02"/>
    <w:rsid w:val="00D24237"/>
    <w:rsid w:val="00D47C91"/>
    <w:rsid w:val="00D509B1"/>
    <w:rsid w:val="00DB34C2"/>
    <w:rsid w:val="00DE2144"/>
    <w:rsid w:val="00DE5F0A"/>
    <w:rsid w:val="00E53578"/>
    <w:rsid w:val="00E54930"/>
    <w:rsid w:val="00E57475"/>
    <w:rsid w:val="00EB02AF"/>
    <w:rsid w:val="00EB1D3C"/>
    <w:rsid w:val="00EB4BA0"/>
    <w:rsid w:val="00EC4421"/>
    <w:rsid w:val="00EF44FA"/>
    <w:rsid w:val="00F46127"/>
    <w:rsid w:val="00F6444F"/>
    <w:rsid w:val="00F76A71"/>
    <w:rsid w:val="00F80A69"/>
    <w:rsid w:val="00F96893"/>
    <w:rsid w:val="00FC5665"/>
    <w:rsid w:val="00FC693F"/>
    <w:rsid w:val="00FE0E0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30"/>
  <w15:docId w15:val="{B531A685-291B-4DCA-BCA3-BECED95D1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pPr>
    <w:rPr>
      <w:rFonts w:ascii="Arial" w:eastAsia="Arial" w:hAnsi="Arial"/>
      <w:color w:val="1F1F1F"/>
    </w:rPr>
  </w:style>
  <w:style w:type="paragraph" w:styleId="Heading1">
    <w:name w:val="heading 1"/>
    <w:basedOn w:val="Normal"/>
    <w:next w:val="Normal"/>
    <w:link w:val="Heading1Char"/>
    <w:uiPriority w:val="9"/>
    <w:qFormat/>
    <w:rsid w:val="00FC693F"/>
    <w:pPr>
      <w:keepNext/>
      <w:keepLines/>
      <w:spacing w:before="280" w:after="80"/>
      <w:outlineLvl w:val="0"/>
    </w:pPr>
    <w:rPr>
      <w:rFonts w:asciiTheme="majorHAnsi" w:eastAsiaTheme="majorEastAsia" w:hAnsiTheme="majorHAnsi" w:cstheme="majorBidi"/>
      <w:b/>
      <w:bCs/>
      <w:color w:val="1F4E79"/>
      <w:sz w:val="30"/>
      <w:szCs w:val="28"/>
    </w:rPr>
  </w:style>
  <w:style w:type="paragraph" w:styleId="Heading2">
    <w:name w:val="heading 2"/>
    <w:basedOn w:val="Normal"/>
    <w:next w:val="Normal"/>
    <w:link w:val="Heading2Char"/>
    <w:uiPriority w:val="9"/>
    <w:unhideWhenUsed/>
    <w:qFormat/>
    <w:rsid w:val="00FC693F"/>
    <w:pPr>
      <w:keepNext/>
      <w:keepLines/>
      <w:spacing w:before="200" w:after="80"/>
      <w:outlineLvl w:val="1"/>
    </w:pPr>
    <w:rPr>
      <w:rFonts w:asciiTheme="majorHAnsi" w:eastAsiaTheme="majorEastAsia" w:hAnsiTheme="majorHAnsi" w:cstheme="majorBidi"/>
      <w:b/>
      <w:bCs/>
      <w:color w:val="1F4E79"/>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2F5D8A"/>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line="240" w:lineRule="auto"/>
      <w:contextualSpacing/>
      <w:jc w:val="center"/>
    </w:pPr>
    <w:rPr>
      <w:rFonts w:asciiTheme="majorHAnsi" w:eastAsiaTheme="majorEastAsia" w:hAnsiTheme="majorHAnsi" w:cstheme="majorBidi"/>
      <w:b/>
      <w:color w:val="1F4E79"/>
      <w:spacing w:val="5"/>
      <w:kern w:val="28"/>
      <w:sz w:val="4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spacing w:after="240"/>
      <w:jc w:val="center"/>
    </w:pPr>
    <w:rPr>
      <w:rFonts w:asciiTheme="majorHAnsi" w:eastAsiaTheme="majorEastAsia" w:hAnsiTheme="majorHAnsi" w:cstheme="majorBidi"/>
      <w:b/>
      <w:i/>
      <w:iCs/>
      <w:color w:val="4F81BD"/>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MetaLabel">
    <w:name w:val="MetaLabel"/>
    <w:basedOn w:val="Normal"/>
    <w:rPr>
      <w:b/>
      <w:color w:val="2F5D8A"/>
      <w:sz w:val="18"/>
    </w:rPr>
  </w:style>
  <w:style w:type="paragraph" w:styleId="TOC9">
    <w:name w:val="toc 9"/>
    <w:basedOn w:val="Normal"/>
    <w:next w:val="Normal"/>
    <w:autoRedefine/>
    <w:uiPriority w:val="39"/>
    <w:semiHidden/>
    <w:unhideWhenUsed/>
    <w:rsid w:val="005021EB"/>
    <w:pPr>
      <w:spacing w:after="100"/>
      <w:ind w:left="1760"/>
    </w:pPr>
  </w:style>
  <w:style w:type="paragraph" w:styleId="TOC1">
    <w:name w:val="toc 1"/>
    <w:basedOn w:val="Normal"/>
    <w:next w:val="Normal"/>
    <w:autoRedefine/>
    <w:uiPriority w:val="39"/>
    <w:unhideWhenUsed/>
    <w:rsid w:val="005021EB"/>
    <w:pPr>
      <w:tabs>
        <w:tab w:val="right" w:leader="dot" w:pos="9000"/>
      </w:tabs>
      <w:spacing w:after="60"/>
    </w:pPr>
  </w:style>
  <w:style w:type="paragraph" w:styleId="TOC2">
    <w:name w:val="toc 2"/>
    <w:basedOn w:val="Normal"/>
    <w:next w:val="Normal"/>
    <w:autoRedefine/>
    <w:uiPriority w:val="39"/>
    <w:unhideWhenUsed/>
    <w:rsid w:val="005021EB"/>
    <w:pPr>
      <w:tabs>
        <w:tab w:val="right" w:leader="dot" w:pos="9000"/>
      </w:tabs>
      <w:spacing w:after="60"/>
      <w:ind w:left="403"/>
    </w:pPr>
  </w:style>
  <w:style w:type="character" w:styleId="Hyperlink">
    <w:name w:val="Hyperlink"/>
    <w:basedOn w:val="DefaultParagraphFont"/>
    <w:uiPriority w:val="99"/>
    <w:unhideWhenUsed/>
    <w:rsid w:val="005021EB"/>
    <w:rPr>
      <w:color w:val="0000FF" w:themeColor="hyperlink"/>
      <w:u w:val="single"/>
    </w:rPr>
  </w:style>
  <w:style w:type="character" w:styleId="UnresolvedMention">
    <w:name w:val="Unresolved Mention"/>
    <w:basedOn w:val="DefaultParagraphFont"/>
    <w:uiPriority w:val="99"/>
    <w:semiHidden/>
    <w:unhideWhenUsed/>
    <w:rsid w:val="00EF44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613A4E1-70ED-4FD2-B8B6-E9DD45AB28BD}">
  <we:reference id="wa200000368" version="1.0.0.0" store="en-GB" storeType="OMEX"/>
  <we:alternateReferences>
    <we:reference id="WA200000368" version="1.0.0.0" store="" storeType="OMEX"/>
  </we:alternateReferences>
  <we:properties>
    <we:property name="documentId" value="&quot;399a7ff223bf878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15</Pages>
  <Words>6673</Words>
  <Characters>39643</Characters>
  <Application>Microsoft Office Word</Application>
  <DocSecurity>0</DocSecurity>
  <Lines>683</Lines>
  <Paragraphs>170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46146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 ACBA5024</dc:title>
  <dc:subject>Research Proposal</dc:subject>
  <dc:creator>Mikey Scourfield</dc:creator>
  <cp:keywords/>
  <dc:description/>
  <cp:lastModifiedBy>Mikey Scourfield</cp:lastModifiedBy>
  <cp:revision>31</cp:revision>
  <dcterms:created xsi:type="dcterms:W3CDTF">2026-04-20T10:28:00Z</dcterms:created>
  <dcterms:modified xsi:type="dcterms:W3CDTF">2026-04-20T21:13:00Z</dcterms:modified>
  <cp:category/>
</cp:coreProperties>
</file>