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73437413"/>
        <w:docPartObj>
          <w:docPartGallery w:val="Cover Pages"/>
          <w:docPartUnique/>
        </w:docPartObj>
      </w:sdtPr>
      <w:sdtEndPr>
        <w:rPr>
          <w:rFonts w:ascii="Times New Roman" w:hAnsi="Times New Roman" w:cs="Times New Roman"/>
          <w:b/>
          <w:bCs/>
          <w:color w:val="4C94D8" w:themeColor="text2" w:themeTint="80"/>
        </w:rPr>
      </w:sdtEndPr>
      <w:sdtContent>
        <w:p w14:paraId="6CB5FED9" w14:textId="3E8A1E56" w:rsidR="00F96E9C" w:rsidRPr="00F96E9C" w:rsidRDefault="00F96E9C" w:rsidP="00F96E9C">
          <w:pPr>
            <w:rPr>
              <w:rFonts w:ascii="Times New Roman" w:hAnsi="Times New Roman" w:cs="Times New Roman"/>
              <w:b/>
              <w:bCs/>
              <w:color w:val="4C94D8" w:themeColor="text2" w:themeTint="80"/>
            </w:rPr>
          </w:pPr>
          <w:r w:rsidRPr="00F96E9C">
            <w:rPr>
              <w:rFonts w:ascii="Times New Roman" w:hAnsi="Times New Roman" w:cs="Times New Roman"/>
              <w:b/>
              <w:bCs/>
              <w:color w:val="4C94D8" w:themeColor="text2" w:themeTint="80"/>
            </w:rPr>
            <w:t>Student name:</w:t>
          </w:r>
          <w:r>
            <w:rPr>
              <w:rFonts w:ascii="Times New Roman" w:hAnsi="Times New Roman" w:cs="Times New Roman"/>
              <w:b/>
              <w:bCs/>
              <w:color w:val="4C94D8" w:themeColor="text2" w:themeTint="80"/>
            </w:rPr>
            <w:t xml:space="preserve"> Cristina Tocila </w:t>
          </w:r>
        </w:p>
        <w:p w14:paraId="7747800E" w14:textId="6671936B" w:rsidR="00F96E9C" w:rsidRPr="00F96E9C" w:rsidRDefault="00F96E9C" w:rsidP="00F96E9C">
          <w:pPr>
            <w:rPr>
              <w:rFonts w:ascii="Times New Roman" w:hAnsi="Times New Roman" w:cs="Times New Roman"/>
              <w:b/>
              <w:bCs/>
              <w:color w:val="4C94D8" w:themeColor="text2" w:themeTint="80"/>
            </w:rPr>
          </w:pPr>
          <w:r w:rsidRPr="00F96E9C">
            <w:rPr>
              <w:rFonts w:ascii="Times New Roman" w:hAnsi="Times New Roman" w:cs="Times New Roman"/>
              <w:b/>
              <w:bCs/>
              <w:color w:val="4C94D8" w:themeColor="text2" w:themeTint="80"/>
            </w:rPr>
            <w:t>Programme:</w:t>
          </w:r>
          <w:r w:rsidRPr="00F96E9C">
            <w:rPr>
              <w:rFonts w:ascii="Times New Roman" w:hAnsi="Times New Roman" w:cs="Times New Roman"/>
              <w:b/>
              <w:bCs/>
              <w:color w:val="4C94D8" w:themeColor="text2" w:themeTint="80"/>
            </w:rPr>
            <w:t xml:space="preserve"> </w:t>
          </w:r>
          <w:r w:rsidRPr="00F96E9C">
            <w:rPr>
              <w:rFonts w:ascii="Times New Roman" w:hAnsi="Times New Roman" w:cs="Times New Roman"/>
              <w:b/>
              <w:bCs/>
              <w:color w:val="4C94D8" w:themeColor="text2" w:themeTint="80"/>
            </w:rPr>
            <w:t>Sustainability Enterprise</w:t>
          </w:r>
        </w:p>
        <w:p w14:paraId="0D089D7D" w14:textId="4C0FF758" w:rsidR="00F96E9C" w:rsidRPr="00F96E9C" w:rsidRDefault="00F96E9C" w:rsidP="00F96E9C">
          <w:pPr>
            <w:rPr>
              <w:rFonts w:ascii="Times New Roman" w:hAnsi="Times New Roman" w:cs="Times New Roman"/>
              <w:b/>
              <w:bCs/>
              <w:color w:val="4C94D8" w:themeColor="text2" w:themeTint="80"/>
            </w:rPr>
          </w:pPr>
          <w:r w:rsidRPr="00F96E9C">
            <w:rPr>
              <w:rFonts w:ascii="Times New Roman" w:hAnsi="Times New Roman" w:cs="Times New Roman"/>
              <w:b/>
              <w:bCs/>
              <w:color w:val="4C94D8" w:themeColor="text2" w:themeTint="80"/>
            </w:rPr>
            <w:t>Module:</w:t>
          </w:r>
          <w:r w:rsidRPr="00F96E9C">
            <w:rPr>
              <w:rFonts w:ascii="Times New Roman" w:hAnsi="Times New Roman" w:cs="Times New Roman"/>
              <w:b/>
              <w:bCs/>
              <w:color w:val="4C94D8" w:themeColor="text2" w:themeTint="80"/>
            </w:rPr>
            <w:t xml:space="preserve"> </w:t>
          </w:r>
          <w:r w:rsidRPr="00F96E9C">
            <w:rPr>
              <w:rFonts w:ascii="Times New Roman" w:hAnsi="Times New Roman" w:cs="Times New Roman"/>
              <w:b/>
              <w:bCs/>
              <w:color w:val="4C94D8" w:themeColor="text2" w:themeTint="80"/>
            </w:rPr>
            <w:t>Community Development</w:t>
          </w:r>
        </w:p>
        <w:p w14:paraId="1E8E7664" w14:textId="1B90BC32" w:rsidR="00F96E9C" w:rsidRPr="00F96E9C" w:rsidRDefault="00F96E9C" w:rsidP="00F96E9C">
          <w:pPr>
            <w:rPr>
              <w:rFonts w:ascii="Times New Roman" w:hAnsi="Times New Roman" w:cs="Times New Roman"/>
              <w:b/>
              <w:bCs/>
              <w:color w:val="4C94D8" w:themeColor="text2" w:themeTint="80"/>
            </w:rPr>
          </w:pPr>
          <w:r w:rsidRPr="00F96E9C">
            <w:rPr>
              <w:rFonts w:ascii="Times New Roman" w:hAnsi="Times New Roman" w:cs="Times New Roman"/>
              <w:b/>
              <w:bCs/>
              <w:color w:val="4C94D8" w:themeColor="text2" w:themeTint="80"/>
            </w:rPr>
            <w:t>Module code:</w:t>
          </w:r>
          <w:r w:rsidRPr="00F96E9C">
            <w:rPr>
              <w:rFonts w:ascii="Times New Roman" w:hAnsi="Times New Roman" w:cs="Times New Roman"/>
              <w:b/>
              <w:bCs/>
              <w:color w:val="4C94D8" w:themeColor="text2" w:themeTint="80"/>
            </w:rPr>
            <w:tab/>
          </w:r>
          <w:r w:rsidRPr="00F96E9C">
            <w:rPr>
              <w:rFonts w:ascii="Times New Roman" w:hAnsi="Times New Roman" w:cs="Times New Roman"/>
              <w:b/>
              <w:bCs/>
              <w:color w:val="4C94D8" w:themeColor="text2" w:themeTint="80"/>
            </w:rPr>
            <w:t xml:space="preserve"> </w:t>
          </w:r>
          <w:r w:rsidRPr="00F96E9C">
            <w:rPr>
              <w:rFonts w:ascii="Times New Roman" w:hAnsi="Times New Roman" w:cs="Times New Roman"/>
              <w:b/>
              <w:bCs/>
              <w:color w:val="4C94D8" w:themeColor="text2" w:themeTint="80"/>
            </w:rPr>
            <w:t>BMSE4004D</w:t>
          </w:r>
        </w:p>
        <w:p w14:paraId="6A30C1CF" w14:textId="339B54FA" w:rsidR="00F96E9C" w:rsidRPr="00F96E9C" w:rsidRDefault="00F96E9C" w:rsidP="00F96E9C">
          <w:pPr>
            <w:rPr>
              <w:rFonts w:ascii="Times New Roman" w:hAnsi="Times New Roman" w:cs="Times New Roman"/>
              <w:b/>
              <w:bCs/>
              <w:color w:val="4C94D8" w:themeColor="text2" w:themeTint="80"/>
            </w:rPr>
          </w:pPr>
          <w:r w:rsidRPr="00F96E9C">
            <w:rPr>
              <w:rFonts w:ascii="Times New Roman" w:hAnsi="Times New Roman" w:cs="Times New Roman"/>
              <w:b/>
              <w:bCs/>
              <w:color w:val="4C94D8" w:themeColor="text2" w:themeTint="80"/>
            </w:rPr>
            <w:t>Lecturer:</w:t>
          </w:r>
          <w:r w:rsidRPr="00F96E9C">
            <w:rPr>
              <w:rFonts w:ascii="Times New Roman" w:hAnsi="Times New Roman" w:cs="Times New Roman"/>
              <w:b/>
              <w:bCs/>
              <w:color w:val="4C94D8" w:themeColor="text2" w:themeTint="80"/>
            </w:rPr>
            <w:t xml:space="preserve"> </w:t>
          </w:r>
          <w:r w:rsidRPr="00F96E9C">
            <w:rPr>
              <w:rFonts w:ascii="Times New Roman" w:hAnsi="Times New Roman" w:cs="Times New Roman"/>
              <w:b/>
              <w:bCs/>
              <w:color w:val="4C94D8" w:themeColor="text2" w:themeTint="80"/>
            </w:rPr>
            <w:t>Navdeep Randhawa</w:t>
          </w:r>
          <w:r w:rsidRPr="00F96E9C">
            <w:rPr>
              <w:rFonts w:ascii="Times New Roman" w:hAnsi="Times New Roman" w:cs="Times New Roman"/>
              <w:b/>
              <w:bCs/>
              <w:noProof/>
              <w:color w:val="4C94D8" w:themeColor="text2" w:themeTint="80"/>
            </w:rPr>
            <mc:AlternateContent>
              <mc:Choice Requires="wps">
                <w:drawing>
                  <wp:anchor distT="0" distB="0" distL="114300" distR="114300" simplePos="0" relativeHeight="251659264" behindDoc="1" locked="0" layoutInCell="1" allowOverlap="1" wp14:anchorId="6B880AA6" wp14:editId="5D0D6416">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96E9C" w14:paraId="17C980CB" w14:textId="77777777">
                                  <w:trPr>
                                    <w:trHeight w:val="2376"/>
                                  </w:trPr>
                                  <w:tc>
                                    <w:tcPr>
                                      <w:tcW w:w="370" w:type="pct"/>
                                      <w:shd w:val="clear" w:color="auto" w:fill="156082" w:themeFill="accent1"/>
                                    </w:tcPr>
                                    <w:p w14:paraId="24032FB5" w14:textId="77777777" w:rsidR="00F96E9C" w:rsidRDefault="00F96E9C"/>
                                  </w:tc>
                                  <w:sdt>
                                    <w:sdtPr>
                                      <w:rPr>
                                        <w:rFonts w:ascii="Times New Roman" w:hAnsi="Times New Roman" w:cs="Times New Roman"/>
                                        <w:b/>
                                        <w:bCs/>
                                        <w:color w:val="DAE9F7" w:themeColor="text2" w:themeTint="1A"/>
                                        <w:sz w:val="72"/>
                                        <w:szCs w:val="72"/>
                                      </w:rPr>
                                      <w:alias w:val="Title"/>
                                      <w:tag w:val=""/>
                                      <w:id w:val="739824258"/>
                                      <w:placeholder>
                                        <w:docPart w:val="2943256218894EC1863141EACE0A0240"/>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94A05B4" w14:textId="1CA51349" w:rsidR="00F96E9C" w:rsidRPr="00F96E9C" w:rsidRDefault="00F96E9C">
                                          <w:pPr>
                                            <w:pStyle w:val="NoSpacing"/>
                                            <w:spacing w:before="240" w:line="216" w:lineRule="auto"/>
                                            <w:ind w:left="360" w:right="360"/>
                                            <w:contextualSpacing/>
                                            <w:rPr>
                                              <w:rFonts w:ascii="Times New Roman" w:hAnsi="Times New Roman" w:cs="Times New Roman"/>
                                              <w:b/>
                                              <w:bCs/>
                                              <w:color w:val="FFFFFF" w:themeColor="background1"/>
                                              <w:sz w:val="72"/>
                                              <w:szCs w:val="72"/>
                                            </w:rPr>
                                          </w:pPr>
                                          <w:r w:rsidRPr="00F96E9C">
                                            <w:rPr>
                                              <w:rFonts w:ascii="Times New Roman" w:hAnsi="Times New Roman" w:cs="Times New Roman"/>
                                              <w:b/>
                                              <w:bCs/>
                                              <w:color w:val="DAE9F7" w:themeColor="text2" w:themeTint="1A"/>
                                              <w:sz w:val="72"/>
                                              <w:szCs w:val="72"/>
                                            </w:rPr>
                                            <w:t>Analyzing Community Development Approaches at Swansea Community Farm</w:t>
                                          </w:r>
                                        </w:p>
                                      </w:tc>
                                    </w:sdtContent>
                                  </w:sdt>
                                </w:tr>
                                <w:tr w:rsidR="00F96E9C" w14:paraId="5E0C58D8" w14:textId="77777777">
                                  <w:trPr>
                                    <w:trHeight w:hRule="exact" w:val="648"/>
                                  </w:trPr>
                                  <w:tc>
                                    <w:tcPr>
                                      <w:tcW w:w="370" w:type="pct"/>
                                      <w:shd w:val="clear" w:color="auto" w:fill="156082" w:themeFill="accent1"/>
                                    </w:tcPr>
                                    <w:p w14:paraId="285E9A47" w14:textId="77777777" w:rsidR="00F96E9C" w:rsidRDefault="00F96E9C"/>
                                  </w:tc>
                                  <w:tc>
                                    <w:tcPr>
                                      <w:tcW w:w="4630" w:type="pct"/>
                                      <w:shd w:val="clear" w:color="auto" w:fill="404040" w:themeFill="text1" w:themeFillTint="BF"/>
                                      <w:vAlign w:val="bottom"/>
                                    </w:tcPr>
                                    <w:p w14:paraId="505167EA" w14:textId="77777777" w:rsidR="00F96E9C" w:rsidRDefault="00F96E9C">
                                      <w:pPr>
                                        <w:ind w:left="360" w:right="360"/>
                                        <w:rPr>
                                          <w:color w:val="FFFFFF" w:themeColor="background1"/>
                                          <w:sz w:val="28"/>
                                          <w:szCs w:val="28"/>
                                        </w:rPr>
                                      </w:pPr>
                                    </w:p>
                                  </w:tc>
                                </w:tr>
                                <w:tr w:rsidR="00F96E9C" w14:paraId="404B3F28" w14:textId="77777777">
                                  <w:tc>
                                    <w:tcPr>
                                      <w:tcW w:w="370" w:type="pct"/>
                                      <w:shd w:val="clear" w:color="auto" w:fill="156082" w:themeFill="accent1"/>
                                    </w:tcPr>
                                    <w:p w14:paraId="1AB93255" w14:textId="77777777" w:rsidR="00F96E9C" w:rsidRDefault="00F96E9C"/>
                                  </w:tc>
                                  <w:tc>
                                    <w:tcPr>
                                      <w:tcW w:w="4630" w:type="pct"/>
                                      <w:shd w:val="clear" w:color="auto" w:fill="404040" w:themeFill="text1" w:themeFillTint="BF"/>
                                      <w:vAlign w:val="bottom"/>
                                    </w:tcPr>
                                    <w:p w14:paraId="4DCCB4E1" w14:textId="420CCAB3" w:rsidR="00F96E9C" w:rsidRDefault="00F96E9C" w:rsidP="00F96E9C">
                                      <w:pPr>
                                        <w:pStyle w:val="NoSpacing"/>
                                        <w:spacing w:line="288" w:lineRule="auto"/>
                                        <w:ind w:right="360"/>
                                      </w:pPr>
                                    </w:p>
                                    <w:p w14:paraId="67B25A9E" w14:textId="2D9F5A67" w:rsidR="00F96E9C" w:rsidRDefault="00F96E9C">
                                      <w:pPr>
                                        <w:pStyle w:val="NoSpacing"/>
                                        <w:spacing w:after="240" w:line="288" w:lineRule="auto"/>
                                        <w:ind w:left="360" w:right="360"/>
                                        <w:rPr>
                                          <w:color w:val="FFFFFF" w:themeColor="background1"/>
                                          <w:sz w:val="28"/>
                                          <w:szCs w:val="28"/>
                                        </w:rPr>
                                      </w:pPr>
                                    </w:p>
                                  </w:tc>
                                </w:tr>
                              </w:tbl>
                              <w:p w14:paraId="21C2C09E" w14:textId="77777777" w:rsidR="00F96E9C" w:rsidRDefault="00F96E9C"/>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B880AA6"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96E9C" w14:paraId="17C980CB" w14:textId="77777777">
                            <w:trPr>
                              <w:trHeight w:val="2376"/>
                            </w:trPr>
                            <w:tc>
                              <w:tcPr>
                                <w:tcW w:w="370" w:type="pct"/>
                                <w:shd w:val="clear" w:color="auto" w:fill="156082" w:themeFill="accent1"/>
                              </w:tcPr>
                              <w:p w14:paraId="24032FB5" w14:textId="77777777" w:rsidR="00F96E9C" w:rsidRDefault="00F96E9C"/>
                            </w:tc>
                            <w:sdt>
                              <w:sdtPr>
                                <w:rPr>
                                  <w:rFonts w:ascii="Times New Roman" w:hAnsi="Times New Roman" w:cs="Times New Roman"/>
                                  <w:b/>
                                  <w:bCs/>
                                  <w:color w:val="DAE9F7" w:themeColor="text2" w:themeTint="1A"/>
                                  <w:sz w:val="72"/>
                                  <w:szCs w:val="72"/>
                                </w:rPr>
                                <w:alias w:val="Title"/>
                                <w:tag w:val=""/>
                                <w:id w:val="739824258"/>
                                <w:placeholder>
                                  <w:docPart w:val="2943256218894EC1863141EACE0A0240"/>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94A05B4" w14:textId="1CA51349" w:rsidR="00F96E9C" w:rsidRPr="00F96E9C" w:rsidRDefault="00F96E9C">
                                    <w:pPr>
                                      <w:pStyle w:val="NoSpacing"/>
                                      <w:spacing w:before="240" w:line="216" w:lineRule="auto"/>
                                      <w:ind w:left="360" w:right="360"/>
                                      <w:contextualSpacing/>
                                      <w:rPr>
                                        <w:rFonts w:ascii="Times New Roman" w:hAnsi="Times New Roman" w:cs="Times New Roman"/>
                                        <w:b/>
                                        <w:bCs/>
                                        <w:color w:val="FFFFFF" w:themeColor="background1"/>
                                        <w:sz w:val="72"/>
                                        <w:szCs w:val="72"/>
                                      </w:rPr>
                                    </w:pPr>
                                    <w:r w:rsidRPr="00F96E9C">
                                      <w:rPr>
                                        <w:rFonts w:ascii="Times New Roman" w:hAnsi="Times New Roman" w:cs="Times New Roman"/>
                                        <w:b/>
                                        <w:bCs/>
                                        <w:color w:val="DAE9F7" w:themeColor="text2" w:themeTint="1A"/>
                                        <w:sz w:val="72"/>
                                        <w:szCs w:val="72"/>
                                      </w:rPr>
                                      <w:t>Analyzing Community Development Approaches at Swansea Community Farm</w:t>
                                    </w:r>
                                  </w:p>
                                </w:tc>
                              </w:sdtContent>
                            </w:sdt>
                          </w:tr>
                          <w:tr w:rsidR="00F96E9C" w14:paraId="5E0C58D8" w14:textId="77777777">
                            <w:trPr>
                              <w:trHeight w:hRule="exact" w:val="648"/>
                            </w:trPr>
                            <w:tc>
                              <w:tcPr>
                                <w:tcW w:w="370" w:type="pct"/>
                                <w:shd w:val="clear" w:color="auto" w:fill="156082" w:themeFill="accent1"/>
                              </w:tcPr>
                              <w:p w14:paraId="285E9A47" w14:textId="77777777" w:rsidR="00F96E9C" w:rsidRDefault="00F96E9C"/>
                            </w:tc>
                            <w:tc>
                              <w:tcPr>
                                <w:tcW w:w="4630" w:type="pct"/>
                                <w:shd w:val="clear" w:color="auto" w:fill="404040" w:themeFill="text1" w:themeFillTint="BF"/>
                                <w:vAlign w:val="bottom"/>
                              </w:tcPr>
                              <w:p w14:paraId="505167EA" w14:textId="77777777" w:rsidR="00F96E9C" w:rsidRDefault="00F96E9C">
                                <w:pPr>
                                  <w:ind w:left="360" w:right="360"/>
                                  <w:rPr>
                                    <w:color w:val="FFFFFF" w:themeColor="background1"/>
                                    <w:sz w:val="28"/>
                                    <w:szCs w:val="28"/>
                                  </w:rPr>
                                </w:pPr>
                              </w:p>
                            </w:tc>
                          </w:tr>
                          <w:tr w:rsidR="00F96E9C" w14:paraId="404B3F28" w14:textId="77777777">
                            <w:tc>
                              <w:tcPr>
                                <w:tcW w:w="370" w:type="pct"/>
                                <w:shd w:val="clear" w:color="auto" w:fill="156082" w:themeFill="accent1"/>
                              </w:tcPr>
                              <w:p w14:paraId="1AB93255" w14:textId="77777777" w:rsidR="00F96E9C" w:rsidRDefault="00F96E9C"/>
                            </w:tc>
                            <w:tc>
                              <w:tcPr>
                                <w:tcW w:w="4630" w:type="pct"/>
                                <w:shd w:val="clear" w:color="auto" w:fill="404040" w:themeFill="text1" w:themeFillTint="BF"/>
                                <w:vAlign w:val="bottom"/>
                              </w:tcPr>
                              <w:p w14:paraId="4DCCB4E1" w14:textId="420CCAB3" w:rsidR="00F96E9C" w:rsidRDefault="00F96E9C" w:rsidP="00F96E9C">
                                <w:pPr>
                                  <w:pStyle w:val="NoSpacing"/>
                                  <w:spacing w:line="288" w:lineRule="auto"/>
                                  <w:ind w:right="360"/>
                                </w:pPr>
                              </w:p>
                              <w:p w14:paraId="67B25A9E" w14:textId="2D9F5A67" w:rsidR="00F96E9C" w:rsidRDefault="00F96E9C">
                                <w:pPr>
                                  <w:pStyle w:val="NoSpacing"/>
                                  <w:spacing w:after="240" w:line="288" w:lineRule="auto"/>
                                  <w:ind w:left="360" w:right="360"/>
                                  <w:rPr>
                                    <w:color w:val="FFFFFF" w:themeColor="background1"/>
                                    <w:sz w:val="28"/>
                                    <w:szCs w:val="28"/>
                                  </w:rPr>
                                </w:pPr>
                              </w:p>
                            </w:tc>
                          </w:tr>
                        </w:tbl>
                        <w:p w14:paraId="21C2C09E" w14:textId="77777777" w:rsidR="00F96E9C" w:rsidRDefault="00F96E9C"/>
                      </w:txbxContent>
                    </v:textbox>
                    <w10:wrap anchorx="page" anchory="page"/>
                  </v:shape>
                </w:pict>
              </mc:Fallback>
            </mc:AlternateContent>
          </w:r>
        </w:p>
        <w:p w14:paraId="0F4922C7" w14:textId="66799833" w:rsidR="00F96E9C" w:rsidRDefault="00F96E9C">
          <w:pPr>
            <w:rPr>
              <w:rFonts w:ascii="Times New Roman" w:hAnsi="Times New Roman" w:cs="Times New Roman"/>
              <w:b/>
              <w:bCs/>
              <w:color w:val="4C94D8" w:themeColor="text2" w:themeTint="80"/>
            </w:rPr>
          </w:pPr>
          <w:r>
            <w:rPr>
              <w:rFonts w:ascii="Times New Roman" w:hAnsi="Times New Roman" w:cs="Times New Roman"/>
              <w:b/>
              <w:bCs/>
              <w:color w:val="4C94D8" w:themeColor="text2" w:themeTint="80"/>
            </w:rPr>
            <w:br w:type="page"/>
          </w:r>
        </w:p>
      </w:sdtContent>
    </w:sdt>
    <w:p w14:paraId="3F29274C" w14:textId="0B607A86" w:rsidR="00DB04FC" w:rsidRPr="00DB04FC" w:rsidRDefault="00DB04FC" w:rsidP="00DB04FC">
      <w:p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b/>
          <w:bCs/>
          <w:color w:val="4C94D8" w:themeColor="text2" w:themeTint="80"/>
        </w:rPr>
        <w:lastRenderedPageBreak/>
        <w:t>Introduction</w:t>
      </w:r>
    </w:p>
    <w:p w14:paraId="28D5574B" w14:textId="1D75CA1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 xml:space="preserve">Communities are dynamic and fluid entities with ethnic, racial, socioeconomic, and cultural variety. Individuals frequently belong to many communities at the same time, each with its own set of binding traits and motivators for engagement (Bradshaw, 2008). This research focusses on the Swansea Community Farm, a separate community in Swansea, Wales, and examines the strategies used to support growth and development. The examination delves into the use of images, cultural, societal, economic, political, and environmental implications, as well as how messages are customised to the community's context. The research also explores fundamental concepts used in behavioural change approaches and evaluates community development procedures for long-term improvements, </w:t>
      </w:r>
      <w:r w:rsidRPr="00DB04FC">
        <w:rPr>
          <w:rFonts w:ascii="Times New Roman" w:hAnsi="Times New Roman" w:cs="Times New Roman"/>
        </w:rPr>
        <w:t>considering</w:t>
      </w:r>
      <w:r w:rsidRPr="00DB04FC">
        <w:rPr>
          <w:rFonts w:ascii="Times New Roman" w:hAnsi="Times New Roman" w:cs="Times New Roman"/>
        </w:rPr>
        <w:t xml:space="preserve"> the farm's most recent developments.</w:t>
      </w:r>
    </w:p>
    <w:p w14:paraId="63775F69" w14:textId="77777777" w:rsidR="00DB04FC" w:rsidRPr="00DB04FC" w:rsidRDefault="00DB04FC" w:rsidP="00DB04FC">
      <w:p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b/>
          <w:bCs/>
          <w:color w:val="4C94D8" w:themeColor="text2" w:themeTint="80"/>
        </w:rPr>
        <w:t>Swansea Community Farm's Description</w:t>
      </w:r>
    </w:p>
    <w:p w14:paraId="75943228" w14:textId="015278AC"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 xml:space="preserve">Swansea Community Farm, located in </w:t>
      </w:r>
      <w:proofErr w:type="spellStart"/>
      <w:r w:rsidRPr="00DB04FC">
        <w:rPr>
          <w:rFonts w:ascii="Times New Roman" w:hAnsi="Times New Roman" w:cs="Times New Roman"/>
        </w:rPr>
        <w:t>Fforestfach</w:t>
      </w:r>
      <w:proofErr w:type="spellEnd"/>
      <w:r w:rsidRPr="00DB04FC">
        <w:rPr>
          <w:rFonts w:ascii="Times New Roman" w:hAnsi="Times New Roman" w:cs="Times New Roman"/>
        </w:rPr>
        <w:t xml:space="preserve">, Swansea, was established in 1992 as a community-led enterprise. It is </w:t>
      </w:r>
      <w:r w:rsidRPr="00DB04FC">
        <w:rPr>
          <w:rFonts w:ascii="Times New Roman" w:hAnsi="Times New Roman" w:cs="Times New Roman"/>
        </w:rPr>
        <w:t>Wales’s</w:t>
      </w:r>
      <w:r w:rsidRPr="00DB04FC">
        <w:rPr>
          <w:rFonts w:ascii="Times New Roman" w:hAnsi="Times New Roman" w:cs="Times New Roman"/>
        </w:rPr>
        <w:t xml:space="preserve"> first city farm, offering a unique location for people to participate in farming, gardening, and environmental activities in an urban context. The farm's mission is to improve </w:t>
      </w:r>
      <w:r w:rsidRPr="00DB04FC">
        <w:rPr>
          <w:rFonts w:ascii="Times New Roman" w:hAnsi="Times New Roman" w:cs="Times New Roman"/>
        </w:rPr>
        <w:t>residents</w:t>
      </w:r>
      <w:r w:rsidRPr="00DB04FC">
        <w:rPr>
          <w:rFonts w:ascii="Times New Roman" w:hAnsi="Times New Roman" w:cs="Times New Roman"/>
        </w:rPr>
        <w:t>' quality of life through sustainable living practices, community engagement, and educational opportunities.</w:t>
      </w:r>
    </w:p>
    <w:p w14:paraId="49FD3225" w14:textId="77777777" w:rsidR="00DB04FC" w:rsidRPr="00DB04FC" w:rsidRDefault="00DB04FC" w:rsidP="00DB04FC">
      <w:p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b/>
          <w:bCs/>
          <w:color w:val="4C94D8" w:themeColor="text2" w:themeTint="80"/>
        </w:rPr>
        <w:t>Binding characteristics and motivators</w:t>
      </w:r>
    </w:p>
    <w:p w14:paraId="11799C65"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farm brings together a varied collection of people of different ages, ethnicities, and socioeconomic origins. A shared interest in sustainable agriculture, environmental conservation, and community development is one of the unifying factors. Motivators for activity in this community are diverse:</w:t>
      </w:r>
    </w:p>
    <w:p w14:paraId="7DE89745" w14:textId="77777777" w:rsidR="00DB04FC" w:rsidRPr="00DB04FC" w:rsidRDefault="00DB04FC" w:rsidP="00DB04FC">
      <w:pPr>
        <w:pStyle w:val="ListParagraph"/>
        <w:numPr>
          <w:ilvl w:val="0"/>
          <w:numId w:val="1"/>
        </w:numPr>
        <w:spacing w:line="480" w:lineRule="auto"/>
        <w:jc w:val="both"/>
        <w:rPr>
          <w:rFonts w:ascii="Times New Roman" w:hAnsi="Times New Roman" w:cs="Times New Roman"/>
        </w:rPr>
      </w:pPr>
      <w:r w:rsidRPr="00DB04FC">
        <w:rPr>
          <w:rFonts w:ascii="Times New Roman" w:hAnsi="Times New Roman" w:cs="Times New Roman"/>
        </w:rPr>
        <w:t>Social interaction provides opportunities for developing relationships and social networks (Bridger, Brennan, &amp; Luloff 2011).</w:t>
      </w:r>
    </w:p>
    <w:p w14:paraId="5F001B7D" w14:textId="77777777" w:rsidR="00DB04FC" w:rsidRPr="00DB04FC" w:rsidRDefault="00DB04FC" w:rsidP="00DB04FC">
      <w:pPr>
        <w:pStyle w:val="ListParagraph"/>
        <w:numPr>
          <w:ilvl w:val="0"/>
          <w:numId w:val="1"/>
        </w:numPr>
        <w:spacing w:line="480" w:lineRule="auto"/>
        <w:jc w:val="both"/>
        <w:rPr>
          <w:rFonts w:ascii="Times New Roman" w:hAnsi="Times New Roman" w:cs="Times New Roman"/>
        </w:rPr>
      </w:pPr>
      <w:r w:rsidRPr="00DB04FC">
        <w:rPr>
          <w:rFonts w:ascii="Times New Roman" w:hAnsi="Times New Roman" w:cs="Times New Roman"/>
        </w:rPr>
        <w:lastRenderedPageBreak/>
        <w:t xml:space="preserve">Developing new abilities in farming, gardening, and environmental stewardship (Flora, Flora, &amp; </w:t>
      </w:r>
      <w:proofErr w:type="spellStart"/>
      <w:r w:rsidRPr="00DB04FC">
        <w:rPr>
          <w:rFonts w:ascii="Times New Roman" w:hAnsi="Times New Roman" w:cs="Times New Roman"/>
        </w:rPr>
        <w:t>Gasteyer</w:t>
      </w:r>
      <w:proofErr w:type="spellEnd"/>
      <w:r w:rsidRPr="00DB04FC">
        <w:rPr>
          <w:rFonts w:ascii="Times New Roman" w:hAnsi="Times New Roman" w:cs="Times New Roman"/>
        </w:rPr>
        <w:t>, 2016).</w:t>
      </w:r>
    </w:p>
    <w:p w14:paraId="222B85AB" w14:textId="47884559" w:rsidR="00DB04FC" w:rsidRPr="00DB04FC" w:rsidRDefault="00DB04FC" w:rsidP="00DB04FC">
      <w:pPr>
        <w:pStyle w:val="ListParagraph"/>
        <w:numPr>
          <w:ilvl w:val="0"/>
          <w:numId w:val="1"/>
        </w:numPr>
        <w:spacing w:line="480" w:lineRule="auto"/>
        <w:jc w:val="both"/>
        <w:rPr>
          <w:rFonts w:ascii="Times New Roman" w:hAnsi="Times New Roman" w:cs="Times New Roman"/>
        </w:rPr>
      </w:pPr>
      <w:r w:rsidRPr="00DB04FC">
        <w:rPr>
          <w:rFonts w:ascii="Times New Roman" w:hAnsi="Times New Roman" w:cs="Times New Roman"/>
        </w:rPr>
        <w:t>Participating in activities that enhance mental health and wellbeing, as seen at recent Farm Wellbeing Day.</w:t>
      </w:r>
    </w:p>
    <w:p w14:paraId="7AB3C33D" w14:textId="51D94DAF" w:rsidR="00DB04FC" w:rsidRPr="00DB04FC" w:rsidRDefault="00DB04FC" w:rsidP="00DB04FC">
      <w:pPr>
        <w:pStyle w:val="ListParagraph"/>
        <w:numPr>
          <w:ilvl w:val="0"/>
          <w:numId w:val="1"/>
        </w:numPr>
        <w:spacing w:line="480" w:lineRule="auto"/>
        <w:jc w:val="both"/>
        <w:rPr>
          <w:rFonts w:ascii="Times New Roman" w:hAnsi="Times New Roman" w:cs="Times New Roman"/>
        </w:rPr>
      </w:pPr>
      <w:r w:rsidRPr="00DB04FC">
        <w:rPr>
          <w:rFonts w:ascii="Times New Roman" w:hAnsi="Times New Roman" w:cs="Times New Roman"/>
        </w:rPr>
        <w:t>Contributing to a community project that has a direct impact on local well-being (Bhattacharyya, 2004).</w:t>
      </w:r>
    </w:p>
    <w:p w14:paraId="5D55FE5C" w14:textId="77777777" w:rsidR="00DB04FC" w:rsidRPr="00DB04FC" w:rsidRDefault="00DB04FC" w:rsidP="00DB04FC">
      <w:pPr>
        <w:pStyle w:val="ListParagraph"/>
        <w:numPr>
          <w:ilvl w:val="0"/>
          <w:numId w:val="1"/>
        </w:numPr>
        <w:spacing w:line="480" w:lineRule="auto"/>
        <w:jc w:val="both"/>
        <w:rPr>
          <w:rFonts w:ascii="Times New Roman" w:hAnsi="Times New Roman" w:cs="Times New Roman"/>
        </w:rPr>
      </w:pPr>
      <w:r w:rsidRPr="00DB04FC">
        <w:rPr>
          <w:rFonts w:ascii="Times New Roman" w:hAnsi="Times New Roman" w:cs="Times New Roman"/>
        </w:rPr>
        <w:t>Cultural Engagement entails participating in activities that honour local traditions and customs.</w:t>
      </w:r>
    </w:p>
    <w:p w14:paraId="470BEB5C" w14:textId="77777777" w:rsidR="00DB04FC" w:rsidRPr="00DB04FC" w:rsidRDefault="00DB04FC" w:rsidP="00DB04FC">
      <w:p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b/>
          <w:bCs/>
          <w:color w:val="4C94D8" w:themeColor="text2" w:themeTint="80"/>
        </w:rPr>
        <w:t>Approaches to Promoting Growth and Development</w:t>
      </w:r>
    </w:p>
    <w:p w14:paraId="2F50FD64" w14:textId="59E3CA0E" w:rsidR="00DB04FC" w:rsidRPr="00DB04FC" w:rsidRDefault="00DB04FC" w:rsidP="00DB04FC">
      <w:pPr>
        <w:pStyle w:val="ListParagraph"/>
        <w:numPr>
          <w:ilvl w:val="0"/>
          <w:numId w:val="2"/>
        </w:num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b/>
          <w:bCs/>
          <w:color w:val="4C94D8" w:themeColor="text2" w:themeTint="80"/>
        </w:rPr>
        <w:t>Imagery and Cultural Impact</w:t>
      </w:r>
    </w:p>
    <w:p w14:paraId="5115BE6B"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Swansea Community Farm uses pictures to successfully express its mission and engage the community. Visual depictions of verdant gardens, cheerful volunteers, and thriving livestock give an enticing image to potential participants. The last Farm Wellbeing Day featured photographs of community members participating in activities such as goat yoga, self-defence lessons, and sauna experiences, demonstrating a lively and inclusive environment. This is consistent with the idea that positive imagery might encourage community involvement by highlighting the benefits of participation (Green &amp; Haines, 2011).</w:t>
      </w:r>
    </w:p>
    <w:p w14:paraId="375F41BB"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Culturally, the farm honours local Welsh traditions by incorporating them into events and educational initiatives. Goat yoga and green woodworking classes offer not only one-of-a-kind experiences, but also connect participants with local customs and practices. Cultural relevance improves community bonds and promotes a sense of belonging (Matarrita-Cascante &amp; Brennan, 2012).</w:t>
      </w:r>
    </w:p>
    <w:p w14:paraId="5C696D69" w14:textId="77777777" w:rsidR="00DB04FC" w:rsidRPr="00DB04FC" w:rsidRDefault="00DB04FC" w:rsidP="00DB04FC">
      <w:pPr>
        <w:spacing w:line="480" w:lineRule="auto"/>
        <w:jc w:val="both"/>
        <w:rPr>
          <w:rFonts w:ascii="Times New Roman" w:hAnsi="Times New Roman" w:cs="Times New Roman"/>
        </w:rPr>
      </w:pPr>
    </w:p>
    <w:p w14:paraId="093658E6" w14:textId="77777777" w:rsidR="00DB04FC" w:rsidRDefault="00DB04FC" w:rsidP="00DB04FC">
      <w:pPr>
        <w:spacing w:line="480" w:lineRule="auto"/>
        <w:jc w:val="both"/>
        <w:rPr>
          <w:rFonts w:ascii="Times New Roman" w:hAnsi="Times New Roman" w:cs="Times New Roman"/>
        </w:rPr>
      </w:pPr>
    </w:p>
    <w:p w14:paraId="5397441D" w14:textId="2B9226D5" w:rsidR="00DB04FC" w:rsidRPr="00DB04FC" w:rsidRDefault="00DB04FC" w:rsidP="00DB04FC">
      <w:pPr>
        <w:pStyle w:val="ListParagraph"/>
        <w:numPr>
          <w:ilvl w:val="0"/>
          <w:numId w:val="2"/>
        </w:num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b/>
          <w:bCs/>
          <w:color w:val="4C94D8" w:themeColor="text2" w:themeTint="80"/>
        </w:rPr>
        <w:lastRenderedPageBreak/>
        <w:t>Societal and economic impact</w:t>
      </w:r>
    </w:p>
    <w:p w14:paraId="6D1CE6BF"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farm addresses societal issues such as social isolation and mental health challenges by creating a communal area for interaction and therapeutic activities. The farm's recent wellbeing initiatives, such as mindfulness labyrinth walks and holistic workshops, show its commitment to improving community members' mental health and wellbeing.</w:t>
      </w:r>
    </w:p>
    <w:p w14:paraId="409A5FC7" w14:textId="15B71FAC" w:rsidR="00DB04FC" w:rsidRPr="00DB04FC" w:rsidRDefault="00DB04FC" w:rsidP="00DB04FC">
      <w:pPr>
        <w:pStyle w:val="ListParagraph"/>
        <w:numPr>
          <w:ilvl w:val="0"/>
          <w:numId w:val="3"/>
        </w:numPr>
        <w:spacing w:line="480" w:lineRule="auto"/>
        <w:jc w:val="both"/>
        <w:rPr>
          <w:rFonts w:ascii="Times New Roman" w:hAnsi="Times New Roman" w:cs="Times New Roman"/>
        </w:rPr>
      </w:pPr>
      <w:r w:rsidRPr="00DB04FC">
        <w:rPr>
          <w:rFonts w:ascii="Times New Roman" w:hAnsi="Times New Roman" w:cs="Times New Roman"/>
        </w:rPr>
        <w:t>Economically, the farm contributes as follows:</w:t>
      </w:r>
    </w:p>
    <w:p w14:paraId="6107A1CF" w14:textId="77777777" w:rsidR="00DB04FC" w:rsidRPr="00DB04FC" w:rsidRDefault="00DB04FC" w:rsidP="00DB04FC">
      <w:pPr>
        <w:pStyle w:val="ListParagraph"/>
        <w:numPr>
          <w:ilvl w:val="0"/>
          <w:numId w:val="4"/>
        </w:numPr>
        <w:spacing w:line="480" w:lineRule="auto"/>
        <w:jc w:val="both"/>
        <w:rPr>
          <w:rFonts w:ascii="Times New Roman" w:hAnsi="Times New Roman" w:cs="Times New Roman"/>
        </w:rPr>
      </w:pPr>
      <w:r w:rsidRPr="00DB04FC">
        <w:rPr>
          <w:rFonts w:ascii="Times New Roman" w:hAnsi="Times New Roman" w:cs="Times New Roman"/>
        </w:rPr>
        <w:t>Creating Job Opportunities: Employing staff and developing volunteer skills.</w:t>
      </w:r>
    </w:p>
    <w:p w14:paraId="7CD75AB0" w14:textId="77777777" w:rsidR="00DB04FC" w:rsidRPr="00DB04FC" w:rsidRDefault="00DB04FC" w:rsidP="00DB04FC">
      <w:pPr>
        <w:pStyle w:val="ListParagraph"/>
        <w:numPr>
          <w:ilvl w:val="0"/>
          <w:numId w:val="4"/>
        </w:numPr>
        <w:spacing w:line="480" w:lineRule="auto"/>
        <w:jc w:val="both"/>
        <w:rPr>
          <w:rFonts w:ascii="Times New Roman" w:hAnsi="Times New Roman" w:cs="Times New Roman"/>
        </w:rPr>
      </w:pPr>
      <w:r w:rsidRPr="00DB04FC">
        <w:rPr>
          <w:rFonts w:ascii="Times New Roman" w:hAnsi="Times New Roman" w:cs="Times New Roman"/>
        </w:rPr>
        <w:t>Supporting Local Businesses: Hosting events in collaboration with local businesses such as Sauna Hut and Hot Pod Yoga Swansea.</w:t>
      </w:r>
    </w:p>
    <w:p w14:paraId="6CBEFFA1" w14:textId="77777777" w:rsidR="00DB04FC" w:rsidRPr="00DB04FC" w:rsidRDefault="00DB04FC" w:rsidP="00DB04FC">
      <w:pPr>
        <w:pStyle w:val="ListParagraph"/>
        <w:numPr>
          <w:ilvl w:val="0"/>
          <w:numId w:val="4"/>
        </w:numPr>
        <w:spacing w:line="480" w:lineRule="auto"/>
        <w:jc w:val="both"/>
        <w:rPr>
          <w:rFonts w:ascii="Times New Roman" w:hAnsi="Times New Roman" w:cs="Times New Roman"/>
        </w:rPr>
      </w:pPr>
      <w:r w:rsidRPr="00DB04FC">
        <w:rPr>
          <w:rFonts w:ascii="Times New Roman" w:hAnsi="Times New Roman" w:cs="Times New Roman"/>
        </w:rPr>
        <w:t>Income Generation: The farm's financial viability is supported by the sale of farm produce and the organising of events.</w:t>
      </w:r>
    </w:p>
    <w:p w14:paraId="7661C0B1"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These activities benefit the community's economic development while also boosting sustainability and resilience (Flora et al., 2016).</w:t>
      </w:r>
    </w:p>
    <w:p w14:paraId="3122342B" w14:textId="45C86D0E" w:rsidR="00DB04FC" w:rsidRPr="00DB04FC" w:rsidRDefault="00DB04FC" w:rsidP="00DB04FC">
      <w:pPr>
        <w:pStyle w:val="ListParagraph"/>
        <w:numPr>
          <w:ilvl w:val="0"/>
          <w:numId w:val="3"/>
        </w:numPr>
        <w:spacing w:line="480" w:lineRule="auto"/>
        <w:jc w:val="both"/>
        <w:rPr>
          <w:rFonts w:ascii="Times New Roman" w:hAnsi="Times New Roman" w:cs="Times New Roman"/>
        </w:rPr>
      </w:pPr>
      <w:r w:rsidRPr="00DB04FC">
        <w:rPr>
          <w:rFonts w:ascii="Times New Roman" w:hAnsi="Times New Roman" w:cs="Times New Roman"/>
        </w:rPr>
        <w:t>Political and environmental impacts</w:t>
      </w:r>
    </w:p>
    <w:p w14:paraId="083817B6"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Politically, the farm supports sustainable agriculture policies and practices. It influences decision-making processes that affect the community's well-being through collaboration with local authorities and organisations. The farm encourages biodiversity, organic farming, and conservation initiatives, which coincide with the sustainable livelihoods concept (De Haan &amp; Zoomers, 2005). The farm's activities promote environmental stewardship and inform the community about sustainable practices.</w:t>
      </w:r>
    </w:p>
    <w:p w14:paraId="6ED4CF2E" w14:textId="7271EAD7" w:rsidR="00DB04FC" w:rsidRPr="00DB04FC" w:rsidRDefault="00DB04FC" w:rsidP="00DB04FC">
      <w:pPr>
        <w:pStyle w:val="ListParagraph"/>
        <w:numPr>
          <w:ilvl w:val="0"/>
          <w:numId w:val="2"/>
        </w:num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b/>
          <w:bCs/>
          <w:color w:val="4C94D8" w:themeColor="text2" w:themeTint="80"/>
        </w:rPr>
        <w:t>Tailoring Messages to the Community Context</w:t>
      </w:r>
    </w:p>
    <w:p w14:paraId="4DD093DA" w14:textId="6B03232B" w:rsidR="00DB04FC" w:rsidRPr="00DB04FC" w:rsidRDefault="00DB04FC" w:rsidP="00DB04FC">
      <w:pPr>
        <w:pStyle w:val="ListParagraph"/>
        <w:numPr>
          <w:ilvl w:val="0"/>
          <w:numId w:val="5"/>
        </w:numPr>
        <w:spacing w:line="480" w:lineRule="auto"/>
        <w:jc w:val="both"/>
        <w:rPr>
          <w:rFonts w:ascii="Times New Roman" w:hAnsi="Times New Roman" w:cs="Times New Roman"/>
        </w:rPr>
      </w:pPr>
      <w:r w:rsidRPr="00DB04FC">
        <w:rPr>
          <w:rFonts w:ascii="Times New Roman" w:hAnsi="Times New Roman" w:cs="Times New Roman"/>
        </w:rPr>
        <w:t>Inclusivity: The farm fosters a welcoming environment for everyone, regardless of background or ability.</w:t>
      </w:r>
    </w:p>
    <w:p w14:paraId="55C4E3A4" w14:textId="77777777" w:rsidR="00DB04FC" w:rsidRPr="00DB04FC" w:rsidRDefault="00DB04FC" w:rsidP="00DB04FC">
      <w:pPr>
        <w:pStyle w:val="ListParagraph"/>
        <w:numPr>
          <w:ilvl w:val="0"/>
          <w:numId w:val="5"/>
        </w:numPr>
        <w:spacing w:line="480" w:lineRule="auto"/>
        <w:jc w:val="both"/>
        <w:rPr>
          <w:rFonts w:ascii="Times New Roman" w:hAnsi="Times New Roman" w:cs="Times New Roman"/>
        </w:rPr>
      </w:pPr>
      <w:r w:rsidRPr="00DB04FC">
        <w:rPr>
          <w:rFonts w:ascii="Times New Roman" w:hAnsi="Times New Roman" w:cs="Times New Roman"/>
        </w:rPr>
        <w:lastRenderedPageBreak/>
        <w:t>Wellbeing Focus: Emphasising activities that improve mental health and personal development.</w:t>
      </w:r>
    </w:p>
    <w:p w14:paraId="7D5DF56C" w14:textId="77777777" w:rsidR="00DB04FC" w:rsidRPr="00DB04FC" w:rsidRDefault="00DB04FC" w:rsidP="00DB04FC">
      <w:pPr>
        <w:pStyle w:val="ListParagraph"/>
        <w:numPr>
          <w:ilvl w:val="0"/>
          <w:numId w:val="5"/>
        </w:numPr>
        <w:spacing w:line="480" w:lineRule="auto"/>
        <w:jc w:val="both"/>
        <w:rPr>
          <w:rFonts w:ascii="Times New Roman" w:hAnsi="Times New Roman" w:cs="Times New Roman"/>
        </w:rPr>
      </w:pPr>
      <w:r w:rsidRPr="00DB04FC">
        <w:rPr>
          <w:rFonts w:ascii="Times New Roman" w:hAnsi="Times New Roman" w:cs="Times New Roman"/>
        </w:rPr>
        <w:t>Local Relevance: Addressing local concerns and exploiting local expertise.</w:t>
      </w:r>
    </w:p>
    <w:p w14:paraId="189D3130" w14:textId="1D0434DA" w:rsidR="00DB04FC" w:rsidRPr="00DB04FC" w:rsidRDefault="00DB04FC" w:rsidP="00DB04FC">
      <w:pPr>
        <w:pStyle w:val="ListParagraph"/>
        <w:numPr>
          <w:ilvl w:val="0"/>
          <w:numId w:val="5"/>
        </w:numPr>
        <w:spacing w:line="480" w:lineRule="auto"/>
        <w:jc w:val="both"/>
        <w:rPr>
          <w:rFonts w:ascii="Times New Roman" w:hAnsi="Times New Roman" w:cs="Times New Roman"/>
        </w:rPr>
      </w:pPr>
      <w:r w:rsidRPr="00DB04FC">
        <w:rPr>
          <w:rFonts w:ascii="Times New Roman" w:hAnsi="Times New Roman" w:cs="Times New Roman"/>
        </w:rPr>
        <w:t>Sustainability</w:t>
      </w:r>
      <w:r w:rsidRPr="00DB04FC">
        <w:rPr>
          <w:rFonts w:ascii="Times New Roman" w:hAnsi="Times New Roman" w:cs="Times New Roman"/>
        </w:rPr>
        <w:t>: E</w:t>
      </w:r>
      <w:r w:rsidRPr="00DB04FC">
        <w:rPr>
          <w:rFonts w:ascii="Times New Roman" w:hAnsi="Times New Roman" w:cs="Times New Roman"/>
        </w:rPr>
        <w:t>mphasising the necessity of environmental management for future generations.</w:t>
      </w:r>
    </w:p>
    <w:p w14:paraId="6174C924"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By aligning messages with community interests, the farm effectively increases engagement and promotes a sense of community (Goodsell, Flaherty, &amp; Brown, 2014).</w:t>
      </w:r>
    </w:p>
    <w:p w14:paraId="5AA839B4" w14:textId="77777777" w:rsidR="00DB04FC" w:rsidRPr="00DB04FC" w:rsidRDefault="00DB04FC" w:rsidP="00DB04FC">
      <w:p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b/>
          <w:bCs/>
          <w:color w:val="4C94D8" w:themeColor="text2" w:themeTint="80"/>
        </w:rPr>
        <w:t>Key Concepts in Behaviour Change Approaches</w:t>
      </w:r>
    </w:p>
    <w:p w14:paraId="02BAA408"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To induce behavioural change, the farm uses three essential concepts:</w:t>
      </w:r>
    </w:p>
    <w:p w14:paraId="72794EFB" w14:textId="718A53FB" w:rsidR="00DB04FC" w:rsidRPr="00F36BBB" w:rsidRDefault="00DB04FC" w:rsidP="00F36BBB">
      <w:pPr>
        <w:pStyle w:val="ListParagraph"/>
        <w:numPr>
          <w:ilvl w:val="0"/>
          <w:numId w:val="10"/>
        </w:numPr>
        <w:spacing w:line="480" w:lineRule="auto"/>
        <w:jc w:val="both"/>
        <w:rPr>
          <w:rFonts w:ascii="Times New Roman" w:hAnsi="Times New Roman" w:cs="Times New Roman"/>
        </w:rPr>
      </w:pPr>
      <w:r w:rsidRPr="00F36BBB">
        <w:rPr>
          <w:rFonts w:ascii="Times New Roman" w:hAnsi="Times New Roman" w:cs="Times New Roman"/>
        </w:rPr>
        <w:t>Empowerment</w:t>
      </w:r>
      <w:r w:rsidRPr="00F36BBB">
        <w:rPr>
          <w:rFonts w:ascii="Times New Roman" w:hAnsi="Times New Roman" w:cs="Times New Roman"/>
        </w:rPr>
        <w:t xml:space="preserve">: </w:t>
      </w:r>
      <w:r w:rsidRPr="00F36BBB">
        <w:rPr>
          <w:rFonts w:ascii="Times New Roman" w:hAnsi="Times New Roman" w:cs="Times New Roman"/>
        </w:rPr>
        <w:t>Involving community members in decision-making processes increases their sense of ownership and responsibility (Nussbaum, 2011). Volunteer groups and participatory planning at the farm help to make this possible. For example, volunteers are encouraged to participate in new activities and even offer tours, as indicated by a volunteer's statement: "To think, when I first started here, I wouldn't speak to anyone and was so nervous, and today I gave two tours around the farm!""</w:t>
      </w:r>
    </w:p>
    <w:p w14:paraId="1CFACD6F" w14:textId="0C7C208A" w:rsidR="00DB04FC" w:rsidRPr="00F36BBB" w:rsidRDefault="00DB04FC" w:rsidP="00F36BBB">
      <w:pPr>
        <w:pStyle w:val="ListParagraph"/>
        <w:numPr>
          <w:ilvl w:val="0"/>
          <w:numId w:val="10"/>
        </w:numPr>
        <w:spacing w:line="480" w:lineRule="auto"/>
        <w:jc w:val="both"/>
        <w:rPr>
          <w:rFonts w:ascii="Times New Roman" w:hAnsi="Times New Roman" w:cs="Times New Roman"/>
        </w:rPr>
      </w:pPr>
      <w:r w:rsidRPr="00F36BBB">
        <w:rPr>
          <w:rFonts w:ascii="Times New Roman" w:hAnsi="Times New Roman" w:cs="Times New Roman"/>
        </w:rPr>
        <w:t>Capabilities enhancement</w:t>
      </w:r>
      <w:r w:rsidRPr="00F36BBB">
        <w:rPr>
          <w:rFonts w:ascii="Times New Roman" w:hAnsi="Times New Roman" w:cs="Times New Roman"/>
        </w:rPr>
        <w:t xml:space="preserve">: </w:t>
      </w:r>
      <w:r w:rsidRPr="00F36BBB">
        <w:rPr>
          <w:rFonts w:ascii="Times New Roman" w:hAnsi="Times New Roman" w:cs="Times New Roman"/>
        </w:rPr>
        <w:t>The farm, modelled after Sen's (1999) capacity approach, focusses on increasing individuals' skills to achieve cherished goals. Participants build skills and confidence via training, education, and a variety of activities. This is demonstrated by the experiences of participants who learnt self-defence, woodworking, and mindfulness techniques.</w:t>
      </w:r>
    </w:p>
    <w:p w14:paraId="05EB7CA7" w14:textId="0779FEA6" w:rsidR="00DB04FC" w:rsidRPr="00F36BBB" w:rsidRDefault="00DB04FC" w:rsidP="00F36BBB">
      <w:pPr>
        <w:pStyle w:val="ListParagraph"/>
        <w:numPr>
          <w:ilvl w:val="0"/>
          <w:numId w:val="10"/>
        </w:numPr>
        <w:spacing w:line="480" w:lineRule="auto"/>
        <w:jc w:val="both"/>
        <w:rPr>
          <w:rFonts w:ascii="Times New Roman" w:hAnsi="Times New Roman" w:cs="Times New Roman"/>
        </w:rPr>
      </w:pPr>
      <w:r w:rsidRPr="00F36BBB">
        <w:rPr>
          <w:rFonts w:ascii="Times New Roman" w:hAnsi="Times New Roman" w:cs="Times New Roman"/>
        </w:rPr>
        <w:t>Social capital development</w:t>
      </w:r>
      <w:r w:rsidRPr="00F36BBB">
        <w:rPr>
          <w:rFonts w:ascii="Times New Roman" w:hAnsi="Times New Roman" w:cs="Times New Roman"/>
        </w:rPr>
        <w:t xml:space="preserve">: </w:t>
      </w:r>
      <w:r w:rsidRPr="00F36BBB">
        <w:rPr>
          <w:rFonts w:ascii="Times New Roman" w:hAnsi="Times New Roman" w:cs="Times New Roman"/>
        </w:rPr>
        <w:t xml:space="preserve">Bhattacharyya (2004) emphasises the importance of social capital in community development. The farm promotes trust, reciprocal standards, and networks that enable communal action. Volunteers and community members participate in shared activities that create social links, resulting in sentiments like "Every day is a </w:t>
      </w:r>
      <w:r w:rsidRPr="00F36BBB">
        <w:rPr>
          <w:rFonts w:ascii="Times New Roman" w:hAnsi="Times New Roman" w:cs="Times New Roman"/>
        </w:rPr>
        <w:lastRenderedPageBreak/>
        <w:t>wellbeing day" and "The atmosphere here is always so friendly, it makes you feel wanted."</w:t>
      </w:r>
    </w:p>
    <w:p w14:paraId="5809A2F1" w14:textId="2EA36973" w:rsidR="00DB04FC" w:rsidRPr="00F36BBB" w:rsidRDefault="00DB04FC" w:rsidP="00F36BBB">
      <w:pPr>
        <w:pStyle w:val="ListParagraph"/>
        <w:numPr>
          <w:ilvl w:val="0"/>
          <w:numId w:val="10"/>
        </w:numPr>
        <w:spacing w:line="480" w:lineRule="auto"/>
        <w:jc w:val="both"/>
        <w:rPr>
          <w:rFonts w:ascii="Times New Roman" w:hAnsi="Times New Roman" w:cs="Times New Roman"/>
        </w:rPr>
      </w:pPr>
      <w:r w:rsidRPr="00F36BBB">
        <w:rPr>
          <w:rFonts w:ascii="Times New Roman" w:hAnsi="Times New Roman" w:cs="Times New Roman"/>
        </w:rPr>
        <w:t>Interactional approach</w:t>
      </w:r>
      <w:r w:rsidRPr="00F36BBB">
        <w:rPr>
          <w:rFonts w:ascii="Times New Roman" w:hAnsi="Times New Roman" w:cs="Times New Roman"/>
        </w:rPr>
        <w:t xml:space="preserve">: </w:t>
      </w:r>
      <w:r w:rsidRPr="00F36BBB">
        <w:rPr>
          <w:rFonts w:ascii="Times New Roman" w:hAnsi="Times New Roman" w:cs="Times New Roman"/>
        </w:rPr>
        <w:t xml:space="preserve"> interactions in community development. The farm fosters community bonds and encourages mutual support by providing opportunities for contact through activities such as Farm Wellbeing Day.</w:t>
      </w:r>
    </w:p>
    <w:p w14:paraId="5D155FD7" w14:textId="039B6CC0"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Challenges Faced</w:t>
      </w:r>
    </w:p>
    <w:p w14:paraId="180AA56E"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Despite its successes, the farm confronts the following challenges:</w:t>
      </w:r>
    </w:p>
    <w:p w14:paraId="252B28D4"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Funding constraints might restrict program offers and infrastructure development.</w:t>
      </w:r>
    </w:p>
    <w:p w14:paraId="03CA2104" w14:textId="77777777" w:rsidR="00DB04FC" w:rsidRPr="00DB04FC" w:rsidRDefault="00DB04FC" w:rsidP="00DB04FC">
      <w:pPr>
        <w:pStyle w:val="ListParagraph"/>
        <w:numPr>
          <w:ilvl w:val="0"/>
          <w:numId w:val="6"/>
        </w:numPr>
        <w:spacing w:line="480" w:lineRule="auto"/>
        <w:jc w:val="both"/>
        <w:rPr>
          <w:rFonts w:ascii="Times New Roman" w:hAnsi="Times New Roman" w:cs="Times New Roman"/>
        </w:rPr>
      </w:pPr>
      <w:r w:rsidRPr="00DB04FC">
        <w:rPr>
          <w:rFonts w:ascii="Times New Roman" w:hAnsi="Times New Roman" w:cs="Times New Roman"/>
        </w:rPr>
        <w:t>Volunteer Retention: Keeping volunteers engaged over time might be difficult owing to competing responsibilities.</w:t>
      </w:r>
    </w:p>
    <w:p w14:paraId="7C613B51" w14:textId="77777777" w:rsidR="00DB04FC" w:rsidRPr="00DB04FC" w:rsidRDefault="00DB04FC" w:rsidP="00DB04FC">
      <w:pPr>
        <w:pStyle w:val="ListParagraph"/>
        <w:numPr>
          <w:ilvl w:val="0"/>
          <w:numId w:val="6"/>
        </w:numPr>
        <w:spacing w:line="480" w:lineRule="auto"/>
        <w:jc w:val="both"/>
        <w:rPr>
          <w:rFonts w:ascii="Times New Roman" w:hAnsi="Times New Roman" w:cs="Times New Roman"/>
        </w:rPr>
      </w:pPr>
      <w:r w:rsidRPr="00DB04FC">
        <w:rPr>
          <w:rFonts w:ascii="Times New Roman" w:hAnsi="Times New Roman" w:cs="Times New Roman"/>
        </w:rPr>
        <w:t>Inclusivity difficulties: Ensuring accessibility for all community members, especially those with impairments or language difficulties, necessitates ongoing efforts.</w:t>
      </w:r>
    </w:p>
    <w:p w14:paraId="392D7A5A" w14:textId="48BDC54B" w:rsidR="00DB04FC" w:rsidRPr="00DB04FC" w:rsidRDefault="00DB04FC" w:rsidP="00DB04FC">
      <w:pPr>
        <w:pStyle w:val="ListParagraph"/>
        <w:numPr>
          <w:ilvl w:val="0"/>
          <w:numId w:val="6"/>
        </w:numPr>
        <w:spacing w:line="480" w:lineRule="auto"/>
        <w:jc w:val="both"/>
        <w:rPr>
          <w:rFonts w:ascii="Times New Roman" w:hAnsi="Times New Roman" w:cs="Times New Roman"/>
        </w:rPr>
      </w:pPr>
      <w:r w:rsidRPr="00DB04FC">
        <w:rPr>
          <w:rFonts w:ascii="Times New Roman" w:hAnsi="Times New Roman" w:cs="Times New Roman"/>
        </w:rPr>
        <w:t xml:space="preserve">Mental Health Support: Addressing </w:t>
      </w:r>
      <w:r w:rsidRPr="00DB04FC">
        <w:rPr>
          <w:rFonts w:ascii="Times New Roman" w:hAnsi="Times New Roman" w:cs="Times New Roman"/>
        </w:rPr>
        <w:t>volunteers</w:t>
      </w:r>
      <w:r w:rsidRPr="00DB04FC">
        <w:rPr>
          <w:rFonts w:ascii="Times New Roman" w:hAnsi="Times New Roman" w:cs="Times New Roman"/>
        </w:rPr>
        <w:t xml:space="preserve"> varied mental health issues necessitates specialised resources and training.</w:t>
      </w:r>
    </w:p>
    <w:p w14:paraId="20BBA624"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Addressing these difficulties is critical to long-term growth (Green, 2008).</w:t>
      </w:r>
    </w:p>
    <w:p w14:paraId="3702C8F1" w14:textId="77777777"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Evaluation of Community Development Processes for Sustainable Improvement</w:t>
      </w:r>
    </w:p>
    <w:p w14:paraId="33DD19BD" w14:textId="2B23DFB4" w:rsidR="00DB04FC" w:rsidRPr="00F36BBB" w:rsidRDefault="00DB04FC" w:rsidP="00F36BBB">
      <w:pPr>
        <w:pStyle w:val="ListParagraph"/>
        <w:numPr>
          <w:ilvl w:val="0"/>
          <w:numId w:val="9"/>
        </w:numPr>
        <w:spacing w:line="480" w:lineRule="auto"/>
        <w:jc w:val="both"/>
        <w:rPr>
          <w:rFonts w:ascii="Times New Roman" w:hAnsi="Times New Roman" w:cs="Times New Roman"/>
        </w:rPr>
      </w:pPr>
      <w:r w:rsidRPr="00F36BBB">
        <w:rPr>
          <w:rFonts w:ascii="Times New Roman" w:hAnsi="Times New Roman" w:cs="Times New Roman"/>
        </w:rPr>
        <w:t>Community Capital Framework</w:t>
      </w:r>
      <w:r w:rsidRPr="00F36BBB">
        <w:rPr>
          <w:rFonts w:ascii="Times New Roman" w:hAnsi="Times New Roman" w:cs="Times New Roman"/>
        </w:rPr>
        <w:t xml:space="preserve">: </w:t>
      </w:r>
      <w:r w:rsidRPr="00F36BBB">
        <w:rPr>
          <w:rFonts w:ascii="Times New Roman" w:hAnsi="Times New Roman" w:cs="Times New Roman"/>
        </w:rPr>
        <w:t>Using the Community Capitals Framework (CCF) allows for a thorough examination of the farm's development processes (Flora et al. 2016). The CCF defines seven types of capital that are important for community development: natural, cultural, human, social, political, financial, and built capital.</w:t>
      </w:r>
    </w:p>
    <w:p w14:paraId="645C130C" w14:textId="77777777" w:rsidR="00DB04FC" w:rsidRPr="00F36BBB" w:rsidRDefault="00DB04FC" w:rsidP="00F36BBB">
      <w:pPr>
        <w:pStyle w:val="ListParagraph"/>
        <w:numPr>
          <w:ilvl w:val="0"/>
          <w:numId w:val="9"/>
        </w:numPr>
        <w:spacing w:line="480" w:lineRule="auto"/>
        <w:jc w:val="both"/>
        <w:rPr>
          <w:rFonts w:ascii="Times New Roman" w:hAnsi="Times New Roman" w:cs="Times New Roman"/>
        </w:rPr>
      </w:pPr>
      <w:r w:rsidRPr="00F36BBB">
        <w:rPr>
          <w:rFonts w:ascii="Times New Roman" w:hAnsi="Times New Roman" w:cs="Times New Roman"/>
        </w:rPr>
        <w:t>Natural capital</w:t>
      </w:r>
      <w:r w:rsidRPr="00F36BBB">
        <w:rPr>
          <w:rFonts w:ascii="Times New Roman" w:hAnsi="Times New Roman" w:cs="Times New Roman"/>
        </w:rPr>
        <w:t xml:space="preserve">: </w:t>
      </w:r>
      <w:r w:rsidRPr="00F36BBB">
        <w:rPr>
          <w:rFonts w:ascii="Times New Roman" w:hAnsi="Times New Roman" w:cs="Times New Roman"/>
        </w:rPr>
        <w:t xml:space="preserve">The farm increases natural capital by fostering sustainable agriculture and biodiversity. It functions as an urban green area, improving environmental quality </w:t>
      </w:r>
      <w:r w:rsidRPr="00F36BBB">
        <w:rPr>
          <w:rFonts w:ascii="Times New Roman" w:hAnsi="Times New Roman" w:cs="Times New Roman"/>
        </w:rPr>
        <w:lastRenderedPageBreak/>
        <w:t>and providing therapeutic benefits to volunteers, as evidenced by the good effects on mental health.</w:t>
      </w:r>
    </w:p>
    <w:p w14:paraId="3F99A113" w14:textId="51983866" w:rsidR="00DB04FC" w:rsidRPr="00F36BBB" w:rsidRDefault="00DB04FC" w:rsidP="00F36BBB">
      <w:pPr>
        <w:pStyle w:val="ListParagraph"/>
        <w:numPr>
          <w:ilvl w:val="0"/>
          <w:numId w:val="9"/>
        </w:numPr>
        <w:spacing w:line="480" w:lineRule="auto"/>
        <w:jc w:val="both"/>
        <w:rPr>
          <w:rFonts w:ascii="Times New Roman" w:hAnsi="Times New Roman" w:cs="Times New Roman"/>
        </w:rPr>
      </w:pPr>
      <w:r w:rsidRPr="00F36BBB">
        <w:rPr>
          <w:rFonts w:ascii="Times New Roman" w:hAnsi="Times New Roman" w:cs="Times New Roman"/>
        </w:rPr>
        <w:t>Cultural capital</w:t>
      </w:r>
      <w:r w:rsidRPr="00F36BBB">
        <w:rPr>
          <w:rFonts w:ascii="Times New Roman" w:hAnsi="Times New Roman" w:cs="Times New Roman"/>
        </w:rPr>
        <w:t xml:space="preserve">: </w:t>
      </w:r>
      <w:r w:rsidRPr="00F36BBB">
        <w:rPr>
          <w:rFonts w:ascii="Times New Roman" w:hAnsi="Times New Roman" w:cs="Times New Roman"/>
        </w:rPr>
        <w:t>The farm builds cultural capital by incorporating local customs and promoting cultural expression. Goat yoga and green woodworking are two activities that connect people with traditional customs and help to preserve identity and legacy.</w:t>
      </w:r>
    </w:p>
    <w:p w14:paraId="2CEDA1B1" w14:textId="067C6BF9" w:rsidR="00DB04FC" w:rsidRPr="00F36BBB" w:rsidRDefault="00DB04FC" w:rsidP="00F36BBB">
      <w:pPr>
        <w:pStyle w:val="ListParagraph"/>
        <w:numPr>
          <w:ilvl w:val="0"/>
          <w:numId w:val="9"/>
        </w:numPr>
        <w:spacing w:line="480" w:lineRule="auto"/>
        <w:jc w:val="both"/>
        <w:rPr>
          <w:rFonts w:ascii="Times New Roman" w:hAnsi="Times New Roman" w:cs="Times New Roman"/>
        </w:rPr>
      </w:pPr>
      <w:r w:rsidRPr="00F36BBB">
        <w:rPr>
          <w:rFonts w:ascii="Times New Roman" w:hAnsi="Times New Roman" w:cs="Times New Roman"/>
        </w:rPr>
        <w:t>Human Capital</w:t>
      </w:r>
      <w:r w:rsidRPr="00F36BBB">
        <w:rPr>
          <w:rFonts w:ascii="Times New Roman" w:hAnsi="Times New Roman" w:cs="Times New Roman"/>
        </w:rPr>
        <w:t xml:space="preserve">: </w:t>
      </w:r>
      <w:r w:rsidRPr="00F36BBB">
        <w:rPr>
          <w:rFonts w:ascii="Times New Roman" w:hAnsi="Times New Roman" w:cs="Times New Roman"/>
        </w:rPr>
        <w:t>Educational programs and skill-building opportunities help to boost human capital. Participants obtain knowledge and skills that benefit their careers and personal development (Bebbington, 1999). The tale of a volunteer whose confidence increased dramatically exemplifies this improvement.</w:t>
      </w:r>
    </w:p>
    <w:p w14:paraId="038E0A4C" w14:textId="49A86A1F" w:rsidR="00DB04FC" w:rsidRPr="00F36BBB" w:rsidRDefault="00DB04FC" w:rsidP="00F36BBB">
      <w:pPr>
        <w:pStyle w:val="ListParagraph"/>
        <w:numPr>
          <w:ilvl w:val="0"/>
          <w:numId w:val="9"/>
        </w:numPr>
        <w:spacing w:line="480" w:lineRule="auto"/>
        <w:jc w:val="both"/>
        <w:rPr>
          <w:rFonts w:ascii="Times New Roman" w:hAnsi="Times New Roman" w:cs="Times New Roman"/>
        </w:rPr>
      </w:pPr>
      <w:r w:rsidRPr="00F36BBB">
        <w:rPr>
          <w:rFonts w:ascii="Times New Roman" w:hAnsi="Times New Roman" w:cs="Times New Roman"/>
        </w:rPr>
        <w:t>Social capital</w:t>
      </w:r>
      <w:r w:rsidRPr="00F36BBB">
        <w:rPr>
          <w:rFonts w:ascii="Times New Roman" w:hAnsi="Times New Roman" w:cs="Times New Roman"/>
        </w:rPr>
        <w:t xml:space="preserve">: </w:t>
      </w:r>
      <w:r w:rsidRPr="00F36BBB">
        <w:rPr>
          <w:rFonts w:ascii="Times New Roman" w:hAnsi="Times New Roman" w:cs="Times New Roman"/>
        </w:rPr>
        <w:t>The farm increases social capital through networking, collaboration, and trust-building activities. Volunteers and staff's shared experiences foster a supportive community, which is necessary for collective action and resilience (Emery &amp; Flora, 2006).</w:t>
      </w:r>
    </w:p>
    <w:p w14:paraId="38EC79E1" w14:textId="77777777" w:rsidR="00F36BBB" w:rsidRPr="00F36BBB" w:rsidRDefault="00DB04FC" w:rsidP="00F36BBB">
      <w:pPr>
        <w:pStyle w:val="ListParagraph"/>
        <w:numPr>
          <w:ilvl w:val="0"/>
          <w:numId w:val="9"/>
        </w:numPr>
        <w:spacing w:line="480" w:lineRule="auto"/>
        <w:jc w:val="both"/>
        <w:rPr>
          <w:rFonts w:ascii="Times New Roman" w:hAnsi="Times New Roman" w:cs="Times New Roman"/>
        </w:rPr>
      </w:pPr>
      <w:r w:rsidRPr="00F36BBB">
        <w:rPr>
          <w:rFonts w:ascii="Times New Roman" w:hAnsi="Times New Roman" w:cs="Times New Roman"/>
        </w:rPr>
        <w:t>Political capital</w:t>
      </w:r>
      <w:r w:rsidRPr="00F36BBB">
        <w:rPr>
          <w:rFonts w:ascii="Times New Roman" w:hAnsi="Times New Roman" w:cs="Times New Roman"/>
        </w:rPr>
        <w:t xml:space="preserve">: </w:t>
      </w:r>
      <w:r w:rsidRPr="00F36BBB">
        <w:rPr>
          <w:rFonts w:ascii="Times New Roman" w:hAnsi="Times New Roman" w:cs="Times New Roman"/>
        </w:rPr>
        <w:t>Engagement with local governance structures boosts political capital. The farm pushes for policies that benefit the community and works with local businesses and organisations to further its effect.</w:t>
      </w:r>
    </w:p>
    <w:p w14:paraId="1B926BF4" w14:textId="5A14B0A9" w:rsidR="00DB04FC" w:rsidRPr="00F36BBB" w:rsidRDefault="00DB04FC" w:rsidP="00F36BBB">
      <w:pPr>
        <w:pStyle w:val="ListParagraph"/>
        <w:numPr>
          <w:ilvl w:val="0"/>
          <w:numId w:val="9"/>
        </w:numPr>
        <w:spacing w:line="480" w:lineRule="auto"/>
        <w:jc w:val="both"/>
        <w:rPr>
          <w:rFonts w:ascii="Times New Roman" w:hAnsi="Times New Roman" w:cs="Times New Roman"/>
        </w:rPr>
      </w:pPr>
      <w:r w:rsidRPr="00F36BBB">
        <w:rPr>
          <w:rFonts w:ascii="Times New Roman" w:hAnsi="Times New Roman" w:cs="Times New Roman"/>
        </w:rPr>
        <w:t>Financial capital</w:t>
      </w:r>
      <w:r w:rsidR="00F36BBB" w:rsidRPr="00F36BBB">
        <w:rPr>
          <w:rFonts w:ascii="Times New Roman" w:hAnsi="Times New Roman" w:cs="Times New Roman"/>
        </w:rPr>
        <w:t xml:space="preserve">: </w:t>
      </w:r>
      <w:r w:rsidRPr="00F36BBB">
        <w:rPr>
          <w:rFonts w:ascii="Times New Roman" w:hAnsi="Times New Roman" w:cs="Times New Roman"/>
        </w:rPr>
        <w:t>Although financial resources are limited, the farm makes money through vegetable sales, events, and donations. The urging of community members to become monthly donors indicates efforts to increase financial sustainability.</w:t>
      </w:r>
    </w:p>
    <w:p w14:paraId="5C4B63A7" w14:textId="1126228C" w:rsidR="00DB04FC" w:rsidRPr="00F36BBB" w:rsidRDefault="00DB04FC" w:rsidP="00F36BBB">
      <w:pPr>
        <w:pStyle w:val="ListParagraph"/>
        <w:numPr>
          <w:ilvl w:val="0"/>
          <w:numId w:val="9"/>
        </w:numPr>
        <w:spacing w:line="480" w:lineRule="auto"/>
        <w:jc w:val="both"/>
        <w:rPr>
          <w:rFonts w:ascii="Times New Roman" w:hAnsi="Times New Roman" w:cs="Times New Roman"/>
        </w:rPr>
      </w:pPr>
      <w:r w:rsidRPr="00F36BBB">
        <w:rPr>
          <w:rFonts w:ascii="Times New Roman" w:hAnsi="Times New Roman" w:cs="Times New Roman"/>
        </w:rPr>
        <w:t>Built capital</w:t>
      </w:r>
      <w:r w:rsidR="00F36BBB" w:rsidRPr="00F36BBB">
        <w:rPr>
          <w:rFonts w:ascii="Times New Roman" w:hAnsi="Times New Roman" w:cs="Times New Roman"/>
        </w:rPr>
        <w:t xml:space="preserve">: </w:t>
      </w:r>
      <w:r w:rsidRPr="00F36BBB">
        <w:rPr>
          <w:rFonts w:ascii="Times New Roman" w:hAnsi="Times New Roman" w:cs="Times New Roman"/>
        </w:rPr>
        <w:t xml:space="preserve">Infrastructure enhancements, such as event and activity centres, </w:t>
      </w:r>
      <w:r w:rsidR="00F36BBB" w:rsidRPr="00F36BBB">
        <w:rPr>
          <w:rFonts w:ascii="Times New Roman" w:hAnsi="Times New Roman" w:cs="Times New Roman"/>
        </w:rPr>
        <w:t>boost-built</w:t>
      </w:r>
      <w:r w:rsidRPr="00F36BBB">
        <w:rPr>
          <w:rFonts w:ascii="Times New Roman" w:hAnsi="Times New Roman" w:cs="Times New Roman"/>
        </w:rPr>
        <w:t xml:space="preserve"> capital. The provision of amenities such as the mobile sauna reflects investment in infrastructure that promotes well-being activities.</w:t>
      </w:r>
    </w:p>
    <w:p w14:paraId="6E45318E" w14:textId="77777777" w:rsidR="00F36BBB" w:rsidRDefault="00F36BBB" w:rsidP="00DB04FC">
      <w:pPr>
        <w:spacing w:line="480" w:lineRule="auto"/>
        <w:jc w:val="both"/>
        <w:rPr>
          <w:rFonts w:ascii="Times New Roman" w:hAnsi="Times New Roman" w:cs="Times New Roman"/>
          <w:b/>
          <w:bCs/>
          <w:color w:val="4C94D8" w:themeColor="text2" w:themeTint="80"/>
        </w:rPr>
      </w:pPr>
    </w:p>
    <w:p w14:paraId="43FD0E79" w14:textId="77777777" w:rsidR="00F36BBB" w:rsidRDefault="00F36BBB" w:rsidP="00DB04FC">
      <w:pPr>
        <w:spacing w:line="480" w:lineRule="auto"/>
        <w:jc w:val="both"/>
        <w:rPr>
          <w:rFonts w:ascii="Times New Roman" w:hAnsi="Times New Roman" w:cs="Times New Roman"/>
          <w:b/>
          <w:bCs/>
          <w:color w:val="4C94D8" w:themeColor="text2" w:themeTint="80"/>
        </w:rPr>
      </w:pPr>
    </w:p>
    <w:p w14:paraId="41CB5557" w14:textId="6F8B099F" w:rsidR="00F36BBB"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lastRenderedPageBreak/>
        <w:t>Sustainable Livelihood Approach</w:t>
      </w:r>
    </w:p>
    <w:p w14:paraId="03F36DFE" w14:textId="75D68578"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Sustainable Livelihoods Approach (SLA) provides information about how the farm contributes to long-term development (De Haan &amp; Zoomers, 2003). The SLA explores how assets, vulnerabilities, and shifting structures interact to influence livelihoods.</w:t>
      </w:r>
    </w:p>
    <w:p w14:paraId="2C146D2E"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farm provides access to both physical assets (land and tools) and intangible assets (skills and networks). Volunteers acquire both practical experience and personal improvement.</w:t>
      </w:r>
    </w:p>
    <w:p w14:paraId="26AD44D2" w14:textId="77777777" w:rsidR="00DB04FC" w:rsidRPr="00F36BBB" w:rsidRDefault="00DB04FC" w:rsidP="00F36BBB">
      <w:pPr>
        <w:pStyle w:val="ListParagraph"/>
        <w:numPr>
          <w:ilvl w:val="0"/>
          <w:numId w:val="7"/>
        </w:numPr>
        <w:spacing w:line="480" w:lineRule="auto"/>
        <w:jc w:val="both"/>
        <w:rPr>
          <w:rFonts w:ascii="Times New Roman" w:hAnsi="Times New Roman" w:cs="Times New Roman"/>
        </w:rPr>
      </w:pPr>
      <w:r w:rsidRPr="00F36BBB">
        <w:rPr>
          <w:rFonts w:ascii="Times New Roman" w:hAnsi="Times New Roman" w:cs="Times New Roman"/>
        </w:rPr>
        <w:t>Vulnerabilities: It reduces vulnerabilities by providing mental health care and a safe, nonjudgmental environment for those with special needs.</w:t>
      </w:r>
    </w:p>
    <w:p w14:paraId="6035EE39" w14:textId="77777777" w:rsidR="00DB04FC" w:rsidRPr="00F36BBB" w:rsidRDefault="00DB04FC" w:rsidP="00F36BBB">
      <w:pPr>
        <w:pStyle w:val="ListParagraph"/>
        <w:numPr>
          <w:ilvl w:val="0"/>
          <w:numId w:val="7"/>
        </w:numPr>
        <w:spacing w:line="480" w:lineRule="auto"/>
        <w:jc w:val="both"/>
        <w:rPr>
          <w:rFonts w:ascii="Times New Roman" w:hAnsi="Times New Roman" w:cs="Times New Roman"/>
        </w:rPr>
      </w:pPr>
      <w:r w:rsidRPr="00F36BBB">
        <w:rPr>
          <w:rFonts w:ascii="Times New Roman" w:hAnsi="Times New Roman" w:cs="Times New Roman"/>
        </w:rPr>
        <w:t>Transforming Structures: Through advocacy and partnerships, the farm works to influence policies and institutional practices, resulting in systemic change for the community.</w:t>
      </w:r>
    </w:p>
    <w:p w14:paraId="1000FAEB"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farm fosters long-term livelihoods by increasing assets and decreasing vulnerabilities.</w:t>
      </w:r>
    </w:p>
    <w:p w14:paraId="6920318F" w14:textId="77777777"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Interactional field theory</w:t>
      </w:r>
    </w:p>
    <w:p w14:paraId="131A37EF"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Wilkinson's (1991) interactional field theory emphasises the importance of interaction in community formation. The farm serves as a focal point for interactions that lead to communal actions addressing shared interests. Wellbeing events and volunteer initiatives promote contacts that enhance community relationships.</w:t>
      </w:r>
    </w:p>
    <w:p w14:paraId="125E0033" w14:textId="77777777"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Community development is a social movement.</w:t>
      </w:r>
    </w:p>
    <w:p w14:paraId="3B3A62CB"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Viewing the farm as part of a social movement emphasises its significance in pushing for social change (Green, 2008). It brings together community members around common aims of sustainability, well-being, and social inclusion.</w:t>
      </w:r>
    </w:p>
    <w:p w14:paraId="6FD800ED" w14:textId="77777777" w:rsidR="00F36BBB" w:rsidRDefault="00F36BBB" w:rsidP="00DB04FC">
      <w:pPr>
        <w:spacing w:line="480" w:lineRule="auto"/>
        <w:jc w:val="both"/>
        <w:rPr>
          <w:rFonts w:ascii="Times New Roman" w:hAnsi="Times New Roman" w:cs="Times New Roman"/>
          <w:b/>
          <w:bCs/>
          <w:color w:val="4C94D8" w:themeColor="text2" w:themeTint="80"/>
        </w:rPr>
      </w:pPr>
    </w:p>
    <w:p w14:paraId="1EF6F2EB" w14:textId="1594283A"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lastRenderedPageBreak/>
        <w:t>Challenges in Community Development</w:t>
      </w:r>
    </w:p>
    <w:p w14:paraId="02D1D8D2" w14:textId="77777777" w:rsidR="00DB04FC" w:rsidRPr="00F36BBB" w:rsidRDefault="00DB04FC" w:rsidP="00F36BBB">
      <w:pPr>
        <w:pStyle w:val="ListParagraph"/>
        <w:numPr>
          <w:ilvl w:val="0"/>
          <w:numId w:val="8"/>
        </w:numPr>
        <w:spacing w:line="480" w:lineRule="auto"/>
        <w:jc w:val="both"/>
        <w:rPr>
          <w:rFonts w:ascii="Times New Roman" w:hAnsi="Times New Roman" w:cs="Times New Roman"/>
        </w:rPr>
      </w:pPr>
      <w:r w:rsidRPr="00F36BBB">
        <w:rPr>
          <w:rFonts w:ascii="Times New Roman" w:hAnsi="Times New Roman" w:cs="Times New Roman"/>
        </w:rPr>
        <w:t>Balancing Diverse Interests: Effective communication and conflict resolution are required when managing stakeholders' differing priorities.</w:t>
      </w:r>
    </w:p>
    <w:p w14:paraId="4777B3A6" w14:textId="77777777" w:rsidR="00DB04FC" w:rsidRPr="00F36BBB" w:rsidRDefault="00DB04FC" w:rsidP="00F36BBB">
      <w:pPr>
        <w:pStyle w:val="ListParagraph"/>
        <w:numPr>
          <w:ilvl w:val="0"/>
          <w:numId w:val="8"/>
        </w:numPr>
        <w:spacing w:line="480" w:lineRule="auto"/>
        <w:jc w:val="both"/>
        <w:rPr>
          <w:rFonts w:ascii="Times New Roman" w:hAnsi="Times New Roman" w:cs="Times New Roman"/>
        </w:rPr>
      </w:pPr>
      <w:r w:rsidRPr="00F36BBB">
        <w:rPr>
          <w:rFonts w:ascii="Times New Roman" w:hAnsi="Times New Roman" w:cs="Times New Roman"/>
        </w:rPr>
        <w:t>Initiative Sustainability: To ensure the long-term viability of initiatives, strategic planning and resource management are necessary.</w:t>
      </w:r>
    </w:p>
    <w:p w14:paraId="5633CC76" w14:textId="77777777" w:rsidR="00DB04FC" w:rsidRPr="00F36BBB" w:rsidRDefault="00DB04FC" w:rsidP="00F36BBB">
      <w:pPr>
        <w:pStyle w:val="ListParagraph"/>
        <w:numPr>
          <w:ilvl w:val="0"/>
          <w:numId w:val="8"/>
        </w:numPr>
        <w:spacing w:line="480" w:lineRule="auto"/>
        <w:jc w:val="both"/>
        <w:rPr>
          <w:rFonts w:ascii="Times New Roman" w:hAnsi="Times New Roman" w:cs="Times New Roman"/>
        </w:rPr>
      </w:pPr>
      <w:r w:rsidRPr="00F36BBB">
        <w:rPr>
          <w:rFonts w:ascii="Times New Roman" w:hAnsi="Times New Roman" w:cs="Times New Roman"/>
        </w:rPr>
        <w:t>External Factors: Economic volatility and policy changes can have an impact on farm operations.</w:t>
      </w:r>
    </w:p>
    <w:p w14:paraId="1C379D97" w14:textId="77777777" w:rsidR="00DB04FC" w:rsidRPr="00F36BBB" w:rsidRDefault="00DB04FC" w:rsidP="00F36BBB">
      <w:pPr>
        <w:pStyle w:val="ListParagraph"/>
        <w:numPr>
          <w:ilvl w:val="0"/>
          <w:numId w:val="8"/>
        </w:numPr>
        <w:spacing w:line="480" w:lineRule="auto"/>
        <w:jc w:val="both"/>
        <w:rPr>
          <w:rFonts w:ascii="Times New Roman" w:hAnsi="Times New Roman" w:cs="Times New Roman"/>
        </w:rPr>
      </w:pPr>
      <w:r w:rsidRPr="00F36BBB">
        <w:rPr>
          <w:rFonts w:ascii="Times New Roman" w:hAnsi="Times New Roman" w:cs="Times New Roman"/>
        </w:rPr>
        <w:t>Mental Health Resources: Providing adequate help for volunteers experiencing mental health issues necessitates constant investment in training and resources.</w:t>
      </w:r>
    </w:p>
    <w:p w14:paraId="1CA571B7"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Recognising and tackling these difficulties is essential for long-term community development (Matarrita-Cascante &amp; Brennan, 2012).</w:t>
      </w:r>
    </w:p>
    <w:p w14:paraId="5FCE17DF" w14:textId="77777777"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Incorporation of the latest developments</w:t>
      </w:r>
    </w:p>
    <w:p w14:paraId="0076AD6B" w14:textId="77777777"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Initiatives to Promote Wellbeing</w:t>
      </w:r>
    </w:p>
    <w:p w14:paraId="63E78875"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recent Farm Wellbeing Day illustrates the farm's dedication to improving mental health and well-being. Self-defence lessons, green woodworking sessions, goat yoga, and mindfulness labyrinths presented participants with a variety of opportunities to engage in self-care and personal growth. These programs address the growing need for mental health help in the community.</w:t>
      </w:r>
    </w:p>
    <w:p w14:paraId="53036B06"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A volunteer described the impact of these activities: "I get really anxious, even this morning, I didn't want to come in, but I forced myself because I knew I'd have a good time, it's like practicing a muscle, just keep doing new things and it eventually becomes easy." This reflects the farm's role in fostering resilience and confidence among participants.</w:t>
      </w:r>
    </w:p>
    <w:p w14:paraId="4A97B624" w14:textId="77777777" w:rsidR="00F36BBB" w:rsidRDefault="00F36BBB" w:rsidP="00DB04FC">
      <w:pPr>
        <w:spacing w:line="480" w:lineRule="auto"/>
        <w:jc w:val="both"/>
        <w:rPr>
          <w:rFonts w:ascii="Times New Roman" w:hAnsi="Times New Roman" w:cs="Times New Roman"/>
          <w:b/>
          <w:bCs/>
          <w:color w:val="4C94D8" w:themeColor="text2" w:themeTint="80"/>
        </w:rPr>
      </w:pPr>
    </w:p>
    <w:p w14:paraId="0169A197" w14:textId="77777777" w:rsidR="00F36BBB" w:rsidRDefault="00F36BBB" w:rsidP="00DB04FC">
      <w:pPr>
        <w:spacing w:line="480" w:lineRule="auto"/>
        <w:jc w:val="both"/>
        <w:rPr>
          <w:rFonts w:ascii="Times New Roman" w:hAnsi="Times New Roman" w:cs="Times New Roman"/>
          <w:b/>
          <w:bCs/>
          <w:color w:val="4C94D8" w:themeColor="text2" w:themeTint="80"/>
        </w:rPr>
      </w:pPr>
    </w:p>
    <w:p w14:paraId="2DBF3DEE" w14:textId="393355A6" w:rsid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The impact on the family</w:t>
      </w:r>
    </w:p>
    <w:p w14:paraId="5BD38F83" w14:textId="37C578FC" w:rsidR="00DB04FC" w:rsidRPr="00F36BBB" w:rsidRDefault="00DB04FC" w:rsidP="00DB04FC">
      <w:pPr>
        <w:spacing w:line="480" w:lineRule="auto"/>
        <w:jc w:val="both"/>
        <w:rPr>
          <w:rFonts w:ascii="Times New Roman" w:hAnsi="Times New Roman" w:cs="Times New Roman"/>
          <w:b/>
          <w:bCs/>
          <w:color w:val="4C94D8" w:themeColor="text2" w:themeTint="80"/>
        </w:rPr>
      </w:pPr>
      <w:r w:rsidRPr="00DB04FC">
        <w:rPr>
          <w:rFonts w:ascii="Times New Roman" w:hAnsi="Times New Roman" w:cs="Times New Roman"/>
        </w:rPr>
        <w:t>The farm's impact extends beyond the individual volunteers to their families. A parent's testimony emphasises the transforming effect on their autistic son: "When he first came here, he was furious, irritated, and frustrated... Fast forward nearly three years, and the situation has changed dramatically... Our house is now filled with more pleasure and laughter."</w:t>
      </w:r>
    </w:p>
    <w:p w14:paraId="471BBE15"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This demonstrates the farm's ability to enable large beneficial changes in individuals, which then spread to improve family dynamics and general community wellbeing.</w:t>
      </w:r>
    </w:p>
    <w:p w14:paraId="623859DE" w14:textId="77777777"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Volunteer development</w:t>
      </w:r>
    </w:p>
    <w:p w14:paraId="26DC8061" w14:textId="1EB7372B"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farm assists volunteers in overcoming personal obstacles and acquiring new skills. A volunteer added, "To think, when I first came here, I wouldn't speak to anyone because I was so nervous, and today I gave two tours around the farm!</w:t>
      </w:r>
      <w:r w:rsidR="00F36BBB">
        <w:rPr>
          <w:rFonts w:ascii="Times New Roman" w:hAnsi="Times New Roman" w:cs="Times New Roman"/>
        </w:rPr>
        <w:t xml:space="preserve"> </w:t>
      </w:r>
      <w:r w:rsidRPr="00DB04FC">
        <w:rPr>
          <w:rFonts w:ascii="Times New Roman" w:hAnsi="Times New Roman" w:cs="Times New Roman"/>
        </w:rPr>
        <w:t>Such examples indicate the farm's efficacy in developing human capital and promoting empowerment.</w:t>
      </w:r>
    </w:p>
    <w:p w14:paraId="4CC0A836" w14:textId="77777777"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t>Engagement within the community</w:t>
      </w:r>
    </w:p>
    <w:p w14:paraId="160207FF"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farm actively involves the community by sharing tales and inviting members to become monthly supporters or volunteers. This strategy is consistent with the concept of community development as a social movement (Green, 2008), which mobilises resources and support to achieve long-term impact.</w:t>
      </w:r>
    </w:p>
    <w:p w14:paraId="32ECB146" w14:textId="77777777" w:rsidR="00F36BBB" w:rsidRDefault="00F36BBB" w:rsidP="00DB04FC">
      <w:pPr>
        <w:spacing w:line="480" w:lineRule="auto"/>
        <w:jc w:val="both"/>
        <w:rPr>
          <w:rFonts w:ascii="Times New Roman" w:hAnsi="Times New Roman" w:cs="Times New Roman"/>
          <w:b/>
          <w:bCs/>
          <w:color w:val="4C94D8" w:themeColor="text2" w:themeTint="80"/>
        </w:rPr>
      </w:pPr>
    </w:p>
    <w:p w14:paraId="2FACE305" w14:textId="77777777" w:rsidR="00F36BBB" w:rsidRDefault="00F36BBB" w:rsidP="00DB04FC">
      <w:pPr>
        <w:spacing w:line="480" w:lineRule="auto"/>
        <w:jc w:val="both"/>
        <w:rPr>
          <w:rFonts w:ascii="Times New Roman" w:hAnsi="Times New Roman" w:cs="Times New Roman"/>
          <w:b/>
          <w:bCs/>
          <w:color w:val="4C94D8" w:themeColor="text2" w:themeTint="80"/>
        </w:rPr>
      </w:pPr>
    </w:p>
    <w:p w14:paraId="61E59CED" w14:textId="77777777" w:rsidR="00F36BBB" w:rsidRDefault="00F36BBB" w:rsidP="00DB04FC">
      <w:pPr>
        <w:spacing w:line="480" w:lineRule="auto"/>
        <w:jc w:val="both"/>
        <w:rPr>
          <w:rFonts w:ascii="Times New Roman" w:hAnsi="Times New Roman" w:cs="Times New Roman"/>
          <w:b/>
          <w:bCs/>
          <w:color w:val="4C94D8" w:themeColor="text2" w:themeTint="80"/>
        </w:rPr>
      </w:pPr>
    </w:p>
    <w:p w14:paraId="3EB1313B" w14:textId="2EBA694B" w:rsidR="00F36BBB" w:rsidRDefault="00F36BBB" w:rsidP="00DB04FC">
      <w:pPr>
        <w:spacing w:line="480" w:lineRule="auto"/>
        <w:jc w:val="both"/>
        <w:rPr>
          <w:rFonts w:ascii="Times New Roman" w:hAnsi="Times New Roman" w:cs="Times New Roman"/>
          <w:b/>
          <w:bCs/>
          <w:color w:val="4C94D8" w:themeColor="text2" w:themeTint="80"/>
        </w:rPr>
      </w:pPr>
    </w:p>
    <w:p w14:paraId="0B340988" w14:textId="73452534" w:rsidR="00DB04FC" w:rsidRPr="00F36BBB" w:rsidRDefault="00DB04FC" w:rsidP="00DB04FC">
      <w:pPr>
        <w:spacing w:line="480" w:lineRule="auto"/>
        <w:jc w:val="both"/>
        <w:rPr>
          <w:rFonts w:ascii="Times New Roman" w:hAnsi="Times New Roman" w:cs="Times New Roman"/>
          <w:b/>
          <w:bCs/>
          <w:color w:val="4C94D8" w:themeColor="text2" w:themeTint="80"/>
        </w:rPr>
      </w:pPr>
      <w:r w:rsidRPr="00F36BBB">
        <w:rPr>
          <w:rFonts w:ascii="Times New Roman" w:hAnsi="Times New Roman" w:cs="Times New Roman"/>
          <w:b/>
          <w:bCs/>
          <w:color w:val="4C94D8" w:themeColor="text2" w:themeTint="80"/>
        </w:rPr>
        <w:lastRenderedPageBreak/>
        <w:t>Conclusion</w:t>
      </w:r>
    </w:p>
    <w:p w14:paraId="665E4A38" w14:textId="77777777" w:rsidR="00DB04FC" w:rsidRPr="00DB04FC" w:rsidRDefault="00DB04FC" w:rsidP="00DB04FC">
      <w:pPr>
        <w:spacing w:line="480" w:lineRule="auto"/>
        <w:jc w:val="both"/>
        <w:rPr>
          <w:rFonts w:ascii="Times New Roman" w:hAnsi="Times New Roman" w:cs="Times New Roman"/>
        </w:rPr>
      </w:pPr>
      <w:r w:rsidRPr="00DB04FC">
        <w:rPr>
          <w:rFonts w:ascii="Times New Roman" w:hAnsi="Times New Roman" w:cs="Times New Roman"/>
        </w:rPr>
        <w:t>Swansea Community Farm shows good community development by using local assets, cultivating social capital, and encouraging environmentally friendly activities. It engages a diverse population by using targeted messaging and inclusive tactics to improve social cohesion and environmental stewardship. The farm's actions are consistent with fundamental community development ideas such as the Community Capitals Framework and the Sustainable Livelihoods Approach, which contribute to long-term community progress.</w:t>
      </w:r>
    </w:p>
    <w:p w14:paraId="15E0DDE5" w14:textId="5066862B" w:rsidR="00A23085" w:rsidRDefault="00DB04FC" w:rsidP="00DB04FC">
      <w:pPr>
        <w:spacing w:line="480" w:lineRule="auto"/>
        <w:jc w:val="both"/>
        <w:rPr>
          <w:rFonts w:ascii="Times New Roman" w:hAnsi="Times New Roman" w:cs="Times New Roman"/>
        </w:rPr>
      </w:pPr>
      <w:r w:rsidRPr="00DB04FC">
        <w:rPr>
          <w:rFonts w:ascii="Times New Roman" w:hAnsi="Times New Roman" w:cs="Times New Roman"/>
        </w:rPr>
        <w:t>The inclusion of well-being initiatives and personal success stories demonstrates the farm's substantial impact on individuals and families. However, issues such as resource constraints and meeting mental health requirements necessitate continual attention. Swansea Community Farm can maintain its good impact and serve as a model for similar initiatives if it continues to use strong community development processes and addresses difficulties proactively.</w:t>
      </w:r>
    </w:p>
    <w:p w14:paraId="331D0275" w14:textId="77777777" w:rsidR="00F36BBB" w:rsidRDefault="00F36BBB" w:rsidP="00DB04FC">
      <w:pPr>
        <w:spacing w:line="480" w:lineRule="auto"/>
        <w:jc w:val="both"/>
        <w:rPr>
          <w:rFonts w:ascii="Times New Roman" w:hAnsi="Times New Roman" w:cs="Times New Roman"/>
        </w:rPr>
      </w:pPr>
    </w:p>
    <w:p w14:paraId="7DA05F4C" w14:textId="77777777" w:rsidR="00F36BBB" w:rsidRDefault="00F36BBB" w:rsidP="00DB04FC">
      <w:pPr>
        <w:spacing w:line="480" w:lineRule="auto"/>
        <w:jc w:val="both"/>
        <w:rPr>
          <w:rFonts w:ascii="Times New Roman" w:hAnsi="Times New Roman" w:cs="Times New Roman"/>
        </w:rPr>
      </w:pPr>
    </w:p>
    <w:p w14:paraId="7D2BFB45" w14:textId="77777777" w:rsidR="00F36BBB" w:rsidRDefault="00F36BBB" w:rsidP="00DB04FC">
      <w:pPr>
        <w:spacing w:line="480" w:lineRule="auto"/>
        <w:jc w:val="both"/>
        <w:rPr>
          <w:rFonts w:ascii="Times New Roman" w:hAnsi="Times New Roman" w:cs="Times New Roman"/>
        </w:rPr>
      </w:pPr>
    </w:p>
    <w:p w14:paraId="6D7580D8" w14:textId="77777777" w:rsidR="00F36BBB" w:rsidRDefault="00F36BBB" w:rsidP="00DB04FC">
      <w:pPr>
        <w:spacing w:line="480" w:lineRule="auto"/>
        <w:jc w:val="both"/>
        <w:rPr>
          <w:rFonts w:ascii="Times New Roman" w:hAnsi="Times New Roman" w:cs="Times New Roman"/>
        </w:rPr>
      </w:pPr>
    </w:p>
    <w:p w14:paraId="652C7744" w14:textId="77777777" w:rsidR="00F36BBB" w:rsidRDefault="00F36BBB" w:rsidP="00DB04FC">
      <w:pPr>
        <w:spacing w:line="480" w:lineRule="auto"/>
        <w:jc w:val="both"/>
        <w:rPr>
          <w:rFonts w:ascii="Times New Roman" w:hAnsi="Times New Roman" w:cs="Times New Roman"/>
        </w:rPr>
      </w:pPr>
    </w:p>
    <w:p w14:paraId="6B3C519B" w14:textId="77777777" w:rsidR="00F36BBB" w:rsidRDefault="00F36BBB" w:rsidP="00DB04FC">
      <w:pPr>
        <w:spacing w:line="480" w:lineRule="auto"/>
        <w:jc w:val="both"/>
        <w:rPr>
          <w:rFonts w:ascii="Times New Roman" w:hAnsi="Times New Roman" w:cs="Times New Roman"/>
        </w:rPr>
      </w:pPr>
    </w:p>
    <w:p w14:paraId="7D7087FA" w14:textId="77777777" w:rsidR="00F36BBB" w:rsidRDefault="00F36BBB" w:rsidP="00DB04FC">
      <w:pPr>
        <w:spacing w:line="480" w:lineRule="auto"/>
        <w:jc w:val="both"/>
        <w:rPr>
          <w:rFonts w:ascii="Times New Roman" w:hAnsi="Times New Roman" w:cs="Times New Roman"/>
        </w:rPr>
      </w:pPr>
    </w:p>
    <w:p w14:paraId="42B061C2" w14:textId="77777777" w:rsidR="00F36BBB" w:rsidRDefault="00F36BBB" w:rsidP="00DB04FC">
      <w:pPr>
        <w:spacing w:line="480" w:lineRule="auto"/>
        <w:jc w:val="both"/>
        <w:rPr>
          <w:rFonts w:ascii="Times New Roman" w:hAnsi="Times New Roman" w:cs="Times New Roman"/>
        </w:rPr>
      </w:pPr>
    </w:p>
    <w:p w14:paraId="269CECC7" w14:textId="77777777" w:rsidR="00F36BBB" w:rsidRDefault="00F36BBB" w:rsidP="00DB04FC">
      <w:pPr>
        <w:spacing w:line="480" w:lineRule="auto"/>
        <w:jc w:val="both"/>
        <w:rPr>
          <w:rFonts w:ascii="Times New Roman" w:hAnsi="Times New Roman" w:cs="Times New Roman"/>
        </w:rPr>
      </w:pPr>
    </w:p>
    <w:p w14:paraId="0E1B9712" w14:textId="77777777" w:rsidR="00F36BBB" w:rsidRDefault="00F36BBB" w:rsidP="00DB04FC">
      <w:pPr>
        <w:spacing w:line="480" w:lineRule="auto"/>
        <w:jc w:val="both"/>
        <w:rPr>
          <w:rFonts w:ascii="Times New Roman" w:hAnsi="Times New Roman" w:cs="Times New Roman"/>
        </w:rPr>
      </w:pPr>
    </w:p>
    <w:p w14:paraId="54F67C3A" w14:textId="399EC3E5" w:rsidR="00F36BBB" w:rsidRPr="00C6319C" w:rsidRDefault="00F36BBB" w:rsidP="00DB04FC">
      <w:pPr>
        <w:spacing w:line="480" w:lineRule="auto"/>
        <w:jc w:val="both"/>
        <w:rPr>
          <w:rFonts w:ascii="Times New Roman" w:hAnsi="Times New Roman" w:cs="Times New Roman"/>
          <w:b/>
          <w:bCs/>
          <w:color w:val="4C94D8" w:themeColor="text2" w:themeTint="80"/>
        </w:rPr>
      </w:pPr>
      <w:r w:rsidRPr="00C6319C">
        <w:rPr>
          <w:rFonts w:ascii="Times New Roman" w:hAnsi="Times New Roman" w:cs="Times New Roman"/>
          <w:b/>
          <w:bCs/>
          <w:color w:val="4C94D8" w:themeColor="text2" w:themeTint="80"/>
        </w:rPr>
        <w:lastRenderedPageBreak/>
        <w:t xml:space="preserve">References </w:t>
      </w:r>
    </w:p>
    <w:p w14:paraId="6701627A" w14:textId="2A8BC609" w:rsid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Bebbington, A. (1999). Capitals and capabilities: A framework for </w:t>
      </w:r>
      <w:r w:rsidRPr="00C6319C">
        <w:rPr>
          <w:rFonts w:ascii="Times New Roman" w:hAnsi="Times New Roman" w:cs="Times New Roman"/>
        </w:rPr>
        <w:t>analysing</w:t>
      </w:r>
      <w:r w:rsidRPr="00C6319C">
        <w:rPr>
          <w:rFonts w:ascii="Times New Roman" w:hAnsi="Times New Roman" w:cs="Times New Roman"/>
        </w:rPr>
        <w:t xml:space="preserve"> peasant viability, rural livelihoods, and poverty. </w:t>
      </w:r>
      <w:r w:rsidRPr="00C6319C">
        <w:rPr>
          <w:rFonts w:ascii="Times New Roman" w:hAnsi="Times New Roman" w:cs="Times New Roman"/>
          <w:i/>
          <w:iCs/>
        </w:rPr>
        <w:t>World Development, 27</w:t>
      </w:r>
      <w:r w:rsidRPr="00C6319C">
        <w:rPr>
          <w:rFonts w:ascii="Times New Roman" w:hAnsi="Times New Roman" w:cs="Times New Roman"/>
        </w:rPr>
        <w:t xml:space="preserve">(12), 2021–2044. </w:t>
      </w:r>
      <w:hyperlink r:id="rId7" w:history="1">
        <w:r w:rsidRPr="008006A0">
          <w:rPr>
            <w:rStyle w:val="Hyperlink"/>
            <w:rFonts w:ascii="Times New Roman" w:hAnsi="Times New Roman" w:cs="Times New Roman"/>
          </w:rPr>
          <w:t>https://doi.org/10.1016/S0305-750X(99)00104-7</w:t>
        </w:r>
      </w:hyperlink>
    </w:p>
    <w:p w14:paraId="04D1E8BD" w14:textId="3703C3FF" w:rsid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Bhattacharyya, J. (2004). Theorizing community development. </w:t>
      </w:r>
      <w:r w:rsidRPr="00C6319C">
        <w:rPr>
          <w:rFonts w:ascii="Times New Roman" w:hAnsi="Times New Roman" w:cs="Times New Roman"/>
          <w:i/>
          <w:iCs/>
        </w:rPr>
        <w:t>Community Development, 34</w:t>
      </w:r>
      <w:r w:rsidRPr="00C6319C">
        <w:rPr>
          <w:rFonts w:ascii="Times New Roman" w:hAnsi="Times New Roman" w:cs="Times New Roman"/>
        </w:rPr>
        <w:t xml:space="preserve">(2), 5–34. </w:t>
      </w:r>
      <w:hyperlink r:id="rId8" w:history="1">
        <w:r w:rsidRPr="008006A0">
          <w:rPr>
            <w:rStyle w:val="Hyperlink"/>
            <w:rFonts w:ascii="Times New Roman" w:hAnsi="Times New Roman" w:cs="Times New Roman"/>
          </w:rPr>
          <w:t>https://doi.org/10.1080/15575330409490110</w:t>
        </w:r>
      </w:hyperlink>
    </w:p>
    <w:p w14:paraId="20E80A82" w14:textId="09B2986F" w:rsid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Bradshaw, T. (2008). The post-place community: Contributions to the debate about the definition of community. </w:t>
      </w:r>
      <w:r w:rsidRPr="00C6319C">
        <w:rPr>
          <w:rFonts w:ascii="Times New Roman" w:hAnsi="Times New Roman" w:cs="Times New Roman"/>
          <w:i/>
          <w:iCs/>
        </w:rPr>
        <w:t>Community Development, 39</w:t>
      </w:r>
      <w:r w:rsidRPr="00C6319C">
        <w:rPr>
          <w:rFonts w:ascii="Times New Roman" w:hAnsi="Times New Roman" w:cs="Times New Roman"/>
        </w:rPr>
        <w:t xml:space="preserve">(1), 5–16. </w:t>
      </w:r>
      <w:hyperlink r:id="rId9" w:history="1">
        <w:r w:rsidRPr="008006A0">
          <w:rPr>
            <w:rStyle w:val="Hyperlink"/>
            <w:rFonts w:ascii="Times New Roman" w:hAnsi="Times New Roman" w:cs="Times New Roman"/>
          </w:rPr>
          <w:t>https://doi.org/10.1080/15575330809489738</w:t>
        </w:r>
      </w:hyperlink>
    </w:p>
    <w:p w14:paraId="195D984C" w14:textId="425062B8" w:rsidR="00C6319C" w:rsidRP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Bridger, J. C., Brennan, M. A., &amp; Luloff, A. E. (2011). The interactional approach to community. In J. W. Robinson Jr. &amp; G. P. Green (Eds.), </w:t>
      </w:r>
      <w:r w:rsidRPr="00C6319C">
        <w:rPr>
          <w:rFonts w:ascii="Times New Roman" w:hAnsi="Times New Roman" w:cs="Times New Roman"/>
          <w:i/>
          <w:iCs/>
        </w:rPr>
        <w:t xml:space="preserve">Introduction to community development: Theory, practice, and service-learning </w:t>
      </w:r>
      <w:r w:rsidRPr="00C6319C">
        <w:rPr>
          <w:rFonts w:ascii="Times New Roman" w:hAnsi="Times New Roman" w:cs="Times New Roman"/>
        </w:rPr>
        <w:t>(pp. 85–100). Sage.</w:t>
      </w:r>
    </w:p>
    <w:p w14:paraId="28F20F9D" w14:textId="5858D4C5" w:rsid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De Haan, L., &amp; Zoomers, A. (2003). Development geography at the crossroads of livelihood and globalization. </w:t>
      </w:r>
      <w:proofErr w:type="spellStart"/>
      <w:r w:rsidRPr="00C6319C">
        <w:rPr>
          <w:rFonts w:ascii="Times New Roman" w:hAnsi="Times New Roman" w:cs="Times New Roman"/>
        </w:rPr>
        <w:t>Tijdschrift</w:t>
      </w:r>
      <w:proofErr w:type="spellEnd"/>
      <w:r w:rsidRPr="00C6319C">
        <w:rPr>
          <w:rFonts w:ascii="Times New Roman" w:hAnsi="Times New Roman" w:cs="Times New Roman"/>
        </w:rPr>
        <w:t xml:space="preserve"> </w:t>
      </w:r>
      <w:proofErr w:type="spellStart"/>
      <w:r w:rsidRPr="00C6319C">
        <w:rPr>
          <w:rFonts w:ascii="Times New Roman" w:hAnsi="Times New Roman" w:cs="Times New Roman"/>
        </w:rPr>
        <w:t>voor</w:t>
      </w:r>
      <w:proofErr w:type="spellEnd"/>
      <w:r w:rsidRPr="00C6319C">
        <w:rPr>
          <w:rFonts w:ascii="Times New Roman" w:hAnsi="Times New Roman" w:cs="Times New Roman"/>
        </w:rPr>
        <w:t xml:space="preserve"> </w:t>
      </w:r>
      <w:proofErr w:type="spellStart"/>
      <w:r w:rsidRPr="00C6319C">
        <w:rPr>
          <w:rFonts w:ascii="Times New Roman" w:hAnsi="Times New Roman" w:cs="Times New Roman"/>
        </w:rPr>
        <w:t>Economische</w:t>
      </w:r>
      <w:proofErr w:type="spellEnd"/>
      <w:r w:rsidRPr="00C6319C">
        <w:rPr>
          <w:rFonts w:ascii="Times New Roman" w:hAnsi="Times New Roman" w:cs="Times New Roman"/>
        </w:rPr>
        <w:t xml:space="preserve"> </w:t>
      </w:r>
      <w:proofErr w:type="spellStart"/>
      <w:r w:rsidRPr="00C6319C">
        <w:rPr>
          <w:rFonts w:ascii="Times New Roman" w:hAnsi="Times New Roman" w:cs="Times New Roman"/>
        </w:rPr>
        <w:t>en</w:t>
      </w:r>
      <w:proofErr w:type="spellEnd"/>
      <w:r w:rsidRPr="00C6319C">
        <w:rPr>
          <w:rFonts w:ascii="Times New Roman" w:hAnsi="Times New Roman" w:cs="Times New Roman"/>
        </w:rPr>
        <w:t xml:space="preserve"> </w:t>
      </w:r>
      <w:proofErr w:type="spellStart"/>
      <w:r w:rsidRPr="00C6319C">
        <w:rPr>
          <w:rFonts w:ascii="Times New Roman" w:hAnsi="Times New Roman" w:cs="Times New Roman"/>
        </w:rPr>
        <w:t>Sociale</w:t>
      </w:r>
      <w:proofErr w:type="spellEnd"/>
      <w:r w:rsidRPr="00C6319C">
        <w:rPr>
          <w:rFonts w:ascii="Times New Roman" w:hAnsi="Times New Roman" w:cs="Times New Roman"/>
        </w:rPr>
        <w:t xml:space="preserve"> </w:t>
      </w:r>
      <w:proofErr w:type="spellStart"/>
      <w:r w:rsidRPr="00C6319C">
        <w:rPr>
          <w:rFonts w:ascii="Times New Roman" w:hAnsi="Times New Roman" w:cs="Times New Roman"/>
        </w:rPr>
        <w:t>Geografie</w:t>
      </w:r>
      <w:proofErr w:type="spellEnd"/>
      <w:r w:rsidRPr="00C6319C">
        <w:rPr>
          <w:rFonts w:ascii="Times New Roman" w:hAnsi="Times New Roman" w:cs="Times New Roman"/>
        </w:rPr>
        <w:t xml:space="preserve">, 94(3), 350–362. </w:t>
      </w:r>
      <w:hyperlink r:id="rId10" w:history="1">
        <w:r w:rsidRPr="008006A0">
          <w:rPr>
            <w:rStyle w:val="Hyperlink"/>
            <w:rFonts w:ascii="Times New Roman" w:hAnsi="Times New Roman" w:cs="Times New Roman"/>
          </w:rPr>
          <w:t>https://doi.org/10.1111/1467-9663.00262</w:t>
        </w:r>
      </w:hyperlink>
    </w:p>
    <w:p w14:paraId="2B22C458" w14:textId="30DC87CE" w:rsid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De Haan, L., &amp; Zoomers, A. (2005). Exploring the frontier of livelihoods research. </w:t>
      </w:r>
      <w:r w:rsidRPr="00C6319C">
        <w:rPr>
          <w:rFonts w:ascii="Times New Roman" w:hAnsi="Times New Roman" w:cs="Times New Roman"/>
          <w:i/>
          <w:iCs/>
        </w:rPr>
        <w:t>Development and Change, 36(</w:t>
      </w:r>
      <w:r w:rsidRPr="00C6319C">
        <w:rPr>
          <w:rFonts w:ascii="Times New Roman" w:hAnsi="Times New Roman" w:cs="Times New Roman"/>
        </w:rPr>
        <w:t xml:space="preserve">1), 27–47. </w:t>
      </w:r>
      <w:hyperlink r:id="rId11" w:history="1">
        <w:r w:rsidRPr="008006A0">
          <w:rPr>
            <w:rStyle w:val="Hyperlink"/>
            <w:rFonts w:ascii="Times New Roman" w:hAnsi="Times New Roman" w:cs="Times New Roman"/>
          </w:rPr>
          <w:t>https://doi.org/10.1111/j.0012-155X.2005.00401.x</w:t>
        </w:r>
      </w:hyperlink>
    </w:p>
    <w:p w14:paraId="1473798C" w14:textId="15FD06CA" w:rsid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Emery, M., &amp; Flora, C. (2006). </w:t>
      </w:r>
      <w:r w:rsidRPr="00C6319C">
        <w:rPr>
          <w:rFonts w:ascii="Times New Roman" w:hAnsi="Times New Roman" w:cs="Times New Roman"/>
        </w:rPr>
        <w:t>Spiralling</w:t>
      </w:r>
      <w:r w:rsidRPr="00C6319C">
        <w:rPr>
          <w:rFonts w:ascii="Times New Roman" w:hAnsi="Times New Roman" w:cs="Times New Roman"/>
        </w:rPr>
        <w:t xml:space="preserve">-up: Mapping community transformation with community capitals framework. </w:t>
      </w:r>
      <w:r w:rsidRPr="00C6319C">
        <w:rPr>
          <w:rFonts w:ascii="Times New Roman" w:hAnsi="Times New Roman" w:cs="Times New Roman"/>
          <w:i/>
          <w:iCs/>
        </w:rPr>
        <w:t>Community Development, 37</w:t>
      </w:r>
      <w:r w:rsidRPr="00C6319C">
        <w:rPr>
          <w:rFonts w:ascii="Times New Roman" w:hAnsi="Times New Roman" w:cs="Times New Roman"/>
        </w:rPr>
        <w:t xml:space="preserve">(1), 19–35. </w:t>
      </w:r>
      <w:hyperlink r:id="rId12" w:history="1">
        <w:r w:rsidRPr="008006A0">
          <w:rPr>
            <w:rStyle w:val="Hyperlink"/>
            <w:rFonts w:ascii="Times New Roman" w:hAnsi="Times New Roman" w:cs="Times New Roman"/>
          </w:rPr>
          <w:t>https://doi.org/10.1080/15575330609490152</w:t>
        </w:r>
      </w:hyperlink>
    </w:p>
    <w:p w14:paraId="79C0E606" w14:textId="35583845" w:rsidR="00C6319C" w:rsidRP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Flora, C. B., Flora, J. L., &amp; </w:t>
      </w:r>
      <w:proofErr w:type="spellStart"/>
      <w:r w:rsidRPr="00C6319C">
        <w:rPr>
          <w:rFonts w:ascii="Times New Roman" w:hAnsi="Times New Roman" w:cs="Times New Roman"/>
        </w:rPr>
        <w:t>Gasteyer</w:t>
      </w:r>
      <w:proofErr w:type="spellEnd"/>
      <w:r w:rsidRPr="00C6319C">
        <w:rPr>
          <w:rFonts w:ascii="Times New Roman" w:hAnsi="Times New Roman" w:cs="Times New Roman"/>
        </w:rPr>
        <w:t xml:space="preserve">, S. P. (2016). </w:t>
      </w:r>
      <w:r w:rsidRPr="00C6319C">
        <w:rPr>
          <w:rFonts w:ascii="Times New Roman" w:hAnsi="Times New Roman" w:cs="Times New Roman"/>
          <w:i/>
          <w:iCs/>
        </w:rPr>
        <w:t>Rural communities: Legacy + change</w:t>
      </w:r>
      <w:r w:rsidRPr="00C6319C">
        <w:rPr>
          <w:rFonts w:ascii="Times New Roman" w:hAnsi="Times New Roman" w:cs="Times New Roman"/>
        </w:rPr>
        <w:t xml:space="preserve"> (5th ed.). Westview Press.</w:t>
      </w:r>
    </w:p>
    <w:p w14:paraId="78455A9B" w14:textId="77777777" w:rsidR="00C6319C" w:rsidRPr="00C6319C" w:rsidRDefault="00C6319C" w:rsidP="00C6319C">
      <w:pPr>
        <w:spacing w:line="480" w:lineRule="auto"/>
        <w:jc w:val="both"/>
        <w:rPr>
          <w:rFonts w:ascii="Times New Roman" w:hAnsi="Times New Roman" w:cs="Times New Roman"/>
        </w:rPr>
      </w:pPr>
    </w:p>
    <w:p w14:paraId="17B1D1D7" w14:textId="77777777" w:rsidR="00C6319C" w:rsidRP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lastRenderedPageBreak/>
        <w:t>Goodsell, T. L., Flaherty, J., &amp; Brown, R. B. (2014). Community as moral proximity: Theorizing community in a global economy. In C. Bailey, L. Jensen, &amp; E. Ransom (Eds.), Rural America in a globalizing world: Problems and prospects for the 2010s (pp. 626–641). West Virginia University Press.</w:t>
      </w:r>
    </w:p>
    <w:p w14:paraId="76F89585" w14:textId="77777777" w:rsidR="00C6319C" w:rsidRP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Green, G. P., &amp; Haines, A. (2011). Asset building and community development (3rd ed.). Sage.</w:t>
      </w:r>
    </w:p>
    <w:p w14:paraId="046CA326" w14:textId="24C6C695" w:rsid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Green, J. J. (2008). Community development as social movement: A contribution to models of practice. </w:t>
      </w:r>
      <w:r w:rsidRPr="00C6319C">
        <w:rPr>
          <w:rFonts w:ascii="Times New Roman" w:hAnsi="Times New Roman" w:cs="Times New Roman"/>
          <w:i/>
          <w:iCs/>
        </w:rPr>
        <w:t>Community Development, 39</w:t>
      </w:r>
      <w:r w:rsidRPr="00C6319C">
        <w:rPr>
          <w:rFonts w:ascii="Times New Roman" w:hAnsi="Times New Roman" w:cs="Times New Roman"/>
        </w:rPr>
        <w:t xml:space="preserve">(1), 50–62. </w:t>
      </w:r>
      <w:hyperlink r:id="rId13" w:history="1">
        <w:r w:rsidRPr="008006A0">
          <w:rPr>
            <w:rStyle w:val="Hyperlink"/>
            <w:rFonts w:ascii="Times New Roman" w:hAnsi="Times New Roman" w:cs="Times New Roman"/>
          </w:rPr>
          <w:t>https://doi.org/10.1080/15575330809489741</w:t>
        </w:r>
      </w:hyperlink>
    </w:p>
    <w:p w14:paraId="1FFF3ED4" w14:textId="7544F7FD" w:rsid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Matarrita-Cascante, D., &amp; Brennan, M. A. (2012). Conceptualizing community development in the twenty-first century. </w:t>
      </w:r>
      <w:r w:rsidRPr="00CA0AEF">
        <w:rPr>
          <w:rFonts w:ascii="Times New Roman" w:hAnsi="Times New Roman" w:cs="Times New Roman"/>
          <w:i/>
          <w:iCs/>
        </w:rPr>
        <w:t>Community Development, 43</w:t>
      </w:r>
      <w:r w:rsidRPr="00C6319C">
        <w:rPr>
          <w:rFonts w:ascii="Times New Roman" w:hAnsi="Times New Roman" w:cs="Times New Roman"/>
        </w:rPr>
        <w:t xml:space="preserve">(3), 293–305. </w:t>
      </w:r>
      <w:hyperlink r:id="rId14" w:history="1">
        <w:r w:rsidRPr="008006A0">
          <w:rPr>
            <w:rStyle w:val="Hyperlink"/>
            <w:rFonts w:ascii="Times New Roman" w:hAnsi="Times New Roman" w:cs="Times New Roman"/>
          </w:rPr>
          <w:t>https://doi.org/10.1080/15575330.2011.593267</w:t>
        </w:r>
      </w:hyperlink>
    </w:p>
    <w:p w14:paraId="7B8AFF13" w14:textId="05FB97E7" w:rsidR="00C6319C" w:rsidRPr="00C6319C"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Nussbaum, M. C. (2011). </w:t>
      </w:r>
      <w:r w:rsidRPr="00CA0AEF">
        <w:rPr>
          <w:rFonts w:ascii="Times New Roman" w:hAnsi="Times New Roman" w:cs="Times New Roman"/>
          <w:i/>
          <w:iCs/>
        </w:rPr>
        <w:t>Creating capabilities: The human development approach</w:t>
      </w:r>
      <w:r w:rsidRPr="00C6319C">
        <w:rPr>
          <w:rFonts w:ascii="Times New Roman" w:hAnsi="Times New Roman" w:cs="Times New Roman"/>
        </w:rPr>
        <w:t>. Harvard University Press.</w:t>
      </w:r>
    </w:p>
    <w:p w14:paraId="6CB218C2" w14:textId="4E93BCC5" w:rsidR="00F36BBB" w:rsidRPr="00A23085" w:rsidRDefault="00C6319C" w:rsidP="00C6319C">
      <w:pPr>
        <w:spacing w:line="480" w:lineRule="auto"/>
        <w:jc w:val="both"/>
        <w:rPr>
          <w:rFonts w:ascii="Times New Roman" w:hAnsi="Times New Roman" w:cs="Times New Roman"/>
        </w:rPr>
      </w:pPr>
      <w:r w:rsidRPr="00C6319C">
        <w:rPr>
          <w:rFonts w:ascii="Times New Roman" w:hAnsi="Times New Roman" w:cs="Times New Roman"/>
        </w:rPr>
        <w:t xml:space="preserve">Wilkinson, K. P. (1991). </w:t>
      </w:r>
      <w:r w:rsidRPr="00CA0AEF">
        <w:rPr>
          <w:rFonts w:ascii="Times New Roman" w:hAnsi="Times New Roman" w:cs="Times New Roman"/>
          <w:i/>
          <w:iCs/>
        </w:rPr>
        <w:t>The community in rural America</w:t>
      </w:r>
      <w:r w:rsidRPr="00C6319C">
        <w:rPr>
          <w:rFonts w:ascii="Times New Roman" w:hAnsi="Times New Roman" w:cs="Times New Roman"/>
        </w:rPr>
        <w:t>. Greenwood Press.</w:t>
      </w:r>
    </w:p>
    <w:sectPr w:rsidR="00F36BBB" w:rsidRPr="00A23085" w:rsidSect="00F96E9C">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79D01" w14:textId="77777777" w:rsidR="00E95D49" w:rsidRDefault="00E95D49" w:rsidP="00F96E9C">
      <w:pPr>
        <w:spacing w:after="0" w:line="240" w:lineRule="auto"/>
      </w:pPr>
      <w:r>
        <w:separator/>
      </w:r>
    </w:p>
  </w:endnote>
  <w:endnote w:type="continuationSeparator" w:id="0">
    <w:p w14:paraId="3C749AFC" w14:textId="77777777" w:rsidR="00E95D49" w:rsidRDefault="00E95D49" w:rsidP="00F96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3593578"/>
      <w:docPartObj>
        <w:docPartGallery w:val="Page Numbers (Bottom of Page)"/>
        <w:docPartUnique/>
      </w:docPartObj>
    </w:sdtPr>
    <w:sdtEndPr>
      <w:rPr>
        <w:noProof/>
      </w:rPr>
    </w:sdtEndPr>
    <w:sdtContent>
      <w:p w14:paraId="5A96B46A" w14:textId="063C9FEF" w:rsidR="00F96E9C" w:rsidRDefault="00F96E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CF6C55" w14:textId="77777777" w:rsidR="00F96E9C" w:rsidRDefault="00F96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BD541" w14:textId="77777777" w:rsidR="00E95D49" w:rsidRDefault="00E95D49" w:rsidP="00F96E9C">
      <w:pPr>
        <w:spacing w:after="0" w:line="240" w:lineRule="auto"/>
      </w:pPr>
      <w:r>
        <w:separator/>
      </w:r>
    </w:p>
  </w:footnote>
  <w:footnote w:type="continuationSeparator" w:id="0">
    <w:p w14:paraId="56F13E32" w14:textId="77777777" w:rsidR="00E95D49" w:rsidRDefault="00E95D49" w:rsidP="00F96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E568DF"/>
    <w:multiLevelType w:val="hybridMultilevel"/>
    <w:tmpl w:val="12C433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00CC7"/>
    <w:multiLevelType w:val="hybridMultilevel"/>
    <w:tmpl w:val="C7BAA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6326CD"/>
    <w:multiLevelType w:val="hybridMultilevel"/>
    <w:tmpl w:val="94808A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13CEB"/>
    <w:multiLevelType w:val="hybridMultilevel"/>
    <w:tmpl w:val="AA12E9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7E4E1C"/>
    <w:multiLevelType w:val="hybridMultilevel"/>
    <w:tmpl w:val="AA32C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7E1499"/>
    <w:multiLevelType w:val="hybridMultilevel"/>
    <w:tmpl w:val="BC080D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2926C2"/>
    <w:multiLevelType w:val="hybridMultilevel"/>
    <w:tmpl w:val="27B49F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C309E3"/>
    <w:multiLevelType w:val="hybridMultilevel"/>
    <w:tmpl w:val="F2B6E5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336D72"/>
    <w:multiLevelType w:val="hybridMultilevel"/>
    <w:tmpl w:val="1442A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310513"/>
    <w:multiLevelType w:val="hybridMultilevel"/>
    <w:tmpl w:val="916A03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9448943">
    <w:abstractNumId w:val="7"/>
  </w:num>
  <w:num w:numId="2" w16cid:durableId="507403048">
    <w:abstractNumId w:val="1"/>
  </w:num>
  <w:num w:numId="3" w16cid:durableId="1368096671">
    <w:abstractNumId w:val="9"/>
  </w:num>
  <w:num w:numId="4" w16cid:durableId="1611663731">
    <w:abstractNumId w:val="6"/>
  </w:num>
  <w:num w:numId="5" w16cid:durableId="32734827">
    <w:abstractNumId w:val="0"/>
  </w:num>
  <w:num w:numId="6" w16cid:durableId="1384257451">
    <w:abstractNumId w:val="5"/>
  </w:num>
  <w:num w:numId="7" w16cid:durableId="371079429">
    <w:abstractNumId w:val="3"/>
  </w:num>
  <w:num w:numId="8" w16cid:durableId="732116686">
    <w:abstractNumId w:val="4"/>
  </w:num>
  <w:num w:numId="9" w16cid:durableId="1331255821">
    <w:abstractNumId w:val="8"/>
  </w:num>
  <w:num w:numId="10" w16cid:durableId="10295249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085"/>
    <w:rsid w:val="00930CF1"/>
    <w:rsid w:val="00A23085"/>
    <w:rsid w:val="00C6319C"/>
    <w:rsid w:val="00CA0AEF"/>
    <w:rsid w:val="00DB04FC"/>
    <w:rsid w:val="00E95D49"/>
    <w:rsid w:val="00F36BBB"/>
    <w:rsid w:val="00F96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C5D53"/>
  <w15:chartTrackingRefBased/>
  <w15:docId w15:val="{DF3ECA2C-638A-4A56-B35D-386EF320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0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30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0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0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0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0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0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0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0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0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0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0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0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085"/>
    <w:rPr>
      <w:rFonts w:eastAsiaTheme="majorEastAsia" w:cstheme="majorBidi"/>
      <w:color w:val="272727" w:themeColor="text1" w:themeTint="D8"/>
    </w:rPr>
  </w:style>
  <w:style w:type="paragraph" w:styleId="Title">
    <w:name w:val="Title"/>
    <w:basedOn w:val="Normal"/>
    <w:next w:val="Normal"/>
    <w:link w:val="TitleChar"/>
    <w:uiPriority w:val="10"/>
    <w:qFormat/>
    <w:rsid w:val="00A230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0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0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0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085"/>
    <w:pPr>
      <w:spacing w:before="160"/>
      <w:jc w:val="center"/>
    </w:pPr>
    <w:rPr>
      <w:i/>
      <w:iCs/>
      <w:color w:val="404040" w:themeColor="text1" w:themeTint="BF"/>
    </w:rPr>
  </w:style>
  <w:style w:type="character" w:customStyle="1" w:styleId="QuoteChar">
    <w:name w:val="Quote Char"/>
    <w:basedOn w:val="DefaultParagraphFont"/>
    <w:link w:val="Quote"/>
    <w:uiPriority w:val="29"/>
    <w:rsid w:val="00A23085"/>
    <w:rPr>
      <w:i/>
      <w:iCs/>
      <w:color w:val="404040" w:themeColor="text1" w:themeTint="BF"/>
    </w:rPr>
  </w:style>
  <w:style w:type="paragraph" w:styleId="ListParagraph">
    <w:name w:val="List Paragraph"/>
    <w:basedOn w:val="Normal"/>
    <w:uiPriority w:val="34"/>
    <w:qFormat/>
    <w:rsid w:val="00A23085"/>
    <w:pPr>
      <w:ind w:left="720"/>
      <w:contextualSpacing/>
    </w:pPr>
  </w:style>
  <w:style w:type="character" w:styleId="IntenseEmphasis">
    <w:name w:val="Intense Emphasis"/>
    <w:basedOn w:val="DefaultParagraphFont"/>
    <w:uiPriority w:val="21"/>
    <w:qFormat/>
    <w:rsid w:val="00A23085"/>
    <w:rPr>
      <w:i/>
      <w:iCs/>
      <w:color w:val="0F4761" w:themeColor="accent1" w:themeShade="BF"/>
    </w:rPr>
  </w:style>
  <w:style w:type="paragraph" w:styleId="IntenseQuote">
    <w:name w:val="Intense Quote"/>
    <w:basedOn w:val="Normal"/>
    <w:next w:val="Normal"/>
    <w:link w:val="IntenseQuoteChar"/>
    <w:uiPriority w:val="30"/>
    <w:qFormat/>
    <w:rsid w:val="00A230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085"/>
    <w:rPr>
      <w:i/>
      <w:iCs/>
      <w:color w:val="0F4761" w:themeColor="accent1" w:themeShade="BF"/>
    </w:rPr>
  </w:style>
  <w:style w:type="character" w:styleId="IntenseReference">
    <w:name w:val="Intense Reference"/>
    <w:basedOn w:val="DefaultParagraphFont"/>
    <w:uiPriority w:val="32"/>
    <w:qFormat/>
    <w:rsid w:val="00A23085"/>
    <w:rPr>
      <w:b/>
      <w:bCs/>
      <w:smallCaps/>
      <w:color w:val="0F4761" w:themeColor="accent1" w:themeShade="BF"/>
      <w:spacing w:val="5"/>
    </w:rPr>
  </w:style>
  <w:style w:type="paragraph" w:styleId="Header">
    <w:name w:val="header"/>
    <w:basedOn w:val="Normal"/>
    <w:link w:val="HeaderChar"/>
    <w:uiPriority w:val="99"/>
    <w:unhideWhenUsed/>
    <w:rsid w:val="00F96E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E9C"/>
  </w:style>
  <w:style w:type="paragraph" w:styleId="Footer">
    <w:name w:val="footer"/>
    <w:basedOn w:val="Normal"/>
    <w:link w:val="FooterChar"/>
    <w:uiPriority w:val="99"/>
    <w:unhideWhenUsed/>
    <w:rsid w:val="00F96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E9C"/>
  </w:style>
  <w:style w:type="paragraph" w:styleId="NoSpacing">
    <w:name w:val="No Spacing"/>
    <w:uiPriority w:val="1"/>
    <w:qFormat/>
    <w:rsid w:val="00F96E9C"/>
    <w:pPr>
      <w:spacing w:after="0" w:line="240" w:lineRule="auto"/>
    </w:pPr>
    <w:rPr>
      <w:color w:val="0E2841" w:themeColor="text2"/>
      <w:kern w:val="0"/>
      <w:sz w:val="20"/>
      <w:szCs w:val="20"/>
      <w:lang w:val="en-US"/>
      <w14:ligatures w14:val="none"/>
    </w:rPr>
  </w:style>
  <w:style w:type="character" w:styleId="Hyperlink">
    <w:name w:val="Hyperlink"/>
    <w:basedOn w:val="DefaultParagraphFont"/>
    <w:uiPriority w:val="99"/>
    <w:unhideWhenUsed/>
    <w:rsid w:val="00C6319C"/>
    <w:rPr>
      <w:color w:val="467886" w:themeColor="hyperlink"/>
      <w:u w:val="single"/>
    </w:rPr>
  </w:style>
  <w:style w:type="character" w:styleId="UnresolvedMention">
    <w:name w:val="Unresolved Mention"/>
    <w:basedOn w:val="DefaultParagraphFont"/>
    <w:uiPriority w:val="99"/>
    <w:semiHidden/>
    <w:unhideWhenUsed/>
    <w:rsid w:val="00C63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575330409490110" TargetMode="External"/><Relationship Id="rId13" Type="http://schemas.openxmlformats.org/officeDocument/2006/relationships/hyperlink" Target="https://doi.org/10.1080/1557533080948974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S0305-750X(99)00104-7" TargetMode="External"/><Relationship Id="rId12" Type="http://schemas.openxmlformats.org/officeDocument/2006/relationships/hyperlink" Target="https://doi.org/10.1080/15575330609490152"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0012-155X.2005.00401.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111/1467-9663.00262" TargetMode="External"/><Relationship Id="rId4" Type="http://schemas.openxmlformats.org/officeDocument/2006/relationships/webSettings" Target="webSettings.xml"/><Relationship Id="rId9" Type="http://schemas.openxmlformats.org/officeDocument/2006/relationships/hyperlink" Target="https://doi.org/10.1080/15575330809489738" TargetMode="External"/><Relationship Id="rId14" Type="http://schemas.openxmlformats.org/officeDocument/2006/relationships/hyperlink" Target="https://doi.org/10.1080/15575330.2011.59326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943256218894EC1863141EACE0A0240"/>
        <w:category>
          <w:name w:val="General"/>
          <w:gallery w:val="placeholder"/>
        </w:category>
        <w:types>
          <w:type w:val="bbPlcHdr"/>
        </w:types>
        <w:behaviors>
          <w:behavior w:val="content"/>
        </w:behaviors>
        <w:guid w:val="{BA234AB6-65EB-4F02-B823-7FE5223C9EB8}"/>
      </w:docPartPr>
      <w:docPartBody>
        <w:p w:rsidR="00000000" w:rsidRDefault="008A1E94" w:rsidP="008A1E94">
          <w:pPr>
            <w:pStyle w:val="2943256218894EC1863141EACE0A0240"/>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E94"/>
    <w:rsid w:val="001A7305"/>
    <w:rsid w:val="008A1E94"/>
    <w:rsid w:val="00930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43256218894EC1863141EACE0A0240">
    <w:name w:val="2943256218894EC1863141EACE0A0240"/>
    <w:rsid w:val="008A1E94"/>
  </w:style>
  <w:style w:type="paragraph" w:customStyle="1" w:styleId="8E239106A7A5486BB8C6C069363663FF">
    <w:name w:val="8E239106A7A5486BB8C6C069363663FF"/>
    <w:rsid w:val="008A1E94"/>
  </w:style>
  <w:style w:type="paragraph" w:customStyle="1" w:styleId="B954FA9B1E544FC88891ED18BCE74AD6">
    <w:name w:val="B954FA9B1E544FC88891ED18BCE74AD6"/>
    <w:rsid w:val="008A1E94"/>
  </w:style>
  <w:style w:type="paragraph" w:customStyle="1" w:styleId="DE3667C9463B46A28B3B2B7FA78346AD">
    <w:name w:val="DE3667C9463B46A28B3B2B7FA78346AD"/>
    <w:rsid w:val="008A1E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143</TotalTime>
  <Pages>13</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Community Development Approaches at Swansea Community Farm</dc:title>
  <dc:subject/>
  <dc:creator>M</dc:creator>
  <cp:keywords/>
  <dc:description/>
  <cp:lastModifiedBy>Mirabela Voican (1907947)</cp:lastModifiedBy>
  <cp:revision>1</cp:revision>
  <dcterms:created xsi:type="dcterms:W3CDTF">2024-11-12T17:02:00Z</dcterms:created>
  <dcterms:modified xsi:type="dcterms:W3CDTF">2024-11-12T19:25:00Z</dcterms:modified>
</cp:coreProperties>
</file>