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A60B9" w14:textId="402BDA85" w:rsidR="00933AE4" w:rsidRDefault="00933AE4" w:rsidP="00933AE4">
      <w:pPr>
        <w:pStyle w:val="Heading1"/>
      </w:pPr>
    </w:p>
    <w:p w14:paraId="51959F12" w14:textId="014C5127" w:rsidR="00BA186F" w:rsidRDefault="00BA186F" w:rsidP="00933AE4">
      <w:pPr>
        <w:rPr>
          <w:sz w:val="28"/>
          <w:szCs w:val="28"/>
        </w:rPr>
      </w:pPr>
      <w:r>
        <w:rPr>
          <w:sz w:val="28"/>
          <w:szCs w:val="28"/>
        </w:rPr>
        <w:t xml:space="preserve">                                                                                                            Lilu Meah 2009177</w:t>
      </w:r>
    </w:p>
    <w:p w14:paraId="01651FAD" w14:textId="13918B31" w:rsidR="00BA186F" w:rsidRDefault="00933AE4" w:rsidP="00933AE4">
      <w:pPr>
        <w:rPr>
          <w:sz w:val="28"/>
          <w:szCs w:val="28"/>
        </w:rPr>
      </w:pPr>
      <w:r w:rsidRPr="00933AE4">
        <w:rPr>
          <w:sz w:val="28"/>
          <w:szCs w:val="28"/>
        </w:rPr>
        <w:t xml:space="preserve">Hadley Case </w:t>
      </w:r>
    </w:p>
    <w:p w14:paraId="3DAF52E9" w14:textId="1D22504A" w:rsidR="00933AE4" w:rsidRPr="00A912AA" w:rsidRDefault="00933AE4" w:rsidP="00A912AA">
      <w:pPr>
        <w:pStyle w:val="ListParagraph"/>
        <w:numPr>
          <w:ilvl w:val="0"/>
          <w:numId w:val="1"/>
        </w:numPr>
        <w:rPr>
          <w:sz w:val="28"/>
          <w:szCs w:val="28"/>
        </w:rPr>
      </w:pPr>
      <w:r>
        <w:rPr>
          <w:sz w:val="28"/>
          <w:szCs w:val="28"/>
        </w:rPr>
        <w:t xml:space="preserve">In my opinion, I believe Hadley has committed quite a few offences. </w:t>
      </w:r>
      <w:r w:rsidR="007B5974">
        <w:rPr>
          <w:sz w:val="28"/>
          <w:szCs w:val="28"/>
        </w:rPr>
        <w:t>Firstly,</w:t>
      </w:r>
      <w:r>
        <w:rPr>
          <w:sz w:val="28"/>
          <w:szCs w:val="28"/>
        </w:rPr>
        <w:t xml:space="preserve"> starting off with trespassing</w:t>
      </w:r>
      <w:r w:rsidR="007B5974">
        <w:rPr>
          <w:sz w:val="28"/>
          <w:szCs w:val="28"/>
        </w:rPr>
        <w:t xml:space="preserve">. Trespassing consists of an individual being unlawfully present in another person’s possession or right. As he had jumped over the fence and had entered his land and garden, this is seen as trespassing as he had no right to be unlawfully present in another person’s possession. As Hadley didn’t have permission entering his garden, this is seen as an apparent example of trespassing. In order to commit trespass, </w:t>
      </w:r>
      <w:r w:rsidR="007327E7">
        <w:rPr>
          <w:sz w:val="28"/>
          <w:szCs w:val="28"/>
        </w:rPr>
        <w:t>you</w:t>
      </w:r>
      <w:r w:rsidR="007B5974">
        <w:rPr>
          <w:sz w:val="28"/>
          <w:szCs w:val="28"/>
        </w:rPr>
        <w:t xml:space="preserve"> need both mens rea and actus reus. The mens rea consists of the intention of the individual, in this case, Hadley had the intention to trespass and enter his garden unlawfully, fully knowing that he is guilty and wrong for doing so. The actus reus is the physical aspect of the crime. </w:t>
      </w:r>
      <w:r w:rsidR="007733ED">
        <w:rPr>
          <w:sz w:val="28"/>
          <w:szCs w:val="28"/>
        </w:rPr>
        <w:t>Hadley</w:t>
      </w:r>
      <w:r w:rsidR="007B5974">
        <w:rPr>
          <w:sz w:val="28"/>
          <w:szCs w:val="28"/>
        </w:rPr>
        <w:t xml:space="preserve"> had physically gone over the fence and entered his property.  Similarly, in the case of </w:t>
      </w:r>
      <w:r w:rsidR="00793EBC">
        <w:rPr>
          <w:sz w:val="28"/>
          <w:szCs w:val="28"/>
        </w:rPr>
        <w:t xml:space="preserve">R v Jones and Smith 1976, both smith and jones </w:t>
      </w:r>
      <w:r w:rsidR="00A912AA">
        <w:rPr>
          <w:sz w:val="28"/>
          <w:szCs w:val="28"/>
        </w:rPr>
        <w:t>had</w:t>
      </w:r>
      <w:r w:rsidR="00793EBC">
        <w:rPr>
          <w:sz w:val="28"/>
          <w:szCs w:val="28"/>
        </w:rPr>
        <w:t xml:space="preserve"> the intention to steal and unlawfully trespass in someone </w:t>
      </w:r>
      <w:r w:rsidR="007733ED">
        <w:rPr>
          <w:sz w:val="28"/>
          <w:szCs w:val="28"/>
        </w:rPr>
        <w:t>else’s</w:t>
      </w:r>
      <w:r w:rsidR="00793EBC">
        <w:rPr>
          <w:sz w:val="28"/>
          <w:szCs w:val="28"/>
        </w:rPr>
        <w:t xml:space="preserve"> land.</w:t>
      </w:r>
      <w:r w:rsidR="00BD263D">
        <w:rPr>
          <w:sz w:val="28"/>
          <w:szCs w:val="28"/>
        </w:rPr>
        <w:t xml:space="preserve"> The outcome of the case was ‘that t</w:t>
      </w:r>
      <w:r w:rsidR="00BD263D" w:rsidRPr="00BD263D">
        <w:rPr>
          <w:sz w:val="28"/>
          <w:szCs w:val="28"/>
        </w:rPr>
        <w:t>he appeal was turned down. Even if a person accesses a location with a general permit, he or she may still be breaking the law if they do so recklessly or with knowledge that they are going outside the scope of the permit.</w:t>
      </w:r>
      <w:r w:rsidR="00BD263D">
        <w:rPr>
          <w:sz w:val="28"/>
          <w:szCs w:val="28"/>
        </w:rPr>
        <w:t xml:space="preserve">’ </w:t>
      </w:r>
      <w:r w:rsidR="0066797E">
        <w:rPr>
          <w:sz w:val="28"/>
          <w:szCs w:val="28"/>
        </w:rPr>
        <w:t>(</w:t>
      </w:r>
      <w:r w:rsidR="0066797E" w:rsidRPr="00BD263D">
        <w:rPr>
          <w:sz w:val="28"/>
          <w:szCs w:val="28"/>
        </w:rPr>
        <w:t>LawTeacher</w:t>
      </w:r>
      <w:r w:rsidR="0066797E">
        <w:rPr>
          <w:sz w:val="28"/>
          <w:szCs w:val="28"/>
        </w:rPr>
        <w:t xml:space="preserve">, </w:t>
      </w:r>
      <w:r w:rsidR="0066797E" w:rsidRPr="00BD263D">
        <w:rPr>
          <w:sz w:val="28"/>
          <w:szCs w:val="28"/>
        </w:rPr>
        <w:t>2013</w:t>
      </w:r>
      <w:r w:rsidR="0066797E">
        <w:rPr>
          <w:sz w:val="28"/>
          <w:szCs w:val="28"/>
        </w:rPr>
        <w:t xml:space="preserve">). </w:t>
      </w:r>
      <w:r w:rsidR="00793EBC" w:rsidRPr="00A912AA">
        <w:rPr>
          <w:sz w:val="28"/>
          <w:szCs w:val="28"/>
        </w:rPr>
        <w:t xml:space="preserve">In the same way, Hadley had the full intention to steal possession and trespass. </w:t>
      </w:r>
      <w:r w:rsidRPr="00A912AA">
        <w:rPr>
          <w:sz w:val="28"/>
          <w:szCs w:val="28"/>
        </w:rPr>
        <w:t xml:space="preserve"> </w:t>
      </w:r>
    </w:p>
    <w:p w14:paraId="7B5C2188" w14:textId="38AAC7B9" w:rsidR="00933AE4" w:rsidRDefault="00933AE4" w:rsidP="0066797E">
      <w:pPr>
        <w:ind w:left="360"/>
        <w:rPr>
          <w:sz w:val="28"/>
          <w:szCs w:val="28"/>
        </w:rPr>
      </w:pPr>
      <w:r>
        <w:rPr>
          <w:sz w:val="28"/>
          <w:szCs w:val="28"/>
        </w:rPr>
        <w:t xml:space="preserve">Criminal damage -  </w:t>
      </w:r>
      <w:r w:rsidR="007327E7">
        <w:rPr>
          <w:sz w:val="28"/>
          <w:szCs w:val="28"/>
        </w:rPr>
        <w:t>when Hadley had jumped over the fence, he had broken a wooden bench which is a part of Ronans property. T</w:t>
      </w:r>
      <w:r w:rsidR="000D4B94">
        <w:rPr>
          <w:sz w:val="28"/>
          <w:szCs w:val="28"/>
        </w:rPr>
        <w:t xml:space="preserve">he basic offence of criminal damage is defined under the criminal damage act 1971 where it states ‘’a person who without lawful excuse destroys or damages any property belonging to another intending to destroy or damage any such property or being reckless as to whether any such property would be destroyed or damaged shall be guilty of an offence.’’ </w:t>
      </w:r>
      <w:r w:rsidR="00D26863">
        <w:rPr>
          <w:sz w:val="28"/>
          <w:szCs w:val="28"/>
        </w:rPr>
        <w:t xml:space="preserve">The mens rea is the intention to cause harm and to destroy and damage a property, they fully are aware of their actions and guilt towards the crime. In the same way, Hadley had no lawful excuse in order to do what he did. The actus reus would be putting the property on fire intentionally, by carrying out the physical crime. This would be related in the terms of fire which also relates </w:t>
      </w:r>
      <w:r w:rsidR="00D26863">
        <w:rPr>
          <w:sz w:val="28"/>
          <w:szCs w:val="28"/>
        </w:rPr>
        <w:lastRenderedPageBreak/>
        <w:t xml:space="preserve">to arson. In the case of Miller 1983, it states how a conduct causing the damage doesn’t need to be a positive act, </w:t>
      </w:r>
      <w:r w:rsidR="005C54C0">
        <w:rPr>
          <w:sz w:val="28"/>
          <w:szCs w:val="28"/>
        </w:rPr>
        <w:t>‘</w:t>
      </w:r>
      <w:r w:rsidR="005C54C0" w:rsidRPr="005C54C0">
        <w:rPr>
          <w:sz w:val="28"/>
          <w:szCs w:val="28"/>
        </w:rPr>
        <w:t xml:space="preserve">Its court found that since </w:t>
      </w:r>
      <w:r w:rsidR="00A912AA">
        <w:rPr>
          <w:sz w:val="28"/>
          <w:szCs w:val="28"/>
        </w:rPr>
        <w:t xml:space="preserve">the </w:t>
      </w:r>
      <w:r w:rsidR="005C54C0" w:rsidRPr="005C54C0">
        <w:rPr>
          <w:sz w:val="28"/>
          <w:szCs w:val="28"/>
        </w:rPr>
        <w:t>defendant was accountable for creating the hazardous situation, he had a responsibility to act to remedy it as soon as he learned of the fire.</w:t>
      </w:r>
      <w:r w:rsidR="005C54C0">
        <w:rPr>
          <w:sz w:val="28"/>
          <w:szCs w:val="28"/>
        </w:rPr>
        <w:t xml:space="preserve">’ </w:t>
      </w:r>
      <w:r w:rsidR="0066797E">
        <w:rPr>
          <w:sz w:val="28"/>
          <w:szCs w:val="28"/>
        </w:rPr>
        <w:t>(</w:t>
      </w:r>
      <w:r w:rsidR="0066797E" w:rsidRPr="005C54C0">
        <w:rPr>
          <w:sz w:val="28"/>
          <w:szCs w:val="28"/>
        </w:rPr>
        <w:t>LawTeacher</w:t>
      </w:r>
      <w:r w:rsidR="0066797E">
        <w:rPr>
          <w:sz w:val="28"/>
          <w:szCs w:val="28"/>
        </w:rPr>
        <w:t xml:space="preserve">, </w:t>
      </w:r>
      <w:r w:rsidR="0066797E" w:rsidRPr="005C54C0">
        <w:rPr>
          <w:sz w:val="28"/>
          <w:szCs w:val="28"/>
        </w:rPr>
        <w:t>2013</w:t>
      </w:r>
      <w:r w:rsidR="0066797E">
        <w:rPr>
          <w:sz w:val="28"/>
          <w:szCs w:val="28"/>
        </w:rPr>
        <w:t>)</w:t>
      </w:r>
      <w:r w:rsidR="007327E7">
        <w:rPr>
          <w:sz w:val="28"/>
          <w:szCs w:val="28"/>
        </w:rPr>
        <w:t>.</w:t>
      </w:r>
      <w:r w:rsidR="005C54C0">
        <w:rPr>
          <w:sz w:val="28"/>
          <w:szCs w:val="28"/>
        </w:rPr>
        <w:t>T</w:t>
      </w:r>
      <w:r w:rsidR="00D26863">
        <w:rPr>
          <w:sz w:val="28"/>
          <w:szCs w:val="28"/>
        </w:rPr>
        <w:t xml:space="preserve">his relates to the negative intention Hadley had as he planned this crime and his intentions all along. </w:t>
      </w:r>
    </w:p>
    <w:p w14:paraId="20DF77BA" w14:textId="6CAC412E" w:rsidR="00933AE4" w:rsidRDefault="00933AE4" w:rsidP="0089116F">
      <w:pPr>
        <w:ind w:left="360"/>
        <w:rPr>
          <w:sz w:val="28"/>
          <w:szCs w:val="28"/>
        </w:rPr>
      </w:pPr>
      <w:r>
        <w:rPr>
          <w:sz w:val="28"/>
          <w:szCs w:val="28"/>
        </w:rPr>
        <w:t xml:space="preserve">Burglary </w:t>
      </w:r>
      <w:r w:rsidR="00D26863">
        <w:rPr>
          <w:sz w:val="28"/>
          <w:szCs w:val="28"/>
        </w:rPr>
        <w:t xml:space="preserve">– </w:t>
      </w:r>
      <w:r w:rsidR="001A6174">
        <w:rPr>
          <w:sz w:val="28"/>
          <w:szCs w:val="28"/>
        </w:rPr>
        <w:t>T</w:t>
      </w:r>
      <w:r w:rsidR="00D26863">
        <w:rPr>
          <w:sz w:val="28"/>
          <w:szCs w:val="28"/>
        </w:rPr>
        <w:t xml:space="preserve">hirdly, </w:t>
      </w:r>
      <w:r w:rsidR="0089116F">
        <w:rPr>
          <w:sz w:val="28"/>
          <w:szCs w:val="28"/>
        </w:rPr>
        <w:t xml:space="preserve">another criminal offence that Hadley committed is burglary. Burglary under the </w:t>
      </w:r>
      <w:r w:rsidR="00A912AA">
        <w:rPr>
          <w:sz w:val="28"/>
          <w:szCs w:val="28"/>
        </w:rPr>
        <w:t>S</w:t>
      </w:r>
      <w:r w:rsidR="0089116F">
        <w:rPr>
          <w:sz w:val="28"/>
          <w:szCs w:val="28"/>
        </w:rPr>
        <w:t xml:space="preserve">ection 1a </w:t>
      </w:r>
      <w:r w:rsidR="00A912AA">
        <w:rPr>
          <w:sz w:val="28"/>
          <w:szCs w:val="28"/>
        </w:rPr>
        <w:t>T</w:t>
      </w:r>
      <w:r w:rsidR="0089116F">
        <w:rPr>
          <w:sz w:val="28"/>
          <w:szCs w:val="28"/>
        </w:rPr>
        <w:t xml:space="preserve">heft </w:t>
      </w:r>
      <w:r w:rsidR="00A912AA">
        <w:rPr>
          <w:sz w:val="28"/>
          <w:szCs w:val="28"/>
        </w:rPr>
        <w:t>A</w:t>
      </w:r>
      <w:r w:rsidR="0089116F">
        <w:rPr>
          <w:sz w:val="28"/>
          <w:szCs w:val="28"/>
        </w:rPr>
        <w:t>ct 1968 is ‘’he enters any building or part of a building as a trespasser with intent to commit any such offences such as stealing anything, causing GBH and unlawful criminal damage to anything inside or out.</w:t>
      </w:r>
      <w:r w:rsidR="009342ED">
        <w:rPr>
          <w:sz w:val="28"/>
          <w:szCs w:val="28"/>
        </w:rPr>
        <w:t xml:space="preserve"> The actus reus of burglary would be </w:t>
      </w:r>
      <w:r w:rsidR="002D094B">
        <w:rPr>
          <w:sz w:val="28"/>
          <w:szCs w:val="28"/>
        </w:rPr>
        <w:t>Hadley</w:t>
      </w:r>
      <w:r w:rsidR="009342ED">
        <w:rPr>
          <w:sz w:val="28"/>
          <w:szCs w:val="28"/>
        </w:rPr>
        <w:t xml:space="preserve"> entering the house and garden, stealing possessions of another. The mens rea would be to know that they are </w:t>
      </w:r>
      <w:r w:rsidR="002D094B">
        <w:rPr>
          <w:sz w:val="28"/>
          <w:szCs w:val="28"/>
        </w:rPr>
        <w:t>committing</w:t>
      </w:r>
      <w:r w:rsidR="009342ED">
        <w:rPr>
          <w:sz w:val="28"/>
          <w:szCs w:val="28"/>
        </w:rPr>
        <w:t xml:space="preserve"> a crime as </w:t>
      </w:r>
      <w:r w:rsidR="002D094B">
        <w:rPr>
          <w:sz w:val="28"/>
          <w:szCs w:val="28"/>
        </w:rPr>
        <w:t>they’re</w:t>
      </w:r>
      <w:r w:rsidR="009342ED">
        <w:rPr>
          <w:sz w:val="28"/>
          <w:szCs w:val="28"/>
        </w:rPr>
        <w:t xml:space="preserve"> trespassing and has the intention to steal or cause criminal dama</w:t>
      </w:r>
      <w:r w:rsidR="002D094B">
        <w:rPr>
          <w:sz w:val="28"/>
          <w:szCs w:val="28"/>
        </w:rPr>
        <w:t>g</w:t>
      </w:r>
      <w:r w:rsidR="009342ED">
        <w:rPr>
          <w:sz w:val="28"/>
          <w:szCs w:val="28"/>
        </w:rPr>
        <w:t>e pr arso</w:t>
      </w:r>
      <w:r w:rsidR="002D094B">
        <w:rPr>
          <w:sz w:val="28"/>
          <w:szCs w:val="28"/>
        </w:rPr>
        <w:t>n</w:t>
      </w:r>
      <w:r w:rsidR="009342ED">
        <w:rPr>
          <w:sz w:val="28"/>
          <w:szCs w:val="28"/>
        </w:rPr>
        <w:t xml:space="preserve"> by putting the house on fire. A case example of the actus reus is Davie 1823. An example of a</w:t>
      </w:r>
      <w:r w:rsidR="002D094B">
        <w:rPr>
          <w:sz w:val="28"/>
          <w:szCs w:val="28"/>
        </w:rPr>
        <w:t>n</w:t>
      </w:r>
      <w:r w:rsidR="009342ED">
        <w:rPr>
          <w:sz w:val="28"/>
          <w:szCs w:val="28"/>
        </w:rPr>
        <w:t xml:space="preserve"> aggravated </w:t>
      </w:r>
      <w:r w:rsidR="002D094B">
        <w:rPr>
          <w:sz w:val="28"/>
          <w:szCs w:val="28"/>
        </w:rPr>
        <w:t>burglary</w:t>
      </w:r>
      <w:r w:rsidR="009342ED">
        <w:rPr>
          <w:sz w:val="28"/>
          <w:szCs w:val="28"/>
        </w:rPr>
        <w:t xml:space="preserve"> case is Kelly 1993. </w:t>
      </w:r>
      <w:r w:rsidR="00A912AA">
        <w:rPr>
          <w:sz w:val="28"/>
          <w:szCs w:val="28"/>
        </w:rPr>
        <w:t>The outcome of this case was that ‘t</w:t>
      </w:r>
      <w:r w:rsidR="00A912AA" w:rsidRPr="00A912AA">
        <w:rPr>
          <w:sz w:val="28"/>
          <w:szCs w:val="28"/>
        </w:rPr>
        <w:t>he Court of Appeal determined that when the homeowner was prodded in the stomach with the screwdriver, the defendant was convicted of aggravated burglary.</w:t>
      </w:r>
      <w:r w:rsidR="00A912AA">
        <w:rPr>
          <w:sz w:val="28"/>
          <w:szCs w:val="28"/>
        </w:rPr>
        <w:t xml:space="preserve">’ </w:t>
      </w:r>
      <w:r w:rsidR="002D094B">
        <w:rPr>
          <w:sz w:val="28"/>
          <w:szCs w:val="28"/>
        </w:rPr>
        <w:t xml:space="preserve">Hadley’s invention from the start of the case was to cause deprivation by stealing possessions and trespassing. </w:t>
      </w:r>
    </w:p>
    <w:p w14:paraId="2EC28792" w14:textId="4458CB5A" w:rsidR="00933AE4" w:rsidRDefault="00933AE4" w:rsidP="00EA0C5A">
      <w:pPr>
        <w:ind w:left="360"/>
        <w:rPr>
          <w:sz w:val="28"/>
          <w:szCs w:val="28"/>
        </w:rPr>
      </w:pPr>
      <w:r>
        <w:rPr>
          <w:sz w:val="28"/>
          <w:szCs w:val="28"/>
        </w:rPr>
        <w:t>Theft</w:t>
      </w:r>
      <w:r w:rsidR="00D415BB">
        <w:rPr>
          <w:sz w:val="28"/>
          <w:szCs w:val="28"/>
        </w:rPr>
        <w:t xml:space="preserve"> </w:t>
      </w:r>
      <w:r w:rsidR="00247943">
        <w:rPr>
          <w:sz w:val="28"/>
          <w:szCs w:val="28"/>
        </w:rPr>
        <w:t>–</w:t>
      </w:r>
      <w:r w:rsidR="00D415BB">
        <w:rPr>
          <w:sz w:val="28"/>
          <w:szCs w:val="28"/>
        </w:rPr>
        <w:t xml:space="preserve"> </w:t>
      </w:r>
      <w:r w:rsidR="00247943">
        <w:rPr>
          <w:sz w:val="28"/>
          <w:szCs w:val="28"/>
        </w:rPr>
        <w:t xml:space="preserve">another criminal offence that he had committed is theft. Under the Section 1 of the Theft Act 1968, ‘’a person is guilty of theft if he dishonestly appropriates property belonging to another with the intention of permanently depriving the other of it.’’. </w:t>
      </w:r>
      <w:r w:rsidR="008D3864">
        <w:rPr>
          <w:sz w:val="28"/>
          <w:szCs w:val="28"/>
        </w:rPr>
        <w:t>I</w:t>
      </w:r>
      <w:r w:rsidR="00247943">
        <w:rPr>
          <w:sz w:val="28"/>
          <w:szCs w:val="28"/>
        </w:rPr>
        <w:t xml:space="preserve">n </w:t>
      </w:r>
      <w:r w:rsidR="007733ED">
        <w:rPr>
          <w:sz w:val="28"/>
          <w:szCs w:val="28"/>
        </w:rPr>
        <w:t>Hadley’s</w:t>
      </w:r>
      <w:r w:rsidR="00247943">
        <w:rPr>
          <w:sz w:val="28"/>
          <w:szCs w:val="28"/>
        </w:rPr>
        <w:t xml:space="preserve"> case, he has planned to steal belongings and possessions from the very beginning, having the mens rea and actus rea involved, this made the criminal offence valid. The mens rea consisted of having the intention to steal the belongings, the actus reus was physically going into the house and stealing the possession from another, fully knowing it’ll cause them deprivation. Hadley was dishonest, stole from belonging to another with the intention permanently there. In the case of Morgan 1976, the mens rea is highlights by the intention that was given by the individual. To ensure that th</w:t>
      </w:r>
      <w:r w:rsidR="00DE5765">
        <w:rPr>
          <w:sz w:val="28"/>
          <w:szCs w:val="28"/>
        </w:rPr>
        <w:t>e</w:t>
      </w:r>
      <w:r w:rsidR="00247943">
        <w:rPr>
          <w:sz w:val="28"/>
          <w:szCs w:val="28"/>
        </w:rPr>
        <w:t xml:space="preserve"> </w:t>
      </w:r>
      <w:r w:rsidR="003571A5">
        <w:rPr>
          <w:sz w:val="28"/>
          <w:szCs w:val="28"/>
        </w:rPr>
        <w:t>individual</w:t>
      </w:r>
      <w:r w:rsidR="00247943">
        <w:rPr>
          <w:sz w:val="28"/>
          <w:szCs w:val="28"/>
        </w:rPr>
        <w:t xml:space="preserve"> is being dishonest with his actions, </w:t>
      </w:r>
      <w:r w:rsidR="00DE5765">
        <w:rPr>
          <w:sz w:val="28"/>
          <w:szCs w:val="28"/>
        </w:rPr>
        <w:t xml:space="preserve">the ghost test is available to test this. This test was used in the case of Ivey v Genting </w:t>
      </w:r>
      <w:r w:rsidR="007733ED">
        <w:rPr>
          <w:sz w:val="28"/>
          <w:szCs w:val="28"/>
        </w:rPr>
        <w:t>Cassinas</w:t>
      </w:r>
      <w:r w:rsidR="00DE5765">
        <w:rPr>
          <w:sz w:val="28"/>
          <w:szCs w:val="28"/>
        </w:rPr>
        <w:t xml:space="preserve"> UK 2017.</w:t>
      </w:r>
      <w:r w:rsidR="00A912AA">
        <w:rPr>
          <w:sz w:val="28"/>
          <w:szCs w:val="28"/>
        </w:rPr>
        <w:t xml:space="preserve"> The outcome of this case was that ‘the</w:t>
      </w:r>
      <w:r w:rsidR="00A912AA" w:rsidRPr="00A912AA">
        <w:rPr>
          <w:sz w:val="28"/>
          <w:szCs w:val="28"/>
        </w:rPr>
        <w:t xml:space="preserve"> </w:t>
      </w:r>
      <w:r w:rsidR="00A912AA">
        <w:rPr>
          <w:sz w:val="28"/>
          <w:szCs w:val="28"/>
        </w:rPr>
        <w:t>a</w:t>
      </w:r>
      <w:r w:rsidR="00A912AA" w:rsidRPr="00A912AA">
        <w:rPr>
          <w:sz w:val="28"/>
          <w:szCs w:val="28"/>
        </w:rPr>
        <w:t xml:space="preserve">ppeal </w:t>
      </w:r>
      <w:r w:rsidR="00A912AA">
        <w:rPr>
          <w:sz w:val="28"/>
          <w:szCs w:val="28"/>
        </w:rPr>
        <w:t xml:space="preserve">was </w:t>
      </w:r>
      <w:r w:rsidR="00A912AA" w:rsidRPr="00A912AA">
        <w:rPr>
          <w:sz w:val="28"/>
          <w:szCs w:val="28"/>
        </w:rPr>
        <w:t>denied. The Ghosh test's second component</w:t>
      </w:r>
      <w:r w:rsidR="00EA72DF">
        <w:rPr>
          <w:sz w:val="28"/>
          <w:szCs w:val="28"/>
        </w:rPr>
        <w:t xml:space="preserve">, </w:t>
      </w:r>
      <w:r w:rsidR="00A912AA" w:rsidRPr="00A912AA">
        <w:rPr>
          <w:sz w:val="28"/>
          <w:szCs w:val="28"/>
        </w:rPr>
        <w:t xml:space="preserve">whether the defendant acknowledged that what he was doing was dishonest by the </w:t>
      </w:r>
      <w:r w:rsidR="00A912AA" w:rsidRPr="00A912AA">
        <w:rPr>
          <w:sz w:val="28"/>
          <w:szCs w:val="28"/>
        </w:rPr>
        <w:lastRenderedPageBreak/>
        <w:t>standards of reasonable peopl</w:t>
      </w:r>
      <w:r w:rsidR="00EA72DF">
        <w:rPr>
          <w:sz w:val="28"/>
          <w:szCs w:val="28"/>
        </w:rPr>
        <w:t xml:space="preserve">e, therefore </w:t>
      </w:r>
      <w:r w:rsidR="00A912AA" w:rsidRPr="00A912AA">
        <w:rPr>
          <w:sz w:val="28"/>
          <w:szCs w:val="28"/>
        </w:rPr>
        <w:t>was abolished</w:t>
      </w:r>
      <w:r w:rsidR="00A912AA">
        <w:rPr>
          <w:sz w:val="28"/>
          <w:szCs w:val="28"/>
        </w:rPr>
        <w:t>’.</w:t>
      </w:r>
      <w:r w:rsidR="00DE5765">
        <w:rPr>
          <w:sz w:val="28"/>
          <w:szCs w:val="28"/>
        </w:rPr>
        <w:t xml:space="preserve"> Hadley is convicted by this offence as it relates to all the factors of theft. </w:t>
      </w:r>
      <w:r w:rsidR="007327E7">
        <w:rPr>
          <w:sz w:val="28"/>
          <w:szCs w:val="28"/>
        </w:rPr>
        <w:t xml:space="preserve">From the beginning on Friday, Hadley had the clear intention of depriving Ronan from his luxury products. Although it’s seen that he wanted to steal the Bucci trainers, Hadley still had the intention to steal regardless as he then stole the Kolex. To highlight this case, the main point of these offences is backed up from the start where Hadley had overheard the conversation of Ronan and planned his crime all along. All of these offences would be taken into hand against Hadley.  </w:t>
      </w:r>
    </w:p>
    <w:p w14:paraId="6BD705E7" w14:textId="545A2086" w:rsidR="00933AE4" w:rsidRDefault="00933AE4" w:rsidP="007327E7">
      <w:pPr>
        <w:ind w:left="360"/>
        <w:rPr>
          <w:sz w:val="28"/>
          <w:szCs w:val="28"/>
        </w:rPr>
      </w:pPr>
      <w:r>
        <w:rPr>
          <w:sz w:val="28"/>
          <w:szCs w:val="28"/>
        </w:rPr>
        <w:t xml:space="preserve">Aggravated arson </w:t>
      </w:r>
      <w:r w:rsidR="007733ED">
        <w:rPr>
          <w:sz w:val="28"/>
          <w:szCs w:val="28"/>
        </w:rPr>
        <w:t xml:space="preserve">= adding on, Hadley had also committed aggravated arson. In other words, this defines as having the intention which involves the concept of mens rea, to destroy and damage property. This even could be intended to endanger a person’s life, possession and property. This could be an example of a deliberate fire. A case of aggravated arson is seen in the case of Roper v Knott 1898. </w:t>
      </w:r>
      <w:r w:rsidR="000C02CC">
        <w:rPr>
          <w:sz w:val="28"/>
          <w:szCs w:val="28"/>
        </w:rPr>
        <w:t>The outcome of this case was that ‘t</w:t>
      </w:r>
      <w:r w:rsidR="000C02CC" w:rsidRPr="000C02CC">
        <w:rPr>
          <w:sz w:val="28"/>
          <w:szCs w:val="28"/>
        </w:rPr>
        <w:t>he milk was intentionally damaged, and the court</w:t>
      </w:r>
      <w:r w:rsidR="00A912AA">
        <w:rPr>
          <w:sz w:val="28"/>
          <w:szCs w:val="28"/>
        </w:rPr>
        <w:t xml:space="preserve"> </w:t>
      </w:r>
      <w:r w:rsidR="000C02CC" w:rsidRPr="000C02CC">
        <w:rPr>
          <w:sz w:val="28"/>
          <w:szCs w:val="28"/>
        </w:rPr>
        <w:t>convinced Knott with the dishonest intent of benefiting himself</w:t>
      </w:r>
      <w:r w:rsidR="000C02CC">
        <w:rPr>
          <w:sz w:val="28"/>
          <w:szCs w:val="28"/>
        </w:rPr>
        <w:t xml:space="preserve">’. In the same way, Hadley had committed criminal offence because he wanted to benefit himself. </w:t>
      </w:r>
      <w:r w:rsidR="007733ED">
        <w:rPr>
          <w:sz w:val="28"/>
          <w:szCs w:val="28"/>
        </w:rPr>
        <w:t xml:space="preserve">The actus reus of aggravated arson is belonging to another, property and to destroy and damage. However, the mens rea to aggravated arson is having the intention to cause harm and deprive a person from their home. </w:t>
      </w:r>
      <w:r w:rsidR="00AE30FB">
        <w:rPr>
          <w:sz w:val="28"/>
          <w:szCs w:val="28"/>
        </w:rPr>
        <w:t xml:space="preserve">This relates to Hadley as he had deliberately set the house on fire after he has </w:t>
      </w:r>
      <w:r w:rsidR="006245F1">
        <w:rPr>
          <w:sz w:val="28"/>
          <w:szCs w:val="28"/>
        </w:rPr>
        <w:t>stolen</w:t>
      </w:r>
      <w:r w:rsidR="00AE30FB">
        <w:rPr>
          <w:sz w:val="28"/>
          <w:szCs w:val="28"/>
        </w:rPr>
        <w:t xml:space="preserve"> and entered the house. </w:t>
      </w:r>
      <w:r w:rsidR="00892593">
        <w:rPr>
          <w:sz w:val="28"/>
          <w:szCs w:val="28"/>
        </w:rPr>
        <w:t>Adding on, Hadley had be</w:t>
      </w:r>
      <w:r w:rsidR="00EA72DF">
        <w:rPr>
          <w:sz w:val="28"/>
          <w:szCs w:val="28"/>
        </w:rPr>
        <w:t>en</w:t>
      </w:r>
      <w:r w:rsidR="00892593">
        <w:rPr>
          <w:sz w:val="28"/>
          <w:szCs w:val="28"/>
        </w:rPr>
        <w:t xml:space="preserve"> seen to ‘pour aftershave into the bin and set it on fire’.</w:t>
      </w:r>
    </w:p>
    <w:p w14:paraId="3034C3DB" w14:textId="734A792E" w:rsidR="00502918" w:rsidRDefault="00502918" w:rsidP="00933AE4">
      <w:pPr>
        <w:ind w:left="360"/>
        <w:rPr>
          <w:sz w:val="28"/>
          <w:szCs w:val="28"/>
        </w:rPr>
      </w:pPr>
    </w:p>
    <w:p w14:paraId="0B17C4A3" w14:textId="2A37F5CE" w:rsidR="00502918" w:rsidRDefault="00502918" w:rsidP="00933AE4">
      <w:pPr>
        <w:ind w:left="360"/>
        <w:rPr>
          <w:sz w:val="28"/>
          <w:szCs w:val="28"/>
        </w:rPr>
      </w:pPr>
      <w:r>
        <w:rPr>
          <w:sz w:val="28"/>
          <w:szCs w:val="28"/>
        </w:rPr>
        <w:t>Freyas case</w:t>
      </w:r>
    </w:p>
    <w:p w14:paraId="3FDDAA9D" w14:textId="467E70A1" w:rsidR="00502918" w:rsidRDefault="00502918" w:rsidP="00933AE4">
      <w:pPr>
        <w:ind w:left="360"/>
        <w:rPr>
          <w:sz w:val="28"/>
          <w:szCs w:val="28"/>
        </w:rPr>
      </w:pPr>
      <w:r>
        <w:rPr>
          <w:sz w:val="28"/>
          <w:szCs w:val="28"/>
        </w:rPr>
        <w:t xml:space="preserve">b) </w:t>
      </w:r>
      <w:r w:rsidR="000719E9">
        <w:rPr>
          <w:sz w:val="28"/>
          <w:szCs w:val="28"/>
        </w:rPr>
        <w:t>A</w:t>
      </w:r>
      <w:r>
        <w:rPr>
          <w:sz w:val="28"/>
          <w:szCs w:val="28"/>
        </w:rPr>
        <w:t xml:space="preserve">s </w:t>
      </w:r>
      <w:r w:rsidR="00892593">
        <w:rPr>
          <w:sz w:val="28"/>
          <w:szCs w:val="28"/>
        </w:rPr>
        <w:t>Freya</w:t>
      </w:r>
      <w:r>
        <w:rPr>
          <w:sz w:val="28"/>
          <w:szCs w:val="28"/>
        </w:rPr>
        <w:t xml:space="preserve"> has been charged under section 47 offences against person act 1861, </w:t>
      </w:r>
      <w:r w:rsidR="00892593">
        <w:rPr>
          <w:sz w:val="28"/>
          <w:szCs w:val="28"/>
        </w:rPr>
        <w:t>Freya</w:t>
      </w:r>
      <w:r>
        <w:rPr>
          <w:sz w:val="28"/>
          <w:szCs w:val="28"/>
        </w:rPr>
        <w:t xml:space="preserve"> could have multiple defences in order to decrease the outcome of her case. Automatism is defined as an involuntary conduct where the source of the source, such as a</w:t>
      </w:r>
      <w:r w:rsidR="000719E9">
        <w:rPr>
          <w:sz w:val="28"/>
          <w:szCs w:val="28"/>
        </w:rPr>
        <w:t>n</w:t>
      </w:r>
      <w:r>
        <w:rPr>
          <w:sz w:val="28"/>
          <w:szCs w:val="28"/>
        </w:rPr>
        <w:t xml:space="preserve"> intern</w:t>
      </w:r>
      <w:r w:rsidR="000719E9">
        <w:rPr>
          <w:sz w:val="28"/>
          <w:szCs w:val="28"/>
        </w:rPr>
        <w:t>a</w:t>
      </w:r>
      <w:r>
        <w:rPr>
          <w:sz w:val="28"/>
          <w:szCs w:val="28"/>
        </w:rPr>
        <w:t xml:space="preserve">l or external disease. In the case of </w:t>
      </w:r>
      <w:r w:rsidR="00892593">
        <w:rPr>
          <w:sz w:val="28"/>
          <w:szCs w:val="28"/>
        </w:rPr>
        <w:t>Freya</w:t>
      </w:r>
      <w:r>
        <w:rPr>
          <w:sz w:val="28"/>
          <w:szCs w:val="28"/>
        </w:rPr>
        <w:t xml:space="preserve">, as she suffers with </w:t>
      </w:r>
      <w:r w:rsidR="000719E9">
        <w:rPr>
          <w:sz w:val="28"/>
          <w:szCs w:val="28"/>
        </w:rPr>
        <w:t xml:space="preserve">epilepsy, this is a huge defence that she can use against the outcome. As </w:t>
      </w:r>
      <w:r w:rsidR="00892593">
        <w:rPr>
          <w:sz w:val="28"/>
          <w:szCs w:val="28"/>
        </w:rPr>
        <w:t>Freya</w:t>
      </w:r>
      <w:r w:rsidR="000719E9">
        <w:rPr>
          <w:sz w:val="28"/>
          <w:szCs w:val="28"/>
        </w:rPr>
        <w:t xml:space="preserve"> had hit the individual unintentionally, this can be blamed upon her automatism which is seen as her epilepsy. The </w:t>
      </w:r>
      <w:r w:rsidR="00892593">
        <w:rPr>
          <w:sz w:val="28"/>
          <w:szCs w:val="28"/>
        </w:rPr>
        <w:t>element</w:t>
      </w:r>
      <w:r w:rsidR="000719E9">
        <w:rPr>
          <w:sz w:val="28"/>
          <w:szCs w:val="28"/>
        </w:rPr>
        <w:t xml:space="preserve"> of the case is an external factor, where the results were from an involuntary conduct done by the defendant and where the defendant is not at fault. This is supported in the case of Falconer 1990. Another external </w:t>
      </w:r>
      <w:r w:rsidR="000719E9">
        <w:rPr>
          <w:sz w:val="28"/>
          <w:szCs w:val="28"/>
        </w:rPr>
        <w:lastRenderedPageBreak/>
        <w:t xml:space="preserve">factor is alcohol consumption. As </w:t>
      </w:r>
      <w:r w:rsidR="00892593">
        <w:rPr>
          <w:sz w:val="28"/>
          <w:szCs w:val="28"/>
        </w:rPr>
        <w:t>Freya</w:t>
      </w:r>
      <w:r w:rsidR="000719E9">
        <w:rPr>
          <w:sz w:val="28"/>
          <w:szCs w:val="28"/>
        </w:rPr>
        <w:t xml:space="preserve"> had been drinking beforehand, this could’ve impacted her actions as she was unconscious. Expert medical opinion is required to make sure that </w:t>
      </w:r>
      <w:r w:rsidR="00892593">
        <w:rPr>
          <w:sz w:val="28"/>
          <w:szCs w:val="28"/>
        </w:rPr>
        <w:t>Freya</w:t>
      </w:r>
      <w:r w:rsidR="000719E9">
        <w:rPr>
          <w:sz w:val="28"/>
          <w:szCs w:val="28"/>
        </w:rPr>
        <w:t xml:space="preserve"> does struggle with epilepsy. As </w:t>
      </w:r>
      <w:r w:rsidR="00892593">
        <w:rPr>
          <w:sz w:val="28"/>
          <w:szCs w:val="28"/>
        </w:rPr>
        <w:t>Freya</w:t>
      </w:r>
      <w:r w:rsidR="000719E9">
        <w:rPr>
          <w:sz w:val="28"/>
          <w:szCs w:val="28"/>
        </w:rPr>
        <w:t xml:space="preserve"> deliberately drank alcohol, induced automatism is no defence however </w:t>
      </w:r>
      <w:r w:rsidR="00EA0C5A">
        <w:rPr>
          <w:sz w:val="28"/>
          <w:szCs w:val="28"/>
        </w:rPr>
        <w:t>the defendant</w:t>
      </w:r>
      <w:r w:rsidR="000719E9">
        <w:rPr>
          <w:sz w:val="28"/>
          <w:szCs w:val="28"/>
        </w:rPr>
        <w:t xml:space="preserve"> can be seen as not at fault as they had no control over their actions. This is supported by the case of Bailey 1983. Another defence that can be used is voluntary intoxication. This is when the defendant knowingly abuses substances provided that are generally dangerous in the sense that she is fully aware that it would make her intoxicated. However, her defence of automatism covers majority of the defence as she can rely on that defence even more. As Freya had a seizure, its seen that she was affected by her epilepsy which she can use effectively as a defence as she was unconscious.</w:t>
      </w:r>
      <w:r w:rsidR="00467EB3">
        <w:rPr>
          <w:sz w:val="28"/>
          <w:szCs w:val="28"/>
        </w:rPr>
        <w:t xml:space="preserve"> Freya has multiple defences in order to reduce the impact of her crime, whether that’s intoxication, automatism and for a</w:t>
      </w:r>
      <w:r w:rsidR="00161480">
        <w:rPr>
          <w:sz w:val="28"/>
          <w:szCs w:val="28"/>
        </w:rPr>
        <w:t>n</w:t>
      </w:r>
      <w:r w:rsidR="00467EB3">
        <w:rPr>
          <w:sz w:val="28"/>
          <w:szCs w:val="28"/>
        </w:rPr>
        <w:t xml:space="preserve"> external medical reason, </w:t>
      </w:r>
      <w:r w:rsidR="00892593">
        <w:rPr>
          <w:sz w:val="28"/>
          <w:szCs w:val="28"/>
        </w:rPr>
        <w:t>Freya</w:t>
      </w:r>
      <w:r w:rsidR="00467EB3">
        <w:rPr>
          <w:sz w:val="28"/>
          <w:szCs w:val="28"/>
        </w:rPr>
        <w:t xml:space="preserve"> has every right to bring these defences to her case. </w:t>
      </w:r>
    </w:p>
    <w:p w14:paraId="3D158D56" w14:textId="55D3490F" w:rsidR="00BD263D" w:rsidRDefault="00BD263D" w:rsidP="00933AE4">
      <w:pPr>
        <w:ind w:left="360"/>
        <w:rPr>
          <w:sz w:val="28"/>
          <w:szCs w:val="28"/>
        </w:rPr>
      </w:pPr>
      <w:r>
        <w:rPr>
          <w:sz w:val="28"/>
          <w:szCs w:val="28"/>
        </w:rPr>
        <w:t xml:space="preserve">References </w:t>
      </w:r>
    </w:p>
    <w:p w14:paraId="25A6A09D" w14:textId="7CFF44CE" w:rsidR="00BD263D" w:rsidRDefault="00BD263D" w:rsidP="00933AE4">
      <w:pPr>
        <w:ind w:left="360"/>
        <w:rPr>
          <w:sz w:val="28"/>
          <w:szCs w:val="28"/>
        </w:rPr>
      </w:pPr>
      <w:r w:rsidRPr="00BD263D">
        <w:rPr>
          <w:sz w:val="28"/>
          <w:szCs w:val="28"/>
        </w:rPr>
        <w:t>LawTeacher. November 2013. R v Jones and Smith - 1976. [online]. Available from: https://www.lawteacher.net/cases/r-v-jones-and-smith.php?vref=1 [Accessed 19 December 2022].</w:t>
      </w:r>
    </w:p>
    <w:p w14:paraId="67FF9390" w14:textId="25EBF000" w:rsidR="005C54C0" w:rsidRPr="00933AE4" w:rsidRDefault="005C54C0" w:rsidP="00933AE4">
      <w:pPr>
        <w:ind w:left="360"/>
        <w:rPr>
          <w:sz w:val="28"/>
          <w:szCs w:val="28"/>
        </w:rPr>
      </w:pPr>
      <w:r w:rsidRPr="005C54C0">
        <w:rPr>
          <w:sz w:val="28"/>
          <w:szCs w:val="28"/>
        </w:rPr>
        <w:t>LawTeacher. November 2013. R v Miller [1983] 2 AC 161. [online]. Available from: https://www.lawteacher.net/cases/r-v-miller.php?vref=1 [Accessed 20 December 2022].</w:t>
      </w:r>
    </w:p>
    <w:p w14:paraId="6282841B" w14:textId="77777777" w:rsidR="00933AE4" w:rsidRPr="00933AE4" w:rsidRDefault="00933AE4" w:rsidP="00933AE4"/>
    <w:sectPr w:rsidR="00933AE4" w:rsidRPr="00933A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52203"/>
    <w:multiLevelType w:val="hybridMultilevel"/>
    <w:tmpl w:val="97286F94"/>
    <w:lvl w:ilvl="0" w:tplc="27B25E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9753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AE4"/>
    <w:rsid w:val="00037CE9"/>
    <w:rsid w:val="000719E9"/>
    <w:rsid w:val="000C02CC"/>
    <w:rsid w:val="000D4B94"/>
    <w:rsid w:val="00161480"/>
    <w:rsid w:val="00167312"/>
    <w:rsid w:val="001A6174"/>
    <w:rsid w:val="00247943"/>
    <w:rsid w:val="002D094B"/>
    <w:rsid w:val="00345D9E"/>
    <w:rsid w:val="003571A5"/>
    <w:rsid w:val="00467EB3"/>
    <w:rsid w:val="00502918"/>
    <w:rsid w:val="005C54C0"/>
    <w:rsid w:val="006245F1"/>
    <w:rsid w:val="0066797E"/>
    <w:rsid w:val="00680655"/>
    <w:rsid w:val="006E4317"/>
    <w:rsid w:val="007327E7"/>
    <w:rsid w:val="007733ED"/>
    <w:rsid w:val="00793EBC"/>
    <w:rsid w:val="007B5974"/>
    <w:rsid w:val="007F039A"/>
    <w:rsid w:val="0089116F"/>
    <w:rsid w:val="00892593"/>
    <w:rsid w:val="008D3864"/>
    <w:rsid w:val="00933AE4"/>
    <w:rsid w:val="009342ED"/>
    <w:rsid w:val="00A912AA"/>
    <w:rsid w:val="00AE30FB"/>
    <w:rsid w:val="00BA186F"/>
    <w:rsid w:val="00BA5BE7"/>
    <w:rsid w:val="00BD263D"/>
    <w:rsid w:val="00D26863"/>
    <w:rsid w:val="00D415BB"/>
    <w:rsid w:val="00DE5765"/>
    <w:rsid w:val="00EA0C5A"/>
    <w:rsid w:val="00EA72DF"/>
    <w:rsid w:val="00F50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37FFD"/>
  <w15:chartTrackingRefBased/>
  <w15:docId w15:val="{52EF834C-169B-4E4B-98AD-F0736991E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3A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AE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33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1880</TotalTime>
  <Pages>4</Pages>
  <Words>1330</Words>
  <Characters>7582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Lilu Meah (2009177)</dc:creator>
  <cp:keywords/>
  <dc:description/>
  <cp:lastModifiedBy>Lilu Meah (2009177)</cp:lastModifiedBy>
  <cp:revision>29</cp:revision>
  <dcterms:created xsi:type="dcterms:W3CDTF">2022-12-18T21:21:00Z</dcterms:created>
  <dcterms:modified xsi:type="dcterms:W3CDTF">2022-12-20T21:54:00Z</dcterms:modified>
</cp:coreProperties>
</file>