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AAF39" w14:textId="6CBF684D" w:rsidR="00507EB8" w:rsidRDefault="00507EB8" w:rsidP="002929D1">
      <w:pPr>
        <w:spacing w:line="480" w:lineRule="auto"/>
      </w:pPr>
      <w:r>
        <w:t>Draft discussion document – Jane Jones</w:t>
      </w:r>
    </w:p>
    <w:p w14:paraId="1EA6E27A" w14:textId="3D101B78" w:rsidR="002929D1" w:rsidRPr="002929D1" w:rsidRDefault="002929D1" w:rsidP="002929D1">
      <w:pPr>
        <w:spacing w:line="480" w:lineRule="auto"/>
      </w:pPr>
      <w:r w:rsidRPr="002929D1">
        <w:t>The women of the Vivian family of Swansea.  From archival and built environment evidence is it possible to deduce how their lives compared to the societal norms for nineteenth century elite women?</w:t>
      </w:r>
    </w:p>
    <w:p w14:paraId="034B3246" w14:textId="77777777" w:rsidR="002929D1" w:rsidRPr="002929D1" w:rsidRDefault="002929D1" w:rsidP="002929D1">
      <w:pPr>
        <w:spacing w:line="480" w:lineRule="auto"/>
      </w:pPr>
    </w:p>
    <w:p w14:paraId="3D94BCF0" w14:textId="21D6EDB3" w:rsidR="00AB736A" w:rsidRDefault="002929D1" w:rsidP="002929D1">
      <w:pPr>
        <w:spacing w:line="480" w:lineRule="auto"/>
      </w:pPr>
      <w:r w:rsidRPr="002929D1">
        <w:t xml:space="preserve">Owing to the apparent scarcity of secondary evidence, is it possible to use largely archival evidence to deduce the facts about the lives of the Vivian family women? Is it then possible to place them appropriately within the elite tier of nineteenth century society? </w:t>
      </w:r>
      <w:r w:rsidR="002B4E28">
        <w:t>Is it possible to draw a comparison between their live</w:t>
      </w:r>
      <w:r w:rsidR="00AB736A">
        <w:t>s</w:t>
      </w:r>
      <w:r w:rsidR="002B4E28">
        <w:t xml:space="preserve"> and those of other women in the elite tier of society? </w:t>
      </w:r>
    </w:p>
    <w:p w14:paraId="4D69AC2A" w14:textId="77777777" w:rsidR="0089168F" w:rsidRDefault="0089168F" w:rsidP="002929D1">
      <w:pPr>
        <w:spacing w:line="480" w:lineRule="auto"/>
      </w:pPr>
    </w:p>
    <w:p w14:paraId="76D453A2" w14:textId="1937A68C" w:rsidR="002929D1" w:rsidRPr="002929D1" w:rsidRDefault="002929D1" w:rsidP="002929D1">
      <w:pPr>
        <w:spacing w:line="480" w:lineRule="auto"/>
      </w:pPr>
      <w:r w:rsidRPr="002929D1">
        <w:t>Swansea’s development from the late eighteenth century until the early years of the twentieth century was synonymous with the changes brought about by the dominance of the copper industry in the area</w:t>
      </w:r>
      <w:r w:rsidR="008D7B89">
        <w:t>. Swansea</w:t>
      </w:r>
      <w:r w:rsidRPr="002929D1">
        <w:t xml:space="preserve"> was a world leader in copper production, retrospectively earning it the epithet ‘Copperopolis’.</w:t>
      </w:r>
      <w:r w:rsidRPr="002929D1">
        <w:rPr>
          <w:vertAlign w:val="superscript"/>
        </w:rPr>
        <w:footnoteReference w:id="1"/>
      </w:r>
      <w:r w:rsidRPr="002929D1">
        <w:t xml:space="preserve"> Several industrialists made fortunes as a result of their involvement in copper production in Swansea. Arguably, the most successful of these families being the Vivian Family who owned the </w:t>
      </w:r>
      <w:proofErr w:type="spellStart"/>
      <w:r w:rsidRPr="002929D1">
        <w:t>Hafod</w:t>
      </w:r>
      <w:proofErr w:type="spellEnd"/>
      <w:r w:rsidRPr="002929D1">
        <w:t xml:space="preserve"> Works. The </w:t>
      </w:r>
      <w:proofErr w:type="spellStart"/>
      <w:r w:rsidRPr="002929D1">
        <w:t>Vivians</w:t>
      </w:r>
      <w:proofErr w:type="spellEnd"/>
      <w:r w:rsidRPr="002929D1">
        <w:t xml:space="preserve"> were a Cornish family led by John Vivian who relocated from Cornwall to Swansea in about 1800. Their subsequent success </w:t>
      </w:r>
      <w:r w:rsidR="00EB61CF">
        <w:t>earned</w:t>
      </w:r>
      <w:r w:rsidRPr="002929D1">
        <w:t xml:space="preserve"> Henry Vivian, the grandson of John Vivian, the title of the first Baron of Swansea in 1893. Being such a prominent family, their legacy has partly been a large accumulation of archival material held in three particular archives: the National Library of Wales in Aberystwyth; The Richard Burton Archive in Swansea University and the Swansea County Archive located in the Civic Centre in Swansea. Furthermore, several of the homes owned or bought by the family are still in existence, notably Singleton Abbey which was bought by Swansea Corporation in 1920 and then sold to Swansea University in 1923. Two of the former private gardens of the Vivian Family, Clyne Gardens and Singleton Park are now owned by the Council with free entry, for the benefit of Swansea’s community.</w:t>
      </w:r>
    </w:p>
    <w:p w14:paraId="4A997480" w14:textId="77777777" w:rsidR="002929D1" w:rsidRPr="002929D1" w:rsidRDefault="002929D1" w:rsidP="002929D1">
      <w:pPr>
        <w:spacing w:line="480" w:lineRule="auto"/>
      </w:pPr>
    </w:p>
    <w:p w14:paraId="7C172CA3" w14:textId="77777777" w:rsidR="002929D1" w:rsidRPr="002929D1" w:rsidRDefault="002929D1" w:rsidP="002929D1">
      <w:pPr>
        <w:spacing w:line="480" w:lineRule="auto"/>
      </w:pPr>
      <w:r w:rsidRPr="002929D1">
        <w:t>Accordingly, these tangible assets located in the west of Swansea are now of considerable benefit to all of Swansea’s population. The gardens in particular, once privately owned for the sole benefit of the Family and their guests are now open to all. The garden attached to one of their properties, Clyne Castle amounted to 7.5 acres with an extended parkland of 40.381 acres.</w:t>
      </w:r>
      <w:r w:rsidRPr="002929D1">
        <w:rPr>
          <w:vertAlign w:val="superscript"/>
        </w:rPr>
        <w:footnoteReference w:id="2"/>
      </w:r>
      <w:r w:rsidRPr="002929D1">
        <w:t xml:space="preserve"> However, their location in Swansea West, provokes a cultural memory which persists even until today. The community in Swansea East still see the residents of Swansea west as being ‘posh’. This is reflected in the local and national press with Mumbles being seen as one of the best places to live in Britain.</w:t>
      </w:r>
      <w:r w:rsidRPr="002929D1">
        <w:rPr>
          <w:vertAlign w:val="superscript"/>
        </w:rPr>
        <w:footnoteReference w:id="3"/>
      </w:r>
      <w:r w:rsidRPr="002929D1">
        <w:t xml:space="preserve"> The origins of the west/east divide are pragmatic and based on local wind direction. The south westerly winds blew the air pollution from the copper industry based largely in the </w:t>
      </w:r>
      <w:proofErr w:type="spellStart"/>
      <w:r w:rsidRPr="002929D1">
        <w:t>Hafod</w:t>
      </w:r>
      <w:proofErr w:type="spellEnd"/>
      <w:r w:rsidRPr="002929D1">
        <w:t xml:space="preserve"> towards the east side of Swansea, leaving the west with clear, fresh air. Although the copper manufacturing industry is long gone, the perception of the west as being ‘posh’ persists, backed by a considerable house value variation. The east/west divide is a clear example of cultural memory, ‘a collective concept for all knowledge that directs behaviour and experience in the interactive framework of a society and one that obtains through generations in repeated societal practice and initiation.’</w:t>
      </w:r>
      <w:r w:rsidRPr="002929D1">
        <w:rPr>
          <w:vertAlign w:val="superscript"/>
        </w:rPr>
        <w:footnoteReference w:id="4"/>
      </w:r>
    </w:p>
    <w:p w14:paraId="201856C3" w14:textId="77777777" w:rsidR="002929D1" w:rsidRPr="002929D1" w:rsidRDefault="002929D1" w:rsidP="002929D1">
      <w:pPr>
        <w:spacing w:line="480" w:lineRule="auto"/>
      </w:pPr>
    </w:p>
    <w:p w14:paraId="60C53FE5" w14:textId="0C6BB21A" w:rsidR="002929D1" w:rsidRPr="002929D1" w:rsidRDefault="002929D1" w:rsidP="002929D1">
      <w:pPr>
        <w:spacing w:line="480" w:lineRule="auto"/>
      </w:pPr>
      <w:r w:rsidRPr="002929D1">
        <w:t xml:space="preserve">Hence, open access to some of the tangible assets which once belonged to the </w:t>
      </w:r>
      <w:proofErr w:type="spellStart"/>
      <w:r w:rsidRPr="002929D1">
        <w:t>Vivians</w:t>
      </w:r>
      <w:proofErr w:type="spellEnd"/>
      <w:r w:rsidRPr="002929D1">
        <w:t xml:space="preserve"> during the nineteenth and twentieth centuries, can leave little doubt in as to the wealth created by this family from their involvement in the copper industry of Swansea. It should be noted that none of the descendants of the family now live in Swansea. Seemingly, the decline of copper manufacturing and </w:t>
      </w:r>
      <w:r w:rsidRPr="002929D1">
        <w:lastRenderedPageBreak/>
        <w:t xml:space="preserve">processing in Swansea during the twentieth century </w:t>
      </w:r>
      <w:r w:rsidR="00BE2B07">
        <w:t>eliminated</w:t>
      </w:r>
      <w:r w:rsidRPr="002929D1">
        <w:t xml:space="preserve"> the need for th</w:t>
      </w:r>
      <w:r w:rsidR="00BE2B07">
        <w:t xml:space="preserve">e family </w:t>
      </w:r>
      <w:r w:rsidRPr="002929D1">
        <w:t xml:space="preserve">to remain resident in the city once their fortunes declined. Such was their standing in society at the height of their power that members of the royal family came to stay with the family on a private visit. A further visit by King George V and Queen Mary to the </w:t>
      </w:r>
      <w:proofErr w:type="spellStart"/>
      <w:r w:rsidRPr="002929D1">
        <w:t>Hafod</w:t>
      </w:r>
      <w:proofErr w:type="spellEnd"/>
      <w:r w:rsidRPr="002929D1">
        <w:t xml:space="preserve"> works in 1920, would appear to confirm the importance of the family in elite society.</w:t>
      </w:r>
      <w:r w:rsidRPr="002929D1">
        <w:rPr>
          <w:vertAlign w:val="superscript"/>
        </w:rPr>
        <w:footnoteReference w:id="5"/>
      </w:r>
      <w:r w:rsidRPr="002929D1">
        <w:t xml:space="preserve"> Although part of the minor landed gentry of Cornwall, the </w:t>
      </w:r>
      <w:proofErr w:type="spellStart"/>
      <w:r w:rsidRPr="002929D1">
        <w:t>Vivians</w:t>
      </w:r>
      <w:proofErr w:type="spellEnd"/>
      <w:r w:rsidRPr="002929D1">
        <w:t xml:space="preserve"> greater social elevation was due to their commercial success. Whereas previously they might not have been accepted into elite society, by the latter half of the nineteenth century the pattern of acceptance has changed, ‘It was</w:t>
      </w:r>
      <w:proofErr w:type="gramStart"/>
      <w:r w:rsidRPr="002929D1">
        <w:t xml:space="preserve"> ..</w:t>
      </w:r>
      <w:proofErr w:type="gramEnd"/>
      <w:r w:rsidRPr="002929D1">
        <w:t>indicative of the changing balance of economic power ….. up to about 1880 over half of all the millionaires in Britain had been landowners, after that date businessman and financiers held the leading position.’</w:t>
      </w:r>
      <w:r w:rsidRPr="002929D1">
        <w:rPr>
          <w:vertAlign w:val="superscript"/>
        </w:rPr>
        <w:footnoteReference w:id="6"/>
      </w:r>
      <w:r w:rsidRPr="002929D1">
        <w:t xml:space="preserve"> Archival evidence proves that the </w:t>
      </w:r>
      <w:proofErr w:type="spellStart"/>
      <w:r w:rsidRPr="002929D1">
        <w:t>Vivians</w:t>
      </w:r>
      <w:proofErr w:type="spellEnd"/>
      <w:r w:rsidRPr="002929D1">
        <w:t xml:space="preserve"> maintained a house in London, presumably to allow the family to attend the social events of the season, ‘Central to this pleasure-seeking world was pf course the London Season. ….. the season began in April or May and lasted until late July.’</w:t>
      </w:r>
      <w:r w:rsidRPr="002929D1">
        <w:rPr>
          <w:vertAlign w:val="superscript"/>
        </w:rPr>
        <w:footnoteReference w:id="7"/>
      </w:r>
      <w:r w:rsidR="005451D7">
        <w:t xml:space="preserve"> </w:t>
      </w:r>
      <w:r w:rsidRPr="002929D1">
        <w:t>Following the death of Dulcie Vivian in 1921, the contents of 7 Belgrave Square were sold over three days</w:t>
      </w:r>
      <w:r w:rsidR="008A06EE">
        <w:t>,</w:t>
      </w:r>
      <w:r w:rsidRPr="002929D1">
        <w:t xml:space="preserve"> between the eighth and tenth of May 1922.</w:t>
      </w:r>
      <w:r w:rsidRPr="002929D1">
        <w:rPr>
          <w:vertAlign w:val="superscript"/>
        </w:rPr>
        <w:footnoteReference w:id="8"/>
      </w:r>
      <w:r w:rsidRPr="002929D1">
        <w:t xml:space="preserve"> A three-day auction of contents indicates a house of considerable size. This property currently has ten bedrooms.</w:t>
      </w:r>
      <w:r w:rsidRPr="002929D1">
        <w:rPr>
          <w:vertAlign w:val="superscript"/>
        </w:rPr>
        <w:footnoteReference w:id="9"/>
      </w:r>
    </w:p>
    <w:p w14:paraId="0A3111DB" w14:textId="77777777" w:rsidR="002929D1" w:rsidRPr="002929D1" w:rsidRDefault="002929D1" w:rsidP="002929D1">
      <w:pPr>
        <w:spacing w:line="480" w:lineRule="auto"/>
      </w:pPr>
    </w:p>
    <w:p w14:paraId="1786B3FC" w14:textId="6CD51D99" w:rsidR="002929D1" w:rsidRPr="002929D1" w:rsidRDefault="002929D1" w:rsidP="002929D1">
      <w:pPr>
        <w:spacing w:line="480" w:lineRule="auto"/>
      </w:pPr>
      <w:r w:rsidRPr="002929D1">
        <w:t xml:space="preserve">Evidently, the importance of the </w:t>
      </w:r>
      <w:proofErr w:type="spellStart"/>
      <w:r w:rsidRPr="002929D1">
        <w:t>Vivians</w:t>
      </w:r>
      <w:proofErr w:type="spellEnd"/>
      <w:r w:rsidRPr="002929D1">
        <w:t xml:space="preserve"> to Swansea has produced a large body of information about the family both primary </w:t>
      </w:r>
      <w:proofErr w:type="gramStart"/>
      <w:r w:rsidRPr="002929D1">
        <w:t>evidence</w:t>
      </w:r>
      <w:proofErr w:type="gramEnd"/>
      <w:r w:rsidRPr="002929D1">
        <w:t xml:space="preserve">, held in archives and secondary evidence written by numerous authors. Ralph Griffiths has produced two detailed works concerned with the two main family </w:t>
      </w:r>
      <w:r w:rsidRPr="002929D1">
        <w:lastRenderedPageBreak/>
        <w:t>homes, Clyne Castle and Singleton Abbey.</w:t>
      </w:r>
      <w:r w:rsidRPr="002929D1">
        <w:rPr>
          <w:vertAlign w:val="superscript"/>
        </w:rPr>
        <w:footnoteReference w:id="10"/>
      </w:r>
      <w:r w:rsidRPr="002929D1">
        <w:t xml:space="preserve"> However, these books in common with most other secondary sources of information concentrate on the men of the family. The women, their lives and achievements barely merit a mention beyond acknowledging their existence. Robert Toomey’s book, </w:t>
      </w:r>
      <w:r w:rsidRPr="002929D1">
        <w:rPr>
          <w:i/>
          <w:iCs/>
        </w:rPr>
        <w:t>Vivian and Sons, 1809 – 1924</w:t>
      </w:r>
      <w:r w:rsidRPr="002929D1">
        <w:t xml:space="preserve"> typifies this assertion. There is no mention of the women of the family at all in the entire text. Sources tend to concentrate on the family’s ownership of the </w:t>
      </w:r>
      <w:proofErr w:type="spellStart"/>
      <w:r w:rsidRPr="002929D1">
        <w:t>Hafod</w:t>
      </w:r>
      <w:proofErr w:type="spellEnd"/>
      <w:r w:rsidRPr="002929D1">
        <w:t xml:space="preserve"> Works in which the women had no involvement. Despite the paucity of secondary information about the women of the family, what little does exist appears to indicate that two female members of the family did have an influence on Swansea. Sarah Vivian (1798 – 1886) and her daughter Dulcie (1839- 1921) do merit a mention in several texts. From this information it is possible to </w:t>
      </w:r>
      <w:r w:rsidR="005E28D2">
        <w:t xml:space="preserve">begin to </w:t>
      </w:r>
      <w:r w:rsidRPr="002929D1">
        <w:t>create a picture of their lives.</w:t>
      </w:r>
    </w:p>
    <w:p w14:paraId="25B39195" w14:textId="77777777" w:rsidR="002929D1" w:rsidRPr="002929D1" w:rsidRDefault="002929D1" w:rsidP="002929D1">
      <w:pPr>
        <w:spacing w:line="480" w:lineRule="auto"/>
      </w:pPr>
    </w:p>
    <w:p w14:paraId="74E4BC18" w14:textId="77777777" w:rsidR="002929D1" w:rsidRPr="002929D1" w:rsidRDefault="002929D1" w:rsidP="002929D1">
      <w:pPr>
        <w:spacing w:line="480" w:lineRule="auto"/>
      </w:pPr>
      <w:r w:rsidRPr="002929D1">
        <w:t>Evidently, during the nineteenth century ‘society imposed severe limitations on women.’</w:t>
      </w:r>
      <w:r w:rsidRPr="002929D1">
        <w:rPr>
          <w:vertAlign w:val="superscript"/>
        </w:rPr>
        <w:footnoteReference w:id="11"/>
      </w:r>
      <w:r w:rsidRPr="002929D1">
        <w:t xml:space="preserve"> Women’s lives, especially those of the elite tier of society were constrained into a pattern of accepted behaviour. As a woman in the nineteenth century the expectation was that your behaviour should be ‘moral, modest, attentive, intuitive, humble, gentle, patient, sensitive, perceptive, compassionate, self-sacrificing, tactful, deductive, practical, religious, benevolent, instructive and mild.’</w:t>
      </w:r>
      <w:r w:rsidRPr="002929D1">
        <w:rPr>
          <w:vertAlign w:val="superscript"/>
        </w:rPr>
        <w:footnoteReference w:id="12"/>
      </w:r>
      <w:r w:rsidRPr="002929D1">
        <w:t xml:space="preserve"> Upper class women continued to maintain a way of life which was largely pre–Industrial Revolution as ‘they gave primary allegiance to family and class rather than gender.’</w:t>
      </w:r>
      <w:r w:rsidRPr="002929D1">
        <w:rPr>
          <w:vertAlign w:val="superscript"/>
        </w:rPr>
        <w:footnoteReference w:id="13"/>
      </w:r>
      <w:r w:rsidRPr="002929D1">
        <w:t xml:space="preserve"> Anthony Fletcher concurs with this view, ‘The notion that an upper-class girl belonged in the home was deep rooted: she should be educated there in preparation to rule in adulthood, as a mother and manager of the domestic economy.’</w:t>
      </w:r>
      <w:r w:rsidRPr="002929D1">
        <w:rPr>
          <w:vertAlign w:val="superscript"/>
        </w:rPr>
        <w:footnoteReference w:id="14"/>
      </w:r>
      <w:r w:rsidRPr="002929D1">
        <w:t xml:space="preserve"> Elite women had a tightly prescribed role in nineteenth century </w:t>
      </w:r>
      <w:r w:rsidRPr="002929D1">
        <w:lastRenderedPageBreak/>
        <w:t>England, ‘Their allotted goal in life was to marry, have children and raise them in an appropriate and respectful manner.’</w:t>
      </w:r>
      <w:r w:rsidRPr="002929D1">
        <w:rPr>
          <w:vertAlign w:val="superscript"/>
        </w:rPr>
        <w:footnoteReference w:id="15"/>
      </w:r>
      <w:r w:rsidRPr="002929D1">
        <w:t xml:space="preserve"> There is no reason not to see the lives of the Vivian women in this light. Their marriages and children are well documented. </w:t>
      </w:r>
    </w:p>
    <w:p w14:paraId="0610E30D" w14:textId="77777777" w:rsidR="002929D1" w:rsidRPr="002929D1" w:rsidRDefault="002929D1" w:rsidP="002929D1">
      <w:pPr>
        <w:spacing w:line="480" w:lineRule="auto"/>
      </w:pPr>
    </w:p>
    <w:p w14:paraId="50E326CA" w14:textId="5766947E" w:rsidR="002929D1" w:rsidRPr="002929D1" w:rsidRDefault="002929D1" w:rsidP="002929D1">
      <w:pPr>
        <w:spacing w:line="480" w:lineRule="auto"/>
      </w:pPr>
      <w:r w:rsidRPr="002929D1">
        <w:t>Despite this prescribed pattern of life, philanthropy increasingly became an accepted activity for women of both the middle and upper classes during this century. Philanthropy was accepted to the extent that, ‘</w:t>
      </w:r>
      <w:proofErr w:type="gramStart"/>
      <w:r w:rsidRPr="002929D1">
        <w:t>….philanthropists</w:t>
      </w:r>
      <w:proofErr w:type="gramEnd"/>
      <w:r w:rsidRPr="002929D1">
        <w:t xml:space="preserve"> were ubiquitous in England by the middle decades of the nineteenth century.’</w:t>
      </w:r>
      <w:r w:rsidRPr="002929D1">
        <w:rPr>
          <w:vertAlign w:val="superscript"/>
        </w:rPr>
        <w:footnoteReference w:id="16"/>
      </w:r>
      <w:r w:rsidRPr="002929D1">
        <w:t xml:space="preserve"> Prochaska comments that middle and upper-class women who did not work, were more likely to be involved in philanthropy as they had more time available to them.</w:t>
      </w:r>
      <w:r w:rsidRPr="002929D1">
        <w:rPr>
          <w:vertAlign w:val="superscript"/>
        </w:rPr>
        <w:footnoteReference w:id="17"/>
      </w:r>
      <w:r w:rsidRPr="002929D1">
        <w:t xml:space="preserve"> It should be noted that in relation to both Sarah</w:t>
      </w:r>
      <w:r w:rsidR="00EC7624">
        <w:t xml:space="preserve">, </w:t>
      </w:r>
      <w:r w:rsidR="00EC7624" w:rsidRPr="002929D1">
        <w:t xml:space="preserve">as a widow </w:t>
      </w:r>
      <w:r w:rsidRPr="002929D1">
        <w:t xml:space="preserve">and Dulcie Vivian </w:t>
      </w:r>
      <w:r w:rsidR="00EC7624">
        <w:t xml:space="preserve">being </w:t>
      </w:r>
      <w:r w:rsidRPr="002929D1">
        <w:t>unmarried, this argument could be applied to their involvement in philanthropic works. Leslie Wynne Evans emphasises the interest that both Sarah and her husband took in the provision of education for their worker’s children, ‘J. H. Vivian and his wife had interested themselves in the provision of schools in Swansea.’</w:t>
      </w:r>
      <w:r w:rsidRPr="002929D1">
        <w:rPr>
          <w:vertAlign w:val="superscript"/>
        </w:rPr>
        <w:footnoteReference w:id="18"/>
      </w:r>
      <w:r w:rsidRPr="002929D1">
        <w:t xml:space="preserve"> Evans further claims that, ‘Vivian …started his own schools on a small scale with his wife as a tireless supporter.’</w:t>
      </w:r>
      <w:r w:rsidRPr="002929D1">
        <w:rPr>
          <w:vertAlign w:val="superscript"/>
        </w:rPr>
        <w:footnoteReference w:id="19"/>
      </w:r>
      <w:r w:rsidRPr="002929D1">
        <w:t xml:space="preserve"> Hughes appears to confirm the philanthropic interest in education shown by Sarah ‘Mrs Vivian started a small school for forty girls in the parish of St John in 1825. Sarah Vivian also organised the Swiss Cottage Dame School in Singleton Park for twenty-five boys and girls.’</w:t>
      </w:r>
      <w:r w:rsidRPr="002929D1">
        <w:rPr>
          <w:vertAlign w:val="superscript"/>
        </w:rPr>
        <w:footnoteReference w:id="20"/>
      </w:r>
      <w:r w:rsidRPr="002929D1">
        <w:t xml:space="preserve"> It should be noted that these schools were set up several decades prior to the Education Act 1870, which introduced compulsory education provision at elementary level.</w:t>
      </w:r>
    </w:p>
    <w:p w14:paraId="3553EEA5" w14:textId="77777777" w:rsidR="002929D1" w:rsidRPr="002929D1" w:rsidRDefault="002929D1" w:rsidP="002929D1">
      <w:pPr>
        <w:spacing w:line="480" w:lineRule="auto"/>
      </w:pPr>
    </w:p>
    <w:p w14:paraId="6FF712EB" w14:textId="77777777" w:rsidR="002929D1" w:rsidRPr="002929D1" w:rsidRDefault="002929D1" w:rsidP="002929D1">
      <w:pPr>
        <w:spacing w:line="480" w:lineRule="auto"/>
      </w:pPr>
      <w:r w:rsidRPr="002929D1">
        <w:lastRenderedPageBreak/>
        <w:t xml:space="preserve">In common with her mother Sarah, Dulcie also involved herself in philanthropic acts. Although in her case she was concerned with the provision of hospitals in Swansea. The passing of the Education Act 1870 removed the need, to a certain extent for philanthropic acts which might go some way to explaining this change in focus. Dulcie was seemingly greatly concerned with the welfare of armed forces personnel who fought in World War 1. She gifted one of the family homes, Parc </w:t>
      </w:r>
      <w:proofErr w:type="spellStart"/>
      <w:r w:rsidRPr="002929D1">
        <w:t>Wern</w:t>
      </w:r>
      <w:proofErr w:type="spellEnd"/>
      <w:r w:rsidRPr="002929D1">
        <w:t xml:space="preserve"> for conversion to a convalescent home, ‘I the Mayor of Swansea (Alderman Dan Jones) has received intimation that Miss </w:t>
      </w:r>
      <w:proofErr w:type="spellStart"/>
      <w:r w:rsidRPr="002929D1">
        <w:t>Dulorie</w:t>
      </w:r>
      <w:proofErr w:type="spellEnd"/>
      <w:r w:rsidRPr="002929D1">
        <w:t xml:space="preserve"> Vivian is prepared to spend a considerable amount of money on the restoration of Park </w:t>
      </w:r>
      <w:proofErr w:type="spellStart"/>
      <w:r w:rsidRPr="002929D1">
        <w:t>Wern</w:t>
      </w:r>
      <w:proofErr w:type="spellEnd"/>
      <w:r w:rsidRPr="002929D1">
        <w:t>, which she will then offer to the town for the purpose of a convalescent home for the reception of wounded soldiers.’</w:t>
      </w:r>
      <w:r w:rsidRPr="002929D1">
        <w:rPr>
          <w:vertAlign w:val="superscript"/>
        </w:rPr>
        <w:footnoteReference w:id="21"/>
      </w:r>
      <w:r w:rsidRPr="002929D1">
        <w:t xml:space="preserve"> Subsequent to this Dulcie then gifted the considerable amount of £800 to extend the provision at Parc </w:t>
      </w:r>
      <w:proofErr w:type="spellStart"/>
      <w:r w:rsidRPr="002929D1">
        <w:t>Wern</w:t>
      </w:r>
      <w:proofErr w:type="spellEnd"/>
      <w:r w:rsidRPr="002929D1">
        <w:t xml:space="preserve"> during the last year of World War 1, in 1918.</w:t>
      </w:r>
      <w:r w:rsidRPr="002929D1">
        <w:rPr>
          <w:vertAlign w:val="superscript"/>
        </w:rPr>
        <w:footnoteReference w:id="22"/>
      </w:r>
    </w:p>
    <w:p w14:paraId="749DBF8C" w14:textId="77777777" w:rsidR="002929D1" w:rsidRPr="002929D1" w:rsidRDefault="002929D1" w:rsidP="002929D1">
      <w:pPr>
        <w:spacing w:line="480" w:lineRule="auto"/>
      </w:pPr>
      <w:r w:rsidRPr="002929D1">
        <w:t>But we should also consider, the reason why philanthropy became so popular that this period was referred to as the Golden Era ‘.... the peculiar configuration of economic, social and religious change taking place in nineteenth century England appears to have heightened the philanthropic impulses of women.’</w:t>
      </w:r>
      <w:r w:rsidRPr="002929D1">
        <w:rPr>
          <w:vertAlign w:val="superscript"/>
        </w:rPr>
        <w:footnoteReference w:id="23"/>
      </w:r>
      <w:r w:rsidRPr="002929D1">
        <w:t xml:space="preserve"> Good deeds had long been the province of the wives and daughters of the landed gentry particularly through visiting tenants in their homes.  Rural philanthropy was accordingly long established prior to the nineteenth century.</w:t>
      </w:r>
      <w:r w:rsidRPr="002929D1">
        <w:rPr>
          <w:vertAlign w:val="superscript"/>
        </w:rPr>
        <w:footnoteReference w:id="24"/>
      </w:r>
      <w:r w:rsidRPr="002929D1">
        <w:t xml:space="preserve"> But as the nineteenth century progressed, industrialisation brought about an increasing number of middle-class women, who in addition to the elite, now undertook philanthropic endeavours in towns and cities. Gerrard summarises the</w:t>
      </w:r>
      <w:r w:rsidRPr="002929D1">
        <w:rPr>
          <w:i/>
          <w:iCs/>
        </w:rPr>
        <w:t xml:space="preserve"> status quo </w:t>
      </w:r>
      <w:r w:rsidRPr="002929D1">
        <w:t xml:space="preserve">prior to industrialisation ‘The landed classes had long justified their position by </w:t>
      </w:r>
      <w:r w:rsidRPr="002929D1">
        <w:rPr>
          <w:i/>
          <w:iCs/>
        </w:rPr>
        <w:t>noblesse oblige</w:t>
      </w:r>
      <w:r w:rsidRPr="002929D1">
        <w:t xml:space="preserve"> </w:t>
      </w:r>
      <w:r w:rsidRPr="002929D1">
        <w:lastRenderedPageBreak/>
        <w:t>and paternalism. The right to rule and the enjoyment of rank, privilege, and wealth carried moral obligations of public service and benevolence.’</w:t>
      </w:r>
      <w:r w:rsidRPr="002929D1">
        <w:rPr>
          <w:vertAlign w:val="superscript"/>
        </w:rPr>
        <w:footnoteReference w:id="25"/>
      </w:r>
      <w:r w:rsidRPr="002929D1">
        <w:t xml:space="preserve"> The industrialisation of towns and cities during the nineteenth century provided women with the opportunity to spend time away from the home to engage in philanthropic endeavour, which provided an outlet for their abilities.</w:t>
      </w:r>
    </w:p>
    <w:p w14:paraId="62CA5990" w14:textId="77777777" w:rsidR="002929D1" w:rsidRPr="002929D1" w:rsidRDefault="002929D1" w:rsidP="002929D1">
      <w:pPr>
        <w:spacing w:line="480" w:lineRule="auto"/>
      </w:pPr>
    </w:p>
    <w:p w14:paraId="07DAE553" w14:textId="77777777" w:rsidR="002929D1" w:rsidRPr="002929D1" w:rsidRDefault="002929D1" w:rsidP="002929D1">
      <w:pPr>
        <w:spacing w:line="480" w:lineRule="auto"/>
      </w:pPr>
      <w:r w:rsidRPr="002929D1">
        <w:t xml:space="preserve"> Discussion points</w:t>
      </w:r>
    </w:p>
    <w:p w14:paraId="739C45DD" w14:textId="77777777" w:rsidR="002929D1" w:rsidRPr="002929D1" w:rsidRDefault="002929D1" w:rsidP="002929D1">
      <w:pPr>
        <w:spacing w:line="480" w:lineRule="auto"/>
      </w:pPr>
      <w:r w:rsidRPr="002929D1">
        <w:t>Is it possible to deduce an average life for women in the elite tier? If so, how?</w:t>
      </w:r>
    </w:p>
    <w:p w14:paraId="4D312FA3" w14:textId="77777777" w:rsidR="002929D1" w:rsidRPr="002929D1" w:rsidRDefault="002929D1" w:rsidP="002929D1">
      <w:pPr>
        <w:spacing w:line="480" w:lineRule="auto"/>
      </w:pPr>
      <w:r w:rsidRPr="002929D1">
        <w:t>How did the Vivian women compare to this average? If not why not?</w:t>
      </w:r>
    </w:p>
    <w:p w14:paraId="7E05EEB4" w14:textId="72FD5FE5" w:rsidR="002929D1" w:rsidRDefault="002929D1" w:rsidP="002929D1">
      <w:r w:rsidRPr="002929D1">
        <w:t>How did the societal changes taking place throughout the nineteenth century, particularly in women’s rights, impact the lives of the Vivian women?</w:t>
      </w:r>
    </w:p>
    <w:sectPr w:rsidR="002929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771F4" w14:textId="77777777" w:rsidR="002929D1" w:rsidRDefault="002929D1" w:rsidP="002929D1">
      <w:pPr>
        <w:spacing w:after="0" w:line="240" w:lineRule="auto"/>
      </w:pPr>
      <w:r>
        <w:separator/>
      </w:r>
    </w:p>
  </w:endnote>
  <w:endnote w:type="continuationSeparator" w:id="0">
    <w:p w14:paraId="6D0973A8" w14:textId="77777777" w:rsidR="002929D1" w:rsidRDefault="002929D1" w:rsidP="00292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9097D" w14:textId="77777777" w:rsidR="002929D1" w:rsidRDefault="002929D1" w:rsidP="002929D1">
      <w:pPr>
        <w:spacing w:after="0" w:line="240" w:lineRule="auto"/>
      </w:pPr>
      <w:r>
        <w:separator/>
      </w:r>
    </w:p>
  </w:footnote>
  <w:footnote w:type="continuationSeparator" w:id="0">
    <w:p w14:paraId="265AB845" w14:textId="77777777" w:rsidR="002929D1" w:rsidRDefault="002929D1" w:rsidP="002929D1">
      <w:pPr>
        <w:spacing w:after="0" w:line="240" w:lineRule="auto"/>
      </w:pPr>
      <w:r>
        <w:continuationSeparator/>
      </w:r>
    </w:p>
  </w:footnote>
  <w:footnote w:id="1">
    <w:p w14:paraId="7D54D2AB" w14:textId="77777777" w:rsidR="002929D1" w:rsidRDefault="002929D1" w:rsidP="002929D1">
      <w:pPr>
        <w:pStyle w:val="FootnoteText"/>
      </w:pPr>
      <w:bookmarkStart w:id="0" w:name="_Hlk86083004"/>
      <w:r>
        <w:rPr>
          <w:rStyle w:val="FootnoteReference"/>
        </w:rPr>
        <w:footnoteRef/>
      </w:r>
      <w:r>
        <w:t xml:space="preserve"> </w:t>
      </w:r>
      <w:bookmarkStart w:id="1" w:name="_Hlk37925328"/>
      <w:r>
        <w:t xml:space="preserve">Stephen Hughes, </w:t>
      </w:r>
      <w:r w:rsidRPr="0086622F">
        <w:rPr>
          <w:i/>
          <w:iCs/>
        </w:rPr>
        <w:t>Copperopolis: Landscapes of the Early Industrial Period in Swansea</w:t>
      </w:r>
      <w:r>
        <w:rPr>
          <w:i/>
          <w:iCs/>
        </w:rPr>
        <w:t xml:space="preserve"> </w:t>
      </w:r>
      <w:r w:rsidRPr="0086622F">
        <w:t>(</w:t>
      </w:r>
      <w:r>
        <w:t>London: Royal Commission on the Ancient and Historical Monuments of Wales, 2000)</w:t>
      </w:r>
      <w:bookmarkEnd w:id="1"/>
    </w:p>
    <w:bookmarkEnd w:id="0"/>
    <w:p w14:paraId="3A22DB57" w14:textId="77777777" w:rsidR="002929D1" w:rsidRDefault="002929D1" w:rsidP="002929D1">
      <w:pPr>
        <w:pStyle w:val="FootnoteText"/>
      </w:pPr>
    </w:p>
  </w:footnote>
  <w:footnote w:id="2">
    <w:p w14:paraId="66455DC3" w14:textId="77777777" w:rsidR="002929D1" w:rsidRDefault="002929D1" w:rsidP="002929D1">
      <w:pPr>
        <w:pStyle w:val="FootnoteText"/>
      </w:pPr>
      <w:r>
        <w:rPr>
          <w:rStyle w:val="FootnoteReference"/>
        </w:rPr>
        <w:footnoteRef/>
      </w:r>
      <w:r>
        <w:t xml:space="preserve"> The Richard Burton Archive, Swansea University, Valuation of the estate subsequent to Dulcie Vivian’s death on 17</w:t>
      </w:r>
      <w:r w:rsidRPr="0046134F">
        <w:rPr>
          <w:vertAlign w:val="superscript"/>
        </w:rPr>
        <w:t>th</w:t>
      </w:r>
      <w:r>
        <w:t xml:space="preserve"> August 1921, LAC/116/C5</w:t>
      </w:r>
    </w:p>
  </w:footnote>
  <w:footnote w:id="3">
    <w:p w14:paraId="0E2AF4C9" w14:textId="77777777" w:rsidR="002929D1" w:rsidRPr="00631D76" w:rsidRDefault="002929D1" w:rsidP="002929D1">
      <w:pPr>
        <w:pStyle w:val="Heading1"/>
        <w:spacing w:before="0"/>
        <w:rPr>
          <w:rFonts w:asciiTheme="minorHAnsi" w:eastAsia="Times New Roman" w:hAnsiTheme="minorHAnsi" w:cstheme="minorHAnsi"/>
          <w:color w:val="auto"/>
          <w:kern w:val="36"/>
          <w:sz w:val="20"/>
          <w:szCs w:val="20"/>
          <w:lang w:eastAsia="en-GB"/>
        </w:rPr>
      </w:pPr>
      <w:r w:rsidRPr="00631D76">
        <w:rPr>
          <w:rStyle w:val="FootnoteReference"/>
          <w:color w:val="auto"/>
          <w:sz w:val="20"/>
          <w:szCs w:val="20"/>
        </w:rPr>
        <w:footnoteRef/>
      </w:r>
      <w:r w:rsidRPr="00631D76">
        <w:rPr>
          <w:color w:val="auto"/>
          <w:sz w:val="20"/>
          <w:szCs w:val="20"/>
        </w:rPr>
        <w:t xml:space="preserve"> </w:t>
      </w:r>
      <w:bookmarkStart w:id="2" w:name="_Hlk86328837"/>
      <w:r w:rsidRPr="00631D76">
        <w:rPr>
          <w:color w:val="auto"/>
          <w:sz w:val="20"/>
          <w:szCs w:val="20"/>
        </w:rPr>
        <w:t>‘</w:t>
      </w:r>
      <w:r w:rsidRPr="00B43516">
        <w:rPr>
          <w:rFonts w:asciiTheme="minorHAnsi" w:eastAsia="Times New Roman" w:hAnsiTheme="minorHAnsi" w:cstheme="minorHAnsi"/>
          <w:color w:val="auto"/>
          <w:kern w:val="36"/>
          <w:sz w:val="20"/>
          <w:szCs w:val="20"/>
          <w:lang w:eastAsia="en-GB"/>
        </w:rPr>
        <w:t xml:space="preserve">Swansea: Mumbles — Best Places to Live in the UK 2020’, </w:t>
      </w:r>
      <w:r w:rsidRPr="00B43516">
        <w:rPr>
          <w:rFonts w:asciiTheme="minorHAnsi" w:hAnsiTheme="minorHAnsi" w:cstheme="minorHAnsi"/>
          <w:i/>
          <w:iCs/>
          <w:color w:val="auto"/>
          <w:sz w:val="20"/>
          <w:szCs w:val="20"/>
        </w:rPr>
        <w:t>The Sunday Times, (2020</w:t>
      </w:r>
      <w:r>
        <w:rPr>
          <w:i/>
          <w:iCs/>
          <w:color w:val="auto"/>
          <w:sz w:val="20"/>
          <w:szCs w:val="20"/>
        </w:rPr>
        <w:t>),</w:t>
      </w:r>
      <w:r w:rsidRPr="00631D76">
        <w:rPr>
          <w:color w:val="auto"/>
        </w:rPr>
        <w:t xml:space="preserve"> </w:t>
      </w:r>
      <w:r w:rsidRPr="00631D76">
        <w:rPr>
          <w:color w:val="auto"/>
          <w:sz w:val="20"/>
          <w:szCs w:val="20"/>
        </w:rPr>
        <w:t>&lt;</w:t>
      </w:r>
      <w:r w:rsidRPr="00631D76">
        <w:rPr>
          <w:rFonts w:asciiTheme="minorHAnsi" w:hAnsiTheme="minorHAnsi" w:cstheme="minorHAnsi"/>
          <w:color w:val="auto"/>
          <w:sz w:val="20"/>
          <w:szCs w:val="20"/>
        </w:rPr>
        <w:t>https://www.thetimes.co.uk/article/swansea-mumbles-best-places-to-live-in-the-uk-2020-vzhdds3jq</w:t>
      </w:r>
      <w:r>
        <w:rPr>
          <w:rFonts w:asciiTheme="minorHAnsi" w:hAnsiTheme="minorHAnsi" w:cstheme="minorHAnsi"/>
          <w:color w:val="auto"/>
          <w:sz w:val="20"/>
          <w:szCs w:val="20"/>
        </w:rPr>
        <w:t>&gt;</w:t>
      </w:r>
    </w:p>
    <w:bookmarkEnd w:id="2"/>
  </w:footnote>
  <w:footnote w:id="4">
    <w:p w14:paraId="20FD6890" w14:textId="6403DBE3" w:rsidR="002929D1" w:rsidRDefault="002929D1" w:rsidP="002929D1">
      <w:pPr>
        <w:spacing w:after="0" w:line="240" w:lineRule="auto"/>
        <w:rPr>
          <w:sz w:val="20"/>
          <w:szCs w:val="20"/>
        </w:rPr>
      </w:pPr>
      <w:r>
        <w:rPr>
          <w:rStyle w:val="FootnoteReference"/>
        </w:rPr>
        <w:footnoteRef/>
      </w:r>
      <w:r>
        <w:t xml:space="preserve"> </w:t>
      </w:r>
      <w:bookmarkStart w:id="3" w:name="_Hlk86328767"/>
      <w:r w:rsidRPr="00D046E7">
        <w:rPr>
          <w:sz w:val="20"/>
          <w:szCs w:val="20"/>
        </w:rPr>
        <w:t xml:space="preserve">Jan </w:t>
      </w:r>
      <w:proofErr w:type="spellStart"/>
      <w:r w:rsidRPr="00D046E7">
        <w:rPr>
          <w:sz w:val="20"/>
          <w:szCs w:val="20"/>
        </w:rPr>
        <w:t>Assman</w:t>
      </w:r>
      <w:proofErr w:type="spellEnd"/>
      <w:r w:rsidRPr="00D046E7">
        <w:rPr>
          <w:sz w:val="20"/>
          <w:szCs w:val="20"/>
        </w:rPr>
        <w:t xml:space="preserve"> and John </w:t>
      </w:r>
      <w:proofErr w:type="spellStart"/>
      <w:r w:rsidRPr="00D046E7">
        <w:rPr>
          <w:sz w:val="20"/>
          <w:szCs w:val="20"/>
        </w:rPr>
        <w:t>Czaplinka</w:t>
      </w:r>
      <w:proofErr w:type="spellEnd"/>
      <w:r w:rsidRPr="00D046E7">
        <w:rPr>
          <w:sz w:val="20"/>
          <w:szCs w:val="20"/>
        </w:rPr>
        <w:t xml:space="preserve">, Collective Memory and Cultural Identity, New German Critique, Vol.65 (1995) 125-133 </w:t>
      </w:r>
      <w:r w:rsidR="00E75564">
        <w:rPr>
          <w:sz w:val="20"/>
          <w:szCs w:val="20"/>
        </w:rPr>
        <w:t>&lt;</w:t>
      </w:r>
      <w:hyperlink r:id="rId1" w:history="1">
        <w:r w:rsidR="00E75564" w:rsidRPr="007A7B0E">
          <w:rPr>
            <w:rStyle w:val="Hyperlink"/>
            <w:sz w:val="20"/>
            <w:szCs w:val="20"/>
          </w:rPr>
          <w:t>https://doi.org/10.2307/488538</w:t>
        </w:r>
      </w:hyperlink>
      <w:r w:rsidR="00E75564">
        <w:rPr>
          <w:rStyle w:val="Hyperlink"/>
          <w:sz w:val="20"/>
          <w:szCs w:val="20"/>
        </w:rPr>
        <w:t>&gt;</w:t>
      </w:r>
    </w:p>
    <w:p w14:paraId="34A10FDD" w14:textId="77777777" w:rsidR="002929D1" w:rsidRDefault="002929D1" w:rsidP="002929D1">
      <w:pPr>
        <w:spacing w:after="0" w:line="240" w:lineRule="auto"/>
        <w:rPr>
          <w:sz w:val="20"/>
          <w:szCs w:val="20"/>
        </w:rPr>
      </w:pPr>
    </w:p>
    <w:p w14:paraId="21EA69ED" w14:textId="77777777" w:rsidR="002929D1" w:rsidRPr="00D046E7" w:rsidRDefault="002929D1" w:rsidP="002929D1">
      <w:pPr>
        <w:spacing w:after="0" w:line="240" w:lineRule="auto"/>
        <w:rPr>
          <w:sz w:val="20"/>
          <w:szCs w:val="20"/>
        </w:rPr>
      </w:pPr>
    </w:p>
    <w:bookmarkEnd w:id="3"/>
    <w:p w14:paraId="38EE7E5E" w14:textId="77777777" w:rsidR="002929D1" w:rsidRDefault="002929D1" w:rsidP="002929D1">
      <w:pPr>
        <w:pStyle w:val="FootnoteText"/>
      </w:pPr>
    </w:p>
  </w:footnote>
  <w:footnote w:id="5">
    <w:p w14:paraId="3072AAC0" w14:textId="77777777" w:rsidR="002929D1" w:rsidRDefault="002929D1" w:rsidP="002929D1">
      <w:pPr>
        <w:pStyle w:val="FootnoteText"/>
      </w:pPr>
      <w:r>
        <w:rPr>
          <w:rStyle w:val="FootnoteReference"/>
        </w:rPr>
        <w:footnoteRef/>
      </w:r>
      <w:r>
        <w:t xml:space="preserve"> </w:t>
      </w:r>
      <w:bookmarkStart w:id="4" w:name="_Hlk88138257"/>
      <w:r>
        <w:t xml:space="preserve">R. R. Toomey, </w:t>
      </w:r>
      <w:r w:rsidRPr="008B33F6">
        <w:rPr>
          <w:i/>
          <w:iCs/>
        </w:rPr>
        <w:t>Vivian and Sons, 1809 – 1924. A Study of the Firm in the Copper and Related Industries</w:t>
      </w:r>
      <w:r>
        <w:t xml:space="preserve"> (New York: Garland Publishing, 1985)</w:t>
      </w:r>
    </w:p>
    <w:bookmarkEnd w:id="4"/>
  </w:footnote>
  <w:footnote w:id="6">
    <w:p w14:paraId="3A0D4FFB" w14:textId="77777777" w:rsidR="002929D1" w:rsidRDefault="002929D1" w:rsidP="002929D1">
      <w:pPr>
        <w:pStyle w:val="FootnoteText"/>
      </w:pPr>
      <w:r>
        <w:rPr>
          <w:rStyle w:val="FootnoteReference"/>
        </w:rPr>
        <w:footnoteRef/>
      </w:r>
      <w:r>
        <w:t xml:space="preserve"> </w:t>
      </w:r>
      <w:bookmarkStart w:id="5" w:name="_Hlk88135520"/>
      <w:r>
        <w:t xml:space="preserve">Pamela Horn, </w:t>
      </w:r>
      <w:r w:rsidRPr="00BA60C5">
        <w:rPr>
          <w:i/>
          <w:iCs/>
        </w:rPr>
        <w:t>High Society – The English Social Elite, 1880 – 1914</w:t>
      </w:r>
      <w:r>
        <w:t xml:space="preserve"> (Stroud: Alan Sutton, 1992) </w:t>
      </w:r>
      <w:bookmarkEnd w:id="5"/>
      <w:r>
        <w:t>p.6</w:t>
      </w:r>
    </w:p>
  </w:footnote>
  <w:footnote w:id="7">
    <w:p w14:paraId="2BC22DEC" w14:textId="77777777" w:rsidR="002929D1" w:rsidRDefault="002929D1" w:rsidP="002929D1">
      <w:pPr>
        <w:pStyle w:val="FootnoteText"/>
      </w:pPr>
      <w:r>
        <w:rPr>
          <w:rStyle w:val="FootnoteReference"/>
        </w:rPr>
        <w:footnoteRef/>
      </w:r>
      <w:r>
        <w:t xml:space="preserve"> Horn, p.12</w:t>
      </w:r>
    </w:p>
  </w:footnote>
  <w:footnote w:id="8">
    <w:p w14:paraId="53687320" w14:textId="77777777" w:rsidR="002929D1" w:rsidRDefault="002929D1" w:rsidP="002929D1">
      <w:pPr>
        <w:pStyle w:val="FootnoteText"/>
      </w:pPr>
      <w:r>
        <w:rPr>
          <w:rStyle w:val="FootnoteReference"/>
        </w:rPr>
        <w:footnoteRef/>
      </w:r>
      <w:r>
        <w:t xml:space="preserve"> The Richard Burton Archive, Swansea University, Valuation of the estate subsequent to Dulcie Vivian’s death on 17</w:t>
      </w:r>
      <w:r w:rsidRPr="0046134F">
        <w:rPr>
          <w:vertAlign w:val="superscript"/>
        </w:rPr>
        <w:t>th</w:t>
      </w:r>
      <w:r>
        <w:t xml:space="preserve"> August 1921, LAC/116/E3</w:t>
      </w:r>
    </w:p>
  </w:footnote>
  <w:footnote w:id="9">
    <w:p w14:paraId="69157BE6" w14:textId="11E935A0" w:rsidR="002929D1" w:rsidRDefault="002929D1" w:rsidP="002929D1">
      <w:pPr>
        <w:pStyle w:val="FootnoteText"/>
      </w:pPr>
      <w:r>
        <w:rPr>
          <w:rStyle w:val="FootnoteReference"/>
        </w:rPr>
        <w:footnoteRef/>
      </w:r>
      <w:r>
        <w:t xml:space="preserve"> </w:t>
      </w:r>
      <w:hyperlink r:id="rId2" w:history="1">
        <w:r w:rsidR="002776D0" w:rsidRPr="004E3064">
          <w:rPr>
            <w:rStyle w:val="Hyperlink"/>
          </w:rPr>
          <w:t>https://rentberry.com/gb/houses/25262779-one-br-7-belgrave-square-london-sw1x-8ph-united-kingdom</w:t>
        </w:r>
      </w:hyperlink>
      <w:r w:rsidR="002776D0">
        <w:t xml:space="preserve"> [accessed 21 November 2021]</w:t>
      </w:r>
    </w:p>
  </w:footnote>
  <w:footnote w:id="10">
    <w:p w14:paraId="783F0842" w14:textId="77777777" w:rsidR="002929D1" w:rsidRDefault="002929D1" w:rsidP="002929D1">
      <w:pPr>
        <w:pStyle w:val="FootnoteText"/>
      </w:pPr>
      <w:r>
        <w:rPr>
          <w:rStyle w:val="FootnoteReference"/>
        </w:rPr>
        <w:footnoteRef/>
      </w:r>
      <w:r>
        <w:t xml:space="preserve"> </w:t>
      </w:r>
      <w:bookmarkStart w:id="6" w:name="_Hlk88137571"/>
      <w:bookmarkStart w:id="7" w:name="_Hlk88137572"/>
      <w:r>
        <w:t xml:space="preserve">R.A. Griffiths, </w:t>
      </w:r>
      <w:r w:rsidRPr="001C4BDB">
        <w:rPr>
          <w:i/>
          <w:iCs/>
        </w:rPr>
        <w:t>Clyne Castle – Swansea</w:t>
      </w:r>
      <w:r>
        <w:t xml:space="preserve"> (Swansea: University College Swansea, 1977)</w:t>
      </w:r>
    </w:p>
    <w:p w14:paraId="252CC6C9" w14:textId="77777777" w:rsidR="002929D1" w:rsidRDefault="002929D1" w:rsidP="002929D1">
      <w:pPr>
        <w:pStyle w:val="FootnoteText"/>
      </w:pPr>
      <w:r>
        <w:t xml:space="preserve">R. A Griffiths, </w:t>
      </w:r>
      <w:r w:rsidRPr="001C4BDB">
        <w:rPr>
          <w:i/>
          <w:iCs/>
        </w:rPr>
        <w:t xml:space="preserve">Singleton Abbey and the </w:t>
      </w:r>
      <w:proofErr w:type="spellStart"/>
      <w:r w:rsidRPr="001C4BDB">
        <w:rPr>
          <w:i/>
          <w:iCs/>
        </w:rPr>
        <w:t>Vivians</w:t>
      </w:r>
      <w:proofErr w:type="spellEnd"/>
      <w:r w:rsidRPr="001C4BDB">
        <w:rPr>
          <w:i/>
          <w:iCs/>
        </w:rPr>
        <w:t xml:space="preserve"> of Swansea</w:t>
      </w:r>
      <w:r>
        <w:t xml:space="preserve"> (Llandysul: Gomer Press, 1988)</w:t>
      </w:r>
      <w:bookmarkEnd w:id="6"/>
      <w:bookmarkEnd w:id="7"/>
    </w:p>
  </w:footnote>
  <w:footnote w:id="11">
    <w:p w14:paraId="41D2DBC5" w14:textId="77777777" w:rsidR="002929D1" w:rsidRDefault="002929D1" w:rsidP="002929D1">
      <w:pPr>
        <w:pStyle w:val="FootnoteText"/>
      </w:pPr>
      <w:r>
        <w:rPr>
          <w:rStyle w:val="FootnoteReference"/>
        </w:rPr>
        <w:footnoteRef/>
      </w:r>
      <w:r>
        <w:t xml:space="preserve"> Frank Prochaska, </w:t>
      </w:r>
      <w:r w:rsidRPr="008E71E6">
        <w:rPr>
          <w:i/>
          <w:iCs/>
        </w:rPr>
        <w:t>Women and Philanthropy in Nineteenth Century England</w:t>
      </w:r>
      <w:r>
        <w:t xml:space="preserve"> (Oxford: Oxford university Press, 1980) p.1</w:t>
      </w:r>
    </w:p>
  </w:footnote>
  <w:footnote w:id="12">
    <w:p w14:paraId="5145EABC" w14:textId="77777777" w:rsidR="002929D1" w:rsidRDefault="002929D1" w:rsidP="002929D1">
      <w:pPr>
        <w:pStyle w:val="FootnoteText"/>
      </w:pPr>
      <w:r>
        <w:rPr>
          <w:rStyle w:val="FootnoteReference"/>
        </w:rPr>
        <w:footnoteRef/>
      </w:r>
      <w:r>
        <w:t xml:space="preserve"> Prochaska, p.3</w:t>
      </w:r>
    </w:p>
  </w:footnote>
  <w:footnote w:id="13">
    <w:p w14:paraId="024B03CB" w14:textId="77777777" w:rsidR="002929D1" w:rsidRDefault="002929D1" w:rsidP="002929D1">
      <w:pPr>
        <w:pStyle w:val="FootnoteText"/>
      </w:pPr>
      <w:r>
        <w:rPr>
          <w:rStyle w:val="FootnoteReference"/>
        </w:rPr>
        <w:footnoteRef/>
      </w:r>
      <w:r>
        <w:t xml:space="preserve"> Lilian Lewis </w:t>
      </w:r>
      <w:proofErr w:type="spellStart"/>
      <w:r>
        <w:t>Shiman</w:t>
      </w:r>
      <w:proofErr w:type="spellEnd"/>
      <w:r>
        <w:t xml:space="preserve">, </w:t>
      </w:r>
      <w:r w:rsidRPr="001002C1">
        <w:rPr>
          <w:i/>
          <w:iCs/>
        </w:rPr>
        <w:t>Women and Leadership in Nineteenth Century England</w:t>
      </w:r>
      <w:r>
        <w:t xml:space="preserve"> (Basingstoke, Macmillan, 1992) p.5</w:t>
      </w:r>
    </w:p>
  </w:footnote>
  <w:footnote w:id="14">
    <w:p w14:paraId="12DD3FE4" w14:textId="77777777" w:rsidR="002929D1" w:rsidRDefault="002929D1" w:rsidP="002929D1">
      <w:pPr>
        <w:pStyle w:val="FootnoteText"/>
      </w:pPr>
      <w:r>
        <w:rPr>
          <w:rStyle w:val="FootnoteReference"/>
        </w:rPr>
        <w:footnoteRef/>
      </w:r>
      <w:r>
        <w:t xml:space="preserve"> </w:t>
      </w:r>
      <w:bookmarkStart w:id="8" w:name="_Hlk88222038"/>
      <w:r>
        <w:t xml:space="preserve">Anthony Fletcher, ‘Polite Accomplishments’, </w:t>
      </w:r>
      <w:r w:rsidRPr="002B2369">
        <w:rPr>
          <w:i/>
          <w:iCs/>
        </w:rPr>
        <w:t>History Today</w:t>
      </w:r>
      <w:r>
        <w:t xml:space="preserve">, Vol.58, </w:t>
      </w:r>
      <w:proofErr w:type="spellStart"/>
      <w:r>
        <w:t>Iss</w:t>
      </w:r>
      <w:proofErr w:type="spellEnd"/>
      <w:r>
        <w:t xml:space="preserve">. 4(2008) </w:t>
      </w:r>
      <w:bookmarkEnd w:id="8"/>
      <w:r>
        <w:t>p.43</w:t>
      </w:r>
    </w:p>
  </w:footnote>
  <w:footnote w:id="15">
    <w:p w14:paraId="4CE8C9B3" w14:textId="0C0E84E2" w:rsidR="002929D1" w:rsidRDefault="002929D1" w:rsidP="002929D1">
      <w:pPr>
        <w:pStyle w:val="FootnoteText"/>
      </w:pPr>
      <w:r>
        <w:rPr>
          <w:rStyle w:val="FootnoteReference"/>
        </w:rPr>
        <w:footnoteRef/>
      </w:r>
      <w:r>
        <w:t xml:space="preserve"> </w:t>
      </w:r>
      <w:bookmarkStart w:id="9" w:name="_Hlk88224051"/>
      <w:r>
        <w:t xml:space="preserve">George Broad, ‘How the Other Half Lived: Rich and Poor Women in Victorian Britain’, (2014) &lt;http://www.hisorynowmagazine.com/blog/2014/4/21how-the-other-half-lived-rich-and-poor-women-in-victorian-britain#.YPnBrEAo_cs&gt; [accessed 19 </w:t>
      </w:r>
      <w:r w:rsidR="00F97004">
        <w:t>N</w:t>
      </w:r>
      <w:r>
        <w:t>ovember 2021]</w:t>
      </w:r>
    </w:p>
    <w:bookmarkEnd w:id="9"/>
  </w:footnote>
  <w:footnote w:id="16">
    <w:p w14:paraId="198EA787" w14:textId="77777777" w:rsidR="002929D1" w:rsidRDefault="002929D1" w:rsidP="002929D1">
      <w:pPr>
        <w:pStyle w:val="FootnoteText"/>
      </w:pPr>
      <w:r>
        <w:rPr>
          <w:rStyle w:val="FootnoteReference"/>
        </w:rPr>
        <w:footnoteRef/>
      </w:r>
      <w:r>
        <w:t xml:space="preserve"> </w:t>
      </w:r>
      <w:bookmarkStart w:id="10" w:name="_Hlk88222605"/>
      <w:r>
        <w:t xml:space="preserve">Frank Prochaska, ‘Women in English Philanthropy, 1790 – 1830’, </w:t>
      </w:r>
      <w:r w:rsidRPr="00ED5B84">
        <w:rPr>
          <w:i/>
          <w:iCs/>
        </w:rPr>
        <w:t>International Review of Social History</w:t>
      </w:r>
      <w:r>
        <w:t>, Vol. XIX, Part 3 (1974</w:t>
      </w:r>
      <w:bookmarkEnd w:id="10"/>
      <w:r>
        <w:t>) p.426</w:t>
      </w:r>
    </w:p>
  </w:footnote>
  <w:footnote w:id="17">
    <w:p w14:paraId="10BDB52C" w14:textId="77777777" w:rsidR="002929D1" w:rsidRDefault="002929D1" w:rsidP="002929D1">
      <w:pPr>
        <w:pStyle w:val="FootnoteText"/>
      </w:pPr>
      <w:r>
        <w:rPr>
          <w:rStyle w:val="FootnoteReference"/>
        </w:rPr>
        <w:footnoteRef/>
      </w:r>
      <w:r>
        <w:t xml:space="preserve"> Prochaska, p.431</w:t>
      </w:r>
    </w:p>
  </w:footnote>
  <w:footnote w:id="18">
    <w:p w14:paraId="58DC0544" w14:textId="77777777" w:rsidR="002929D1" w:rsidRDefault="002929D1" w:rsidP="002929D1">
      <w:pPr>
        <w:pStyle w:val="FootnoteText"/>
      </w:pPr>
      <w:r>
        <w:rPr>
          <w:rStyle w:val="FootnoteReference"/>
        </w:rPr>
        <w:footnoteRef/>
      </w:r>
      <w:r>
        <w:t xml:space="preserve"> Leslie Wynne Evans, </w:t>
      </w:r>
      <w:r w:rsidRPr="00140C82">
        <w:rPr>
          <w:i/>
          <w:iCs/>
        </w:rPr>
        <w:t>Education in Industrial Wales, 1700 – 1900</w:t>
      </w:r>
      <w:r>
        <w:t xml:space="preserve"> (Cardiff: Avalon Books, 1971) p. iii</w:t>
      </w:r>
    </w:p>
  </w:footnote>
  <w:footnote w:id="19">
    <w:p w14:paraId="0BC2E8F5" w14:textId="77777777" w:rsidR="002929D1" w:rsidRDefault="002929D1" w:rsidP="002929D1">
      <w:pPr>
        <w:pStyle w:val="FootnoteText"/>
      </w:pPr>
      <w:r>
        <w:rPr>
          <w:rStyle w:val="FootnoteReference"/>
        </w:rPr>
        <w:footnoteRef/>
      </w:r>
      <w:r>
        <w:t xml:space="preserve"> Evans, p.125</w:t>
      </w:r>
    </w:p>
  </w:footnote>
  <w:footnote w:id="20">
    <w:p w14:paraId="4F6FBE05" w14:textId="77777777" w:rsidR="002929D1" w:rsidRDefault="002929D1" w:rsidP="002929D1">
      <w:pPr>
        <w:pStyle w:val="FootnoteText"/>
      </w:pPr>
      <w:r>
        <w:rPr>
          <w:rStyle w:val="FootnoteReference"/>
        </w:rPr>
        <w:footnoteRef/>
      </w:r>
      <w:r>
        <w:t xml:space="preserve"> Hughes, p.252</w:t>
      </w:r>
    </w:p>
  </w:footnote>
  <w:footnote w:id="21">
    <w:p w14:paraId="0CD99671" w14:textId="77777777" w:rsidR="002929D1" w:rsidRDefault="002929D1" w:rsidP="002929D1">
      <w:pPr>
        <w:pStyle w:val="FootnoteText"/>
      </w:pPr>
      <w:r>
        <w:rPr>
          <w:rStyle w:val="FootnoteReference"/>
        </w:rPr>
        <w:footnoteRef/>
      </w:r>
      <w:r>
        <w:t xml:space="preserve"> South Wales Weekly Post, 29</w:t>
      </w:r>
      <w:r w:rsidRPr="006F3783">
        <w:rPr>
          <w:vertAlign w:val="superscript"/>
        </w:rPr>
        <w:t>th</w:t>
      </w:r>
      <w:r>
        <w:t xml:space="preserve"> April 1915 &lt;</w:t>
      </w:r>
      <w:hyperlink r:id="rId3" w:history="1">
        <w:bookmarkStart w:id="11" w:name="_Hlk88226345"/>
        <w:r w:rsidRPr="00D52C1F">
          <w:rPr>
            <w:rStyle w:val="Hyperlink"/>
          </w:rPr>
          <w:t>https://newspapers.library.wales/view/</w:t>
        </w:r>
        <w:bookmarkEnd w:id="11"/>
        <w:r w:rsidRPr="00D52C1F">
          <w:rPr>
            <w:rStyle w:val="Hyperlink"/>
          </w:rPr>
          <w:t>4110705/15/dulcie%20vivian</w:t>
        </w:r>
      </w:hyperlink>
      <w:r>
        <w:t>&gt; [accessed 19 November 2021]</w:t>
      </w:r>
    </w:p>
  </w:footnote>
  <w:footnote w:id="22">
    <w:p w14:paraId="126D319D" w14:textId="77777777" w:rsidR="002929D1" w:rsidRDefault="002929D1" w:rsidP="002929D1">
      <w:pPr>
        <w:pStyle w:val="FootnoteText"/>
      </w:pPr>
      <w:r>
        <w:rPr>
          <w:rStyle w:val="FootnoteReference"/>
        </w:rPr>
        <w:footnoteRef/>
      </w:r>
      <w:r>
        <w:t xml:space="preserve"> South Wales Weekly Post, 22</w:t>
      </w:r>
      <w:r w:rsidRPr="006F3783">
        <w:rPr>
          <w:vertAlign w:val="superscript"/>
        </w:rPr>
        <w:t>nd</w:t>
      </w:r>
      <w:r>
        <w:t xml:space="preserve"> June 1918 &lt;</w:t>
      </w:r>
      <w:hyperlink r:id="rId4" w:history="1">
        <w:r w:rsidRPr="00D52C1F">
          <w:rPr>
            <w:rStyle w:val="Hyperlink"/>
          </w:rPr>
          <w:t>https://newspapers.library.wales/view/4110704/4110705/15/dulcie%20vivian</w:t>
        </w:r>
      </w:hyperlink>
      <w:r>
        <w:t xml:space="preserve">&gt; </w:t>
      </w:r>
    </w:p>
  </w:footnote>
  <w:footnote w:id="23">
    <w:p w14:paraId="02150F3C" w14:textId="77777777" w:rsidR="002929D1" w:rsidRDefault="002929D1" w:rsidP="002929D1">
      <w:pPr>
        <w:pStyle w:val="FootnoteText"/>
      </w:pPr>
      <w:r>
        <w:rPr>
          <w:rStyle w:val="FootnoteReference"/>
        </w:rPr>
        <w:footnoteRef/>
      </w:r>
      <w:r>
        <w:t xml:space="preserve"> Frank Prochaska, </w:t>
      </w:r>
      <w:r w:rsidRPr="006977D8">
        <w:rPr>
          <w:i/>
          <w:iCs/>
        </w:rPr>
        <w:t>Women and Philanthropy in Nineteenth Century England</w:t>
      </w:r>
      <w:r>
        <w:t xml:space="preserve"> (Oxford: Oxford University Press, 1980) p.38</w:t>
      </w:r>
    </w:p>
  </w:footnote>
  <w:footnote w:id="24">
    <w:p w14:paraId="7CF610F0" w14:textId="77777777" w:rsidR="002929D1" w:rsidRDefault="002929D1" w:rsidP="002929D1">
      <w:pPr>
        <w:spacing w:after="0" w:line="240" w:lineRule="auto"/>
      </w:pPr>
      <w:r>
        <w:rPr>
          <w:rStyle w:val="FootnoteReference"/>
        </w:rPr>
        <w:footnoteRef/>
      </w:r>
      <w:r>
        <w:t xml:space="preserve"> </w:t>
      </w:r>
      <w:bookmarkStart w:id="12" w:name="_Hlk88501945"/>
      <w:bookmarkStart w:id="13" w:name="_Hlk88501946"/>
      <w:r>
        <w:t xml:space="preserve">Jessica Gerrard, ‘Lady Bountiful: Women of the Landed classes and Rural Philanthropy’, </w:t>
      </w:r>
      <w:r w:rsidRPr="00EB7879">
        <w:rPr>
          <w:i/>
          <w:iCs/>
        </w:rPr>
        <w:t>Victorian Studies</w:t>
      </w:r>
      <w:r>
        <w:t>, Vol.30, No. 2 (1987) pp.183 – 210</w:t>
      </w:r>
      <w:bookmarkEnd w:id="12"/>
      <w:bookmarkEnd w:id="13"/>
      <w:r>
        <w:t xml:space="preserve"> &lt;</w:t>
      </w:r>
      <w:hyperlink r:id="rId5" w:history="1">
        <w:r w:rsidRPr="00E02682">
          <w:rPr>
            <w:rStyle w:val="Hyperlink"/>
          </w:rPr>
          <w:t>https://www.jstor.org/stable/3827663</w:t>
        </w:r>
      </w:hyperlink>
      <w:r>
        <w:t xml:space="preserve">&gt; [accessed 22 November 2021] </w:t>
      </w:r>
    </w:p>
  </w:footnote>
  <w:footnote w:id="25">
    <w:p w14:paraId="06F4C479" w14:textId="77777777" w:rsidR="002929D1" w:rsidRPr="00E73866" w:rsidRDefault="002929D1" w:rsidP="002929D1">
      <w:pPr>
        <w:pStyle w:val="FootnoteText"/>
        <w:rPr>
          <w:i/>
          <w:iCs/>
        </w:rPr>
      </w:pPr>
      <w:r>
        <w:rPr>
          <w:rStyle w:val="FootnoteReference"/>
        </w:rPr>
        <w:footnoteRef/>
      </w:r>
      <w:r>
        <w:t xml:space="preserve"> </w:t>
      </w:r>
      <w:r w:rsidRPr="00E73866">
        <w:rPr>
          <w:i/>
          <w:iCs/>
        </w:rPr>
        <w:t>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9D1"/>
    <w:rsid w:val="001D69AD"/>
    <w:rsid w:val="002776D0"/>
    <w:rsid w:val="002929D1"/>
    <w:rsid w:val="002B4E28"/>
    <w:rsid w:val="00507EB8"/>
    <w:rsid w:val="005451D7"/>
    <w:rsid w:val="005E28D2"/>
    <w:rsid w:val="0089168F"/>
    <w:rsid w:val="008A06EE"/>
    <w:rsid w:val="008D7B89"/>
    <w:rsid w:val="00AB736A"/>
    <w:rsid w:val="00BE2B07"/>
    <w:rsid w:val="00D00D03"/>
    <w:rsid w:val="00E75564"/>
    <w:rsid w:val="00EB61CF"/>
    <w:rsid w:val="00EC7624"/>
    <w:rsid w:val="00F97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A991A"/>
  <w15:chartTrackingRefBased/>
  <w15:docId w15:val="{566D64BB-BCD2-41B6-9492-66EF9E970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9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9D1"/>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unhideWhenUsed/>
    <w:rsid w:val="002929D1"/>
    <w:pPr>
      <w:spacing w:after="0" w:line="240" w:lineRule="auto"/>
    </w:pPr>
    <w:rPr>
      <w:sz w:val="20"/>
      <w:szCs w:val="20"/>
    </w:rPr>
  </w:style>
  <w:style w:type="character" w:customStyle="1" w:styleId="FootnoteTextChar">
    <w:name w:val="Footnote Text Char"/>
    <w:basedOn w:val="DefaultParagraphFont"/>
    <w:link w:val="FootnoteText"/>
    <w:uiPriority w:val="99"/>
    <w:rsid w:val="002929D1"/>
    <w:rPr>
      <w:sz w:val="20"/>
      <w:szCs w:val="20"/>
    </w:rPr>
  </w:style>
  <w:style w:type="character" w:styleId="FootnoteReference">
    <w:name w:val="footnote reference"/>
    <w:basedOn w:val="DefaultParagraphFont"/>
    <w:uiPriority w:val="99"/>
    <w:semiHidden/>
    <w:unhideWhenUsed/>
    <w:rsid w:val="002929D1"/>
    <w:rPr>
      <w:vertAlign w:val="superscript"/>
    </w:rPr>
  </w:style>
  <w:style w:type="character" w:styleId="Hyperlink">
    <w:name w:val="Hyperlink"/>
    <w:basedOn w:val="DefaultParagraphFont"/>
    <w:uiPriority w:val="99"/>
    <w:unhideWhenUsed/>
    <w:rsid w:val="002929D1"/>
    <w:rPr>
      <w:color w:val="0563C1" w:themeColor="hyperlink"/>
      <w:u w:val="single"/>
    </w:rPr>
  </w:style>
  <w:style w:type="character" w:styleId="UnresolvedMention">
    <w:name w:val="Unresolved Mention"/>
    <w:basedOn w:val="DefaultParagraphFont"/>
    <w:uiPriority w:val="99"/>
    <w:semiHidden/>
    <w:unhideWhenUsed/>
    <w:rsid w:val="002776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newspapers.library.wales/view/4110705/15/dulcie%20vivian" TargetMode="External"/><Relationship Id="rId2" Type="http://schemas.openxmlformats.org/officeDocument/2006/relationships/hyperlink" Target="https://rentberry.com/gb/houses/25262779-one-br-7-belgrave-square-london-sw1x-8ph-united-kingdom" TargetMode="External"/><Relationship Id="rId1" Type="http://schemas.openxmlformats.org/officeDocument/2006/relationships/hyperlink" Target="https://doi.org/10.2307/488538" TargetMode="External"/><Relationship Id="rId5" Type="http://schemas.openxmlformats.org/officeDocument/2006/relationships/hyperlink" Target="https://www.jstor.org/stable/3827663" TargetMode="External"/><Relationship Id="rId4" Type="http://schemas.openxmlformats.org/officeDocument/2006/relationships/hyperlink" Target="https://newspapers.library.wales/view/4110704/4110705/15/dulcie%20vivi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7</Pages>
  <Words>1741</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Jones</dc:creator>
  <cp:keywords/>
  <dc:description/>
  <cp:lastModifiedBy>Jane Jones</cp:lastModifiedBy>
  <cp:revision>15</cp:revision>
  <cp:lastPrinted>2021-11-28T19:36:00Z</cp:lastPrinted>
  <dcterms:created xsi:type="dcterms:W3CDTF">2021-11-25T16:01:00Z</dcterms:created>
  <dcterms:modified xsi:type="dcterms:W3CDTF">2021-11-28T19:53:00Z</dcterms:modified>
</cp:coreProperties>
</file>