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53CD" w:rsidRPr="00CF3C53" w:rsidRDefault="004307F2" w:rsidP="00F553CD">
      <w:pPr>
        <w:jc w:val="center"/>
        <w:rPr>
          <w:rFonts w:ascii="Tahoma" w:hAnsi="Tahoma" w:cs="Tahoma"/>
          <w:sz w:val="32"/>
          <w:szCs w:val="32"/>
          <w:u w:val="single"/>
        </w:rPr>
      </w:pPr>
      <w:bookmarkStart w:id="0" w:name="_GoBack"/>
      <w:bookmarkEnd w:id="0"/>
      <w:r w:rsidRPr="00CF3C53">
        <w:rPr>
          <w:rFonts w:ascii="Tahoma" w:hAnsi="Tahoma" w:cs="Tahoma"/>
          <w:sz w:val="32"/>
          <w:szCs w:val="32"/>
          <w:u w:val="single"/>
        </w:rPr>
        <w:t xml:space="preserve">HMS Heron </w:t>
      </w:r>
      <w:r w:rsidR="00983EE7" w:rsidRPr="00CF3C53">
        <w:rPr>
          <w:rFonts w:ascii="Tahoma" w:hAnsi="Tahoma" w:cs="Tahoma"/>
          <w:sz w:val="32"/>
          <w:szCs w:val="32"/>
          <w:u w:val="single"/>
        </w:rPr>
        <w:t>Naval stores department</w:t>
      </w:r>
      <w:r w:rsidR="00F553CD">
        <w:rPr>
          <w:rFonts w:ascii="Tahoma" w:hAnsi="Tahoma" w:cs="Tahoma"/>
          <w:sz w:val="32"/>
          <w:szCs w:val="32"/>
          <w:u w:val="single"/>
        </w:rPr>
        <w:t xml:space="preserve"> – Porter’s five forces</w:t>
      </w:r>
    </w:p>
    <w:p w:rsidR="00F553CD" w:rsidRDefault="00F553CD" w:rsidP="00F553CD">
      <w:pPr>
        <w:rPr>
          <w:rFonts w:ascii="Tahoma" w:hAnsi="Tahoma" w:cs="Tahoma"/>
          <w:sz w:val="28"/>
          <w:szCs w:val="28"/>
        </w:rPr>
      </w:pPr>
    </w:p>
    <w:p w:rsidR="0093113E" w:rsidRDefault="00F553CD" w:rsidP="00F553CD">
      <w:pPr>
        <w:rPr>
          <w:rFonts w:ascii="Tahoma" w:hAnsi="Tahoma" w:cs="Tahoma"/>
          <w:sz w:val="28"/>
          <w:szCs w:val="28"/>
        </w:rPr>
      </w:pPr>
      <w:r>
        <w:rPr>
          <w:rFonts w:ascii="Tahoma" w:hAnsi="Tahoma" w:cs="Tahoma"/>
          <w:sz w:val="28"/>
          <w:szCs w:val="28"/>
        </w:rPr>
        <w:t>Porter’s five forces is a way of understanding the forces at play within the organisations environment that effect its position. The</w:t>
      </w:r>
      <w:r w:rsidR="00470584">
        <w:rPr>
          <w:rFonts w:ascii="Tahoma" w:hAnsi="Tahoma" w:cs="Tahoma"/>
          <w:sz w:val="28"/>
          <w:szCs w:val="28"/>
        </w:rPr>
        <w:t>se</w:t>
      </w:r>
      <w:r>
        <w:rPr>
          <w:rFonts w:ascii="Tahoma" w:hAnsi="Tahoma" w:cs="Tahoma"/>
          <w:sz w:val="28"/>
          <w:szCs w:val="28"/>
        </w:rPr>
        <w:t xml:space="preserve"> forces consist of competative rivalry, supplier power, buyer power, threat of substitution and threat of new entry.</w:t>
      </w:r>
      <w:r w:rsidR="00470584">
        <w:rPr>
          <w:rFonts w:ascii="Tahoma" w:hAnsi="Tahoma" w:cs="Tahoma"/>
          <w:sz w:val="28"/>
          <w:szCs w:val="28"/>
        </w:rPr>
        <w:t xml:space="preserve"> </w:t>
      </w:r>
      <w:r w:rsidR="008D360D">
        <w:rPr>
          <w:rFonts w:ascii="Tahoma" w:hAnsi="Tahoma" w:cs="Tahoma"/>
          <w:sz w:val="28"/>
          <w:szCs w:val="28"/>
        </w:rPr>
        <w:t>By analysing these five forces within the organisation ways of cost cutting and making the most of the budget can be found and acted upon.</w:t>
      </w:r>
    </w:p>
    <w:p w:rsidR="00470584" w:rsidRDefault="00470584" w:rsidP="00F553CD">
      <w:pPr>
        <w:rPr>
          <w:rFonts w:ascii="Tahoma" w:hAnsi="Tahoma" w:cs="Tahoma"/>
          <w:sz w:val="28"/>
          <w:szCs w:val="28"/>
        </w:rPr>
      </w:pPr>
      <w:r>
        <w:rPr>
          <w:rFonts w:ascii="Tahoma" w:hAnsi="Tahoma" w:cs="Tahoma"/>
          <w:sz w:val="28"/>
          <w:szCs w:val="28"/>
        </w:rPr>
        <w:t>Competative rivalry –</w:t>
      </w:r>
      <w:r w:rsidR="00D22988">
        <w:rPr>
          <w:rFonts w:ascii="Tahoma" w:hAnsi="Tahoma" w:cs="Tahoma"/>
          <w:sz w:val="28"/>
          <w:szCs w:val="28"/>
        </w:rPr>
        <w:t xml:space="preserve"> As rivalry within what this department offers to the squadrons is non-exsistant being the only internal operation offering this it is important not to become complacent. The hierarchy keep a close eye on what is happening and must adapt to retain the correct level of productivity of service output.</w:t>
      </w:r>
    </w:p>
    <w:p w:rsidR="0095256A" w:rsidRDefault="00470584" w:rsidP="00F553CD">
      <w:pPr>
        <w:rPr>
          <w:rFonts w:ascii="Tahoma" w:hAnsi="Tahoma" w:cs="Tahoma"/>
          <w:sz w:val="28"/>
          <w:szCs w:val="28"/>
        </w:rPr>
      </w:pPr>
      <w:r>
        <w:rPr>
          <w:rFonts w:ascii="Tahoma" w:hAnsi="Tahoma" w:cs="Tahoma"/>
          <w:sz w:val="28"/>
          <w:szCs w:val="28"/>
        </w:rPr>
        <w:t xml:space="preserve">Supplier power – </w:t>
      </w:r>
      <w:r w:rsidR="002542A5">
        <w:rPr>
          <w:rFonts w:ascii="Tahoma" w:hAnsi="Tahoma" w:cs="Tahoma"/>
          <w:sz w:val="28"/>
          <w:szCs w:val="28"/>
        </w:rPr>
        <w:t>Contracted companies who supply aircraft parts are strictly regulated and held to fulfil the contract they have in place with this stores department by the Royal Navy commodity managers who mostly operate from Abbeywood, Bristol. When problems arise, they must liaise with the company in question and come to an acceptable solution within a certain timeline. Prices are generally fixed but some external economic factors may come in to play that affect this and some allowance can be made in the right circumstances.</w:t>
      </w:r>
    </w:p>
    <w:p w:rsidR="00470584" w:rsidRDefault="002542A5" w:rsidP="00F553CD">
      <w:pPr>
        <w:rPr>
          <w:rFonts w:ascii="Tahoma" w:hAnsi="Tahoma" w:cs="Tahoma"/>
          <w:sz w:val="28"/>
          <w:szCs w:val="28"/>
        </w:rPr>
      </w:pPr>
      <w:r>
        <w:rPr>
          <w:rFonts w:ascii="Tahoma" w:hAnsi="Tahoma" w:cs="Tahoma"/>
          <w:sz w:val="28"/>
          <w:szCs w:val="28"/>
        </w:rPr>
        <w:t xml:space="preserve"> The MOD had a reputation for paying extortionate prices but this is no longer the case and hard negotiations are common place now within a more open bidding </w:t>
      </w:r>
      <w:r w:rsidR="0095256A">
        <w:rPr>
          <w:rFonts w:ascii="Tahoma" w:hAnsi="Tahoma" w:cs="Tahoma"/>
          <w:sz w:val="28"/>
          <w:szCs w:val="28"/>
        </w:rPr>
        <w:t>market which more external companies have access into. However, when the product is specialist, a premium price is expected and often realised. Great care must be taken when purchasing aircraft spares due to the obvious safety risks associated. Prime example of what can go wrong is the Leicester football club helicopter accident which only just happened days ago. Fewer the suppliers higher the cost and vice versa.</w:t>
      </w:r>
    </w:p>
    <w:p w:rsidR="0095256A" w:rsidRDefault="00470584" w:rsidP="00F553CD">
      <w:pPr>
        <w:rPr>
          <w:rFonts w:ascii="Tahoma" w:hAnsi="Tahoma" w:cs="Tahoma"/>
          <w:sz w:val="28"/>
          <w:szCs w:val="28"/>
        </w:rPr>
      </w:pPr>
      <w:r>
        <w:rPr>
          <w:rFonts w:ascii="Tahoma" w:hAnsi="Tahoma" w:cs="Tahoma"/>
          <w:sz w:val="28"/>
          <w:szCs w:val="28"/>
        </w:rPr>
        <w:t xml:space="preserve">Buyer power – </w:t>
      </w:r>
      <w:r w:rsidR="0095256A">
        <w:rPr>
          <w:rFonts w:ascii="Tahoma" w:hAnsi="Tahoma" w:cs="Tahoma"/>
          <w:sz w:val="28"/>
          <w:szCs w:val="28"/>
        </w:rPr>
        <w:t>Within the Royal Navy great buyer power exsists especially concerning low price general products which can be purchased from a variety of products all over the world. Additional costs may exsist when changing supplier so the navy needs to take this into consideration when considering alternate solutions.</w:t>
      </w:r>
    </w:p>
    <w:p w:rsidR="00470584" w:rsidRDefault="00470584" w:rsidP="00F553CD">
      <w:pPr>
        <w:rPr>
          <w:rFonts w:ascii="Tahoma" w:hAnsi="Tahoma" w:cs="Tahoma"/>
          <w:sz w:val="28"/>
          <w:szCs w:val="28"/>
        </w:rPr>
      </w:pPr>
      <w:r>
        <w:rPr>
          <w:rFonts w:ascii="Tahoma" w:hAnsi="Tahoma" w:cs="Tahoma"/>
          <w:sz w:val="28"/>
          <w:szCs w:val="28"/>
        </w:rPr>
        <w:lastRenderedPageBreak/>
        <w:t xml:space="preserve">Threat of substitution – </w:t>
      </w:r>
      <w:r w:rsidR="006F4561">
        <w:rPr>
          <w:rFonts w:ascii="Tahoma" w:hAnsi="Tahoma" w:cs="Tahoma"/>
          <w:sz w:val="28"/>
          <w:szCs w:val="28"/>
        </w:rPr>
        <w:t>When dealing with the MOD external companies who supply a unique product have less likelihood of the MOD going elsewhere for a similar cheaper product compared to a civilian purchasing company due to the MOD having more purchasing quality and safety regulations. The MOD would rather pay more and have a safe product than risking a fault contained within an inferior product.</w:t>
      </w:r>
    </w:p>
    <w:p w:rsidR="00470584" w:rsidRDefault="00470584" w:rsidP="00F553CD">
      <w:pPr>
        <w:rPr>
          <w:rFonts w:ascii="Tahoma" w:hAnsi="Tahoma" w:cs="Tahoma"/>
          <w:sz w:val="28"/>
          <w:szCs w:val="28"/>
        </w:rPr>
      </w:pPr>
      <w:r>
        <w:rPr>
          <w:rFonts w:ascii="Tahoma" w:hAnsi="Tahoma" w:cs="Tahoma"/>
          <w:sz w:val="28"/>
          <w:szCs w:val="28"/>
        </w:rPr>
        <w:t xml:space="preserve">Threat of new entry – </w:t>
      </w:r>
      <w:r w:rsidR="006F4561">
        <w:rPr>
          <w:rFonts w:ascii="Tahoma" w:hAnsi="Tahoma" w:cs="Tahoma"/>
          <w:sz w:val="28"/>
          <w:szCs w:val="28"/>
        </w:rPr>
        <w:t xml:space="preserve">External suppliers are kept competitive by the MOD restricting the amount of time a contract for a suppling company is issued. For </w:t>
      </w:r>
      <w:r w:rsidR="00ED31D8">
        <w:rPr>
          <w:rFonts w:ascii="Tahoma" w:hAnsi="Tahoma" w:cs="Tahoma"/>
          <w:sz w:val="28"/>
          <w:szCs w:val="28"/>
        </w:rPr>
        <w:t>example,</w:t>
      </w:r>
      <w:r w:rsidR="006F4561">
        <w:rPr>
          <w:rFonts w:ascii="Tahoma" w:hAnsi="Tahoma" w:cs="Tahoma"/>
          <w:sz w:val="28"/>
          <w:szCs w:val="28"/>
        </w:rPr>
        <w:t xml:space="preserve"> Banner stationary </w:t>
      </w:r>
      <w:r w:rsidR="00ED31D8">
        <w:rPr>
          <w:rFonts w:ascii="Tahoma" w:hAnsi="Tahoma" w:cs="Tahoma"/>
          <w:sz w:val="28"/>
          <w:szCs w:val="28"/>
        </w:rPr>
        <w:t>company,</w:t>
      </w:r>
      <w:r w:rsidR="006F4561">
        <w:rPr>
          <w:rFonts w:ascii="Tahoma" w:hAnsi="Tahoma" w:cs="Tahoma"/>
          <w:sz w:val="28"/>
          <w:szCs w:val="28"/>
        </w:rPr>
        <w:t xml:space="preserve"> will only be given </w:t>
      </w:r>
      <w:r w:rsidR="00ED31D8">
        <w:rPr>
          <w:rFonts w:ascii="Tahoma" w:hAnsi="Tahoma" w:cs="Tahoma"/>
          <w:sz w:val="28"/>
          <w:szCs w:val="28"/>
        </w:rPr>
        <w:t>one or two years’ maximum. This way after this time expires the best possible new stationary contract can be accessed and acted upon.</w:t>
      </w:r>
    </w:p>
    <w:p w:rsidR="00470584" w:rsidRDefault="00470584" w:rsidP="00F553CD">
      <w:pPr>
        <w:rPr>
          <w:rFonts w:ascii="Tahoma" w:hAnsi="Tahoma" w:cs="Tahoma"/>
          <w:sz w:val="28"/>
          <w:szCs w:val="28"/>
        </w:rPr>
      </w:pPr>
    </w:p>
    <w:p w:rsidR="00470584" w:rsidRDefault="00470584" w:rsidP="00F553CD">
      <w:pPr>
        <w:rPr>
          <w:rFonts w:ascii="Tahoma" w:hAnsi="Tahoma" w:cs="Tahoma"/>
          <w:sz w:val="28"/>
          <w:szCs w:val="28"/>
        </w:rPr>
      </w:pPr>
    </w:p>
    <w:p w:rsidR="00F553CD" w:rsidRDefault="00F553CD" w:rsidP="00F553CD">
      <w:pPr>
        <w:rPr>
          <w:rFonts w:ascii="Tahoma" w:hAnsi="Tahoma" w:cs="Tahoma"/>
          <w:sz w:val="28"/>
          <w:szCs w:val="28"/>
        </w:rPr>
      </w:pPr>
    </w:p>
    <w:p w:rsidR="00F553CD" w:rsidRPr="00F553CD" w:rsidRDefault="00F553CD" w:rsidP="00F553CD">
      <w:pPr>
        <w:spacing w:after="0" w:line="240" w:lineRule="auto"/>
        <w:textAlignment w:val="baseline"/>
        <w:rPr>
          <w:rFonts w:ascii="inherit" w:eastAsia="Times New Roman" w:hAnsi="inherit" w:cs="Times New Roman"/>
          <w:sz w:val="24"/>
          <w:szCs w:val="24"/>
          <w:lang w:eastAsia="en-GB"/>
        </w:rPr>
      </w:pPr>
    </w:p>
    <w:p w:rsidR="00F553CD" w:rsidRPr="00F553CD" w:rsidRDefault="00F553CD" w:rsidP="00ED31D8">
      <w:pPr>
        <w:spacing w:before="240" w:after="360" w:line="214" w:lineRule="atLeast"/>
        <w:textAlignment w:val="baseline"/>
        <w:rPr>
          <w:rFonts w:ascii="inherit" w:eastAsia="Times New Roman" w:hAnsi="inherit" w:cs="Arial"/>
          <w:color w:val="333333"/>
          <w:sz w:val="24"/>
          <w:szCs w:val="24"/>
          <w:lang w:eastAsia="en-GB"/>
        </w:rPr>
      </w:pPr>
      <w:r w:rsidRPr="00F553CD">
        <w:rPr>
          <w:rFonts w:ascii="inherit" w:eastAsia="Times New Roman" w:hAnsi="inherit" w:cs="Times New Roman"/>
          <w:color w:val="666666"/>
          <w:sz w:val="24"/>
          <w:szCs w:val="24"/>
          <w:lang w:eastAsia="en-GB"/>
        </w:rPr>
        <w:t> </w:t>
      </w:r>
    </w:p>
    <w:p w:rsidR="00F553CD" w:rsidRDefault="00F553CD" w:rsidP="00F553CD">
      <w:pPr>
        <w:rPr>
          <w:rFonts w:ascii="Tahoma" w:hAnsi="Tahoma" w:cs="Tahoma"/>
          <w:sz w:val="28"/>
          <w:szCs w:val="28"/>
        </w:rPr>
      </w:pPr>
    </w:p>
    <w:sectPr w:rsidR="00F553C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2F04" w:rsidRDefault="00322F04" w:rsidP="00EB5449">
      <w:pPr>
        <w:spacing w:after="0" w:line="240" w:lineRule="auto"/>
      </w:pPr>
      <w:r>
        <w:separator/>
      </w:r>
    </w:p>
  </w:endnote>
  <w:endnote w:type="continuationSeparator" w:id="0">
    <w:p w:rsidR="00322F04" w:rsidRDefault="00322F04" w:rsidP="00EB5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660569"/>
      <w:docPartObj>
        <w:docPartGallery w:val="Page Numbers (Bottom of Page)"/>
        <w:docPartUnique/>
      </w:docPartObj>
    </w:sdtPr>
    <w:sdtEndPr>
      <w:rPr>
        <w:rFonts w:ascii="Tahoma" w:hAnsi="Tahoma" w:cs="Tahoma"/>
        <w:noProof/>
      </w:rPr>
    </w:sdtEndPr>
    <w:sdtContent>
      <w:p w:rsidR="00EB5449" w:rsidRPr="00EB5449" w:rsidRDefault="00EB5449">
        <w:pPr>
          <w:pStyle w:val="Footer"/>
          <w:rPr>
            <w:rFonts w:ascii="Tahoma" w:hAnsi="Tahoma" w:cs="Tahoma"/>
          </w:rPr>
        </w:pPr>
        <w:r w:rsidRPr="00EB5449">
          <w:rPr>
            <w:rFonts w:ascii="Tahoma" w:hAnsi="Tahoma" w:cs="Tahoma"/>
          </w:rPr>
          <w:fldChar w:fldCharType="begin"/>
        </w:r>
        <w:r w:rsidRPr="00EB5449">
          <w:rPr>
            <w:rFonts w:ascii="Tahoma" w:hAnsi="Tahoma" w:cs="Tahoma"/>
          </w:rPr>
          <w:instrText xml:space="preserve"> PAGE   \* MERGEFORMAT </w:instrText>
        </w:r>
        <w:r w:rsidRPr="00EB5449">
          <w:rPr>
            <w:rFonts w:ascii="Tahoma" w:hAnsi="Tahoma" w:cs="Tahoma"/>
          </w:rPr>
          <w:fldChar w:fldCharType="separate"/>
        </w:r>
        <w:r w:rsidR="00ED31D8">
          <w:rPr>
            <w:rFonts w:ascii="Tahoma" w:hAnsi="Tahoma" w:cs="Tahoma"/>
            <w:noProof/>
          </w:rPr>
          <w:t>1</w:t>
        </w:r>
        <w:r w:rsidRPr="00EB5449">
          <w:rPr>
            <w:rFonts w:ascii="Tahoma" w:hAnsi="Tahoma" w:cs="Tahoma"/>
            <w:noProof/>
          </w:rPr>
          <w:fldChar w:fldCharType="end"/>
        </w:r>
      </w:p>
    </w:sdtContent>
  </w:sdt>
  <w:p w:rsidR="00EB5449" w:rsidRDefault="00EB5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2F04" w:rsidRDefault="00322F04" w:rsidP="00EB5449">
      <w:pPr>
        <w:spacing w:after="0" w:line="240" w:lineRule="auto"/>
      </w:pPr>
      <w:r>
        <w:separator/>
      </w:r>
    </w:p>
  </w:footnote>
  <w:footnote w:type="continuationSeparator" w:id="0">
    <w:p w:rsidR="00322F04" w:rsidRDefault="00322F04" w:rsidP="00EB54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5449" w:rsidRPr="00EB5449" w:rsidRDefault="00A91BFF">
    <w:pPr>
      <w:pStyle w:val="Header"/>
      <w:rPr>
        <w:rFonts w:ascii="Tahoma" w:hAnsi="Tahoma" w:cs="Tahoma"/>
      </w:rPr>
    </w:pPr>
    <w:r>
      <w:rPr>
        <w:rFonts w:ascii="Tahoma" w:hAnsi="Tahoma" w:cs="Tahoma"/>
      </w:rPr>
      <w:t xml:space="preserve">PD01 A2 </w:t>
    </w:r>
    <w:r w:rsidR="00F553CD">
      <w:rPr>
        <w:rFonts w:ascii="Tahoma" w:hAnsi="Tahoma" w:cs="Tahoma"/>
      </w:rPr>
      <w:t>DRRE 2</w:t>
    </w:r>
  </w:p>
  <w:p w:rsidR="00EB5449" w:rsidRDefault="00EB5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51325"/>
    <w:multiLevelType w:val="multilevel"/>
    <w:tmpl w:val="594415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5B307A3E"/>
    <w:multiLevelType w:val="multilevel"/>
    <w:tmpl w:val="D564D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462C08"/>
    <w:multiLevelType w:val="multilevel"/>
    <w:tmpl w:val="B1DA8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B04837"/>
    <w:multiLevelType w:val="multilevel"/>
    <w:tmpl w:val="45F2C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E5373E"/>
    <w:multiLevelType w:val="multilevel"/>
    <w:tmpl w:val="16F04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EC4FA1"/>
    <w:multiLevelType w:val="multilevel"/>
    <w:tmpl w:val="4B5A4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7F2"/>
    <w:rsid w:val="00077B9C"/>
    <w:rsid w:val="000B2081"/>
    <w:rsid w:val="000D7ADB"/>
    <w:rsid w:val="00125D33"/>
    <w:rsid w:val="002542A5"/>
    <w:rsid w:val="00294BA8"/>
    <w:rsid w:val="002C1A3F"/>
    <w:rsid w:val="002E6AE4"/>
    <w:rsid w:val="00322F04"/>
    <w:rsid w:val="00361E1E"/>
    <w:rsid w:val="004307F2"/>
    <w:rsid w:val="00470584"/>
    <w:rsid w:val="00472080"/>
    <w:rsid w:val="004A1033"/>
    <w:rsid w:val="0065262C"/>
    <w:rsid w:val="006706A3"/>
    <w:rsid w:val="006B6E25"/>
    <w:rsid w:val="006F0470"/>
    <w:rsid w:val="006F4561"/>
    <w:rsid w:val="00706D8C"/>
    <w:rsid w:val="00724BE1"/>
    <w:rsid w:val="00740A27"/>
    <w:rsid w:val="00750994"/>
    <w:rsid w:val="007E36CF"/>
    <w:rsid w:val="007E4C18"/>
    <w:rsid w:val="007F5B64"/>
    <w:rsid w:val="008D360D"/>
    <w:rsid w:val="0093113E"/>
    <w:rsid w:val="009343C8"/>
    <w:rsid w:val="0095256A"/>
    <w:rsid w:val="00983EE7"/>
    <w:rsid w:val="00985AEA"/>
    <w:rsid w:val="00A12F3C"/>
    <w:rsid w:val="00A91BFF"/>
    <w:rsid w:val="00B64D92"/>
    <w:rsid w:val="00BD51A6"/>
    <w:rsid w:val="00BE5C38"/>
    <w:rsid w:val="00C3392A"/>
    <w:rsid w:val="00C33B90"/>
    <w:rsid w:val="00CC60B4"/>
    <w:rsid w:val="00CC7DDD"/>
    <w:rsid w:val="00CF3C53"/>
    <w:rsid w:val="00D22988"/>
    <w:rsid w:val="00D45333"/>
    <w:rsid w:val="00D768C8"/>
    <w:rsid w:val="00DF68D4"/>
    <w:rsid w:val="00E74916"/>
    <w:rsid w:val="00EB5449"/>
    <w:rsid w:val="00ED31D8"/>
    <w:rsid w:val="00EF4119"/>
    <w:rsid w:val="00F553CD"/>
    <w:rsid w:val="00F837B7"/>
    <w:rsid w:val="00FC777E"/>
    <w:rsid w:val="00FF5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96F839B-BE80-4EEE-9B69-BF41BC66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449"/>
  </w:style>
  <w:style w:type="paragraph" w:styleId="Footer">
    <w:name w:val="footer"/>
    <w:basedOn w:val="Normal"/>
    <w:link w:val="FooterChar"/>
    <w:uiPriority w:val="99"/>
    <w:unhideWhenUsed/>
    <w:rsid w:val="00EB5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449"/>
  </w:style>
  <w:style w:type="character" w:styleId="Hyperlink">
    <w:name w:val="Hyperlink"/>
    <w:basedOn w:val="DefaultParagraphFont"/>
    <w:uiPriority w:val="99"/>
    <w:semiHidden/>
    <w:unhideWhenUsed/>
    <w:rsid w:val="002C1A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05188">
      <w:bodyDiv w:val="1"/>
      <w:marLeft w:val="0"/>
      <w:marRight w:val="0"/>
      <w:marTop w:val="0"/>
      <w:marBottom w:val="0"/>
      <w:divBdr>
        <w:top w:val="none" w:sz="0" w:space="0" w:color="auto"/>
        <w:left w:val="none" w:sz="0" w:space="0" w:color="auto"/>
        <w:bottom w:val="none" w:sz="0" w:space="0" w:color="auto"/>
        <w:right w:val="none" w:sz="0" w:space="0" w:color="auto"/>
      </w:divBdr>
      <w:divsChild>
        <w:div w:id="254285863">
          <w:marLeft w:val="0"/>
          <w:marRight w:val="0"/>
          <w:marTop w:val="0"/>
          <w:marBottom w:val="0"/>
          <w:divBdr>
            <w:top w:val="none" w:sz="0" w:space="0" w:color="auto"/>
            <w:left w:val="none" w:sz="0" w:space="0" w:color="auto"/>
            <w:bottom w:val="none" w:sz="0" w:space="0" w:color="auto"/>
            <w:right w:val="none" w:sz="0" w:space="0" w:color="auto"/>
          </w:divBdr>
          <w:divsChild>
            <w:div w:id="916670237">
              <w:marLeft w:val="0"/>
              <w:marRight w:val="0"/>
              <w:marTop w:val="0"/>
              <w:marBottom w:val="0"/>
              <w:divBdr>
                <w:top w:val="none" w:sz="0" w:space="0" w:color="auto"/>
                <w:left w:val="none" w:sz="0" w:space="0" w:color="auto"/>
                <w:bottom w:val="none" w:sz="0" w:space="0" w:color="auto"/>
                <w:right w:val="none" w:sz="0" w:space="0" w:color="auto"/>
              </w:divBdr>
            </w:div>
            <w:div w:id="583614909">
              <w:marLeft w:val="0"/>
              <w:marRight w:val="0"/>
              <w:marTop w:val="0"/>
              <w:marBottom w:val="0"/>
              <w:divBdr>
                <w:top w:val="none" w:sz="0" w:space="0" w:color="auto"/>
                <w:left w:val="none" w:sz="0" w:space="0" w:color="auto"/>
                <w:bottom w:val="none" w:sz="0" w:space="0" w:color="auto"/>
                <w:right w:val="none" w:sz="0" w:space="0" w:color="auto"/>
              </w:divBdr>
              <w:divsChild>
                <w:div w:id="1196581548">
                  <w:marLeft w:val="0"/>
                  <w:marRight w:val="0"/>
                  <w:marTop w:val="300"/>
                  <w:marBottom w:val="300"/>
                  <w:divBdr>
                    <w:top w:val="none" w:sz="0" w:space="0" w:color="auto"/>
                    <w:left w:val="none" w:sz="0" w:space="0" w:color="auto"/>
                    <w:bottom w:val="none" w:sz="0" w:space="0" w:color="auto"/>
                    <w:right w:val="none" w:sz="0" w:space="0" w:color="auto"/>
                  </w:divBdr>
                </w:div>
                <w:div w:id="971906407">
                  <w:marLeft w:val="0"/>
                  <w:marRight w:val="0"/>
                  <w:marTop w:val="0"/>
                  <w:marBottom w:val="0"/>
                  <w:divBdr>
                    <w:top w:val="none" w:sz="0" w:space="0" w:color="auto"/>
                    <w:left w:val="none" w:sz="0" w:space="0" w:color="auto"/>
                    <w:bottom w:val="none" w:sz="0" w:space="0" w:color="auto"/>
                    <w:right w:val="none" w:sz="0" w:space="0" w:color="auto"/>
                  </w:divBdr>
                  <w:divsChild>
                    <w:div w:id="1345211392">
                      <w:marLeft w:val="0"/>
                      <w:marRight w:val="0"/>
                      <w:marTop w:val="0"/>
                      <w:marBottom w:val="0"/>
                      <w:divBdr>
                        <w:top w:val="none" w:sz="0" w:space="0" w:color="auto"/>
                        <w:left w:val="none" w:sz="0" w:space="0" w:color="auto"/>
                        <w:bottom w:val="none" w:sz="0" w:space="0" w:color="auto"/>
                        <w:right w:val="none" w:sz="0" w:space="0" w:color="auto"/>
                      </w:divBdr>
                    </w:div>
                  </w:divsChild>
                </w:div>
                <w:div w:id="75366900">
                  <w:marLeft w:val="0"/>
                  <w:marRight w:val="0"/>
                  <w:marTop w:val="600"/>
                  <w:marBottom w:val="600"/>
                  <w:divBdr>
                    <w:top w:val="none" w:sz="0" w:space="0" w:color="auto"/>
                    <w:left w:val="none" w:sz="0" w:space="0" w:color="auto"/>
                    <w:bottom w:val="none" w:sz="0" w:space="0" w:color="auto"/>
                    <w:right w:val="none" w:sz="0" w:space="0" w:color="auto"/>
                  </w:divBdr>
                </w:div>
                <w:div w:id="1238511688">
                  <w:marLeft w:val="0"/>
                  <w:marRight w:val="0"/>
                  <w:marTop w:val="0"/>
                  <w:marBottom w:val="375"/>
                  <w:divBdr>
                    <w:top w:val="none" w:sz="0" w:space="0" w:color="auto"/>
                    <w:left w:val="none" w:sz="0" w:space="0" w:color="auto"/>
                    <w:bottom w:val="none" w:sz="0" w:space="0" w:color="auto"/>
                    <w:right w:val="none" w:sz="0" w:space="0" w:color="auto"/>
                  </w:divBdr>
                  <w:divsChild>
                    <w:div w:id="611517312">
                      <w:marLeft w:val="0"/>
                      <w:marRight w:val="0"/>
                      <w:marTop w:val="0"/>
                      <w:marBottom w:val="0"/>
                      <w:divBdr>
                        <w:top w:val="none" w:sz="0" w:space="0" w:color="auto"/>
                        <w:left w:val="none" w:sz="0" w:space="0" w:color="auto"/>
                        <w:bottom w:val="none" w:sz="0" w:space="0" w:color="auto"/>
                        <w:right w:val="none" w:sz="0" w:space="0" w:color="auto"/>
                      </w:divBdr>
                      <w:divsChild>
                        <w:div w:id="2089419282">
                          <w:marLeft w:val="0"/>
                          <w:marRight w:val="0"/>
                          <w:marTop w:val="0"/>
                          <w:marBottom w:val="0"/>
                          <w:divBdr>
                            <w:top w:val="none" w:sz="0" w:space="0" w:color="auto"/>
                            <w:left w:val="none" w:sz="0" w:space="0" w:color="auto"/>
                            <w:bottom w:val="none" w:sz="0" w:space="0" w:color="auto"/>
                            <w:right w:val="none" w:sz="0" w:space="0" w:color="auto"/>
                          </w:divBdr>
                        </w:div>
                        <w:div w:id="181772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865208">
                  <w:marLeft w:val="0"/>
                  <w:marRight w:val="0"/>
                  <w:marTop w:val="0"/>
                  <w:marBottom w:val="0"/>
                  <w:divBdr>
                    <w:top w:val="none" w:sz="0" w:space="0" w:color="auto"/>
                    <w:left w:val="none" w:sz="0" w:space="0" w:color="auto"/>
                    <w:bottom w:val="none" w:sz="0" w:space="0" w:color="auto"/>
                    <w:right w:val="none" w:sz="0" w:space="0" w:color="auto"/>
                  </w:divBdr>
                  <w:divsChild>
                    <w:div w:id="1173684657">
                      <w:marLeft w:val="0"/>
                      <w:marRight w:val="0"/>
                      <w:marTop w:val="0"/>
                      <w:marBottom w:val="0"/>
                      <w:divBdr>
                        <w:top w:val="none" w:sz="0" w:space="0" w:color="auto"/>
                        <w:left w:val="none" w:sz="0" w:space="0" w:color="auto"/>
                        <w:bottom w:val="none" w:sz="0" w:space="0" w:color="auto"/>
                        <w:right w:val="none" w:sz="0" w:space="0" w:color="auto"/>
                      </w:divBdr>
                    </w:div>
                  </w:divsChild>
                </w:div>
                <w:div w:id="753627779">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747381106">
          <w:marLeft w:val="0"/>
          <w:marRight w:val="0"/>
          <w:marTop w:val="600"/>
          <w:marBottom w:val="600"/>
          <w:divBdr>
            <w:top w:val="none" w:sz="0" w:space="0" w:color="auto"/>
            <w:left w:val="none" w:sz="0" w:space="0" w:color="auto"/>
            <w:bottom w:val="none" w:sz="0" w:space="0" w:color="auto"/>
            <w:right w:val="none" w:sz="0" w:space="0" w:color="auto"/>
          </w:divBdr>
        </w:div>
        <w:div w:id="1553425218">
          <w:marLeft w:val="0"/>
          <w:marRight w:val="0"/>
          <w:marTop w:val="0"/>
          <w:marBottom w:val="0"/>
          <w:divBdr>
            <w:top w:val="none" w:sz="0" w:space="0" w:color="auto"/>
            <w:left w:val="none" w:sz="0" w:space="0" w:color="auto"/>
            <w:bottom w:val="none" w:sz="0" w:space="0" w:color="auto"/>
            <w:right w:val="none" w:sz="0" w:space="0" w:color="auto"/>
          </w:divBdr>
          <w:divsChild>
            <w:div w:id="1789933838">
              <w:marLeft w:val="-225"/>
              <w:marRight w:val="-225"/>
              <w:marTop w:val="0"/>
              <w:marBottom w:val="0"/>
              <w:divBdr>
                <w:top w:val="none" w:sz="0" w:space="0" w:color="auto"/>
                <w:left w:val="none" w:sz="0" w:space="0" w:color="auto"/>
                <w:bottom w:val="none" w:sz="0" w:space="0" w:color="auto"/>
                <w:right w:val="none" w:sz="0" w:space="0" w:color="auto"/>
              </w:divBdr>
              <w:divsChild>
                <w:div w:id="809788368">
                  <w:marLeft w:val="0"/>
                  <w:marRight w:val="0"/>
                  <w:marTop w:val="0"/>
                  <w:marBottom w:val="0"/>
                  <w:divBdr>
                    <w:top w:val="none" w:sz="0" w:space="0" w:color="auto"/>
                    <w:left w:val="none" w:sz="0" w:space="0" w:color="auto"/>
                    <w:bottom w:val="none" w:sz="0" w:space="0" w:color="auto"/>
                    <w:right w:val="none" w:sz="0" w:space="0" w:color="auto"/>
                  </w:divBdr>
                  <w:divsChild>
                    <w:div w:id="73092419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376710069">
      <w:bodyDiv w:val="1"/>
      <w:marLeft w:val="0"/>
      <w:marRight w:val="0"/>
      <w:marTop w:val="0"/>
      <w:marBottom w:val="0"/>
      <w:divBdr>
        <w:top w:val="none" w:sz="0" w:space="0" w:color="auto"/>
        <w:left w:val="none" w:sz="0" w:space="0" w:color="auto"/>
        <w:bottom w:val="none" w:sz="0" w:space="0" w:color="auto"/>
        <w:right w:val="none" w:sz="0" w:space="0" w:color="auto"/>
      </w:divBdr>
    </w:div>
    <w:div w:id="959995001">
      <w:bodyDiv w:val="1"/>
      <w:marLeft w:val="0"/>
      <w:marRight w:val="0"/>
      <w:marTop w:val="0"/>
      <w:marBottom w:val="0"/>
      <w:divBdr>
        <w:top w:val="none" w:sz="0" w:space="0" w:color="auto"/>
        <w:left w:val="none" w:sz="0" w:space="0" w:color="auto"/>
        <w:bottom w:val="none" w:sz="0" w:space="0" w:color="auto"/>
        <w:right w:val="none" w:sz="0" w:space="0" w:color="auto"/>
      </w:divBdr>
    </w:div>
    <w:div w:id="1001159334">
      <w:bodyDiv w:val="1"/>
      <w:marLeft w:val="0"/>
      <w:marRight w:val="0"/>
      <w:marTop w:val="0"/>
      <w:marBottom w:val="0"/>
      <w:divBdr>
        <w:top w:val="none" w:sz="0" w:space="0" w:color="auto"/>
        <w:left w:val="none" w:sz="0" w:space="0" w:color="auto"/>
        <w:bottom w:val="none" w:sz="0" w:space="0" w:color="auto"/>
        <w:right w:val="none" w:sz="0" w:space="0" w:color="auto"/>
      </w:divBdr>
      <w:divsChild>
        <w:div w:id="1105923895">
          <w:marLeft w:val="0"/>
          <w:marRight w:val="0"/>
          <w:marTop w:val="0"/>
          <w:marBottom w:val="0"/>
          <w:divBdr>
            <w:top w:val="none" w:sz="0" w:space="0" w:color="auto"/>
            <w:left w:val="none" w:sz="0" w:space="0" w:color="auto"/>
            <w:bottom w:val="none" w:sz="0" w:space="0" w:color="auto"/>
            <w:right w:val="none" w:sz="0" w:space="0" w:color="auto"/>
          </w:divBdr>
        </w:div>
      </w:divsChild>
    </w:div>
    <w:div w:id="1102071354">
      <w:bodyDiv w:val="1"/>
      <w:marLeft w:val="0"/>
      <w:marRight w:val="0"/>
      <w:marTop w:val="0"/>
      <w:marBottom w:val="0"/>
      <w:divBdr>
        <w:top w:val="none" w:sz="0" w:space="0" w:color="auto"/>
        <w:left w:val="none" w:sz="0" w:space="0" w:color="auto"/>
        <w:bottom w:val="none" w:sz="0" w:space="0" w:color="auto"/>
        <w:right w:val="none" w:sz="0" w:space="0" w:color="auto"/>
      </w:divBdr>
      <w:divsChild>
        <w:div w:id="719476627">
          <w:marLeft w:val="0"/>
          <w:marRight w:val="0"/>
          <w:marTop w:val="0"/>
          <w:marBottom w:val="240"/>
          <w:divBdr>
            <w:top w:val="none" w:sz="0" w:space="0" w:color="auto"/>
            <w:left w:val="none" w:sz="0" w:space="0" w:color="auto"/>
            <w:bottom w:val="single" w:sz="6" w:space="0" w:color="3498DB"/>
            <w:right w:val="none" w:sz="0" w:space="0" w:color="auto"/>
          </w:divBdr>
          <w:divsChild>
            <w:div w:id="1613515925">
              <w:marLeft w:val="0"/>
              <w:marRight w:val="0"/>
              <w:marTop w:val="0"/>
              <w:marBottom w:val="0"/>
              <w:divBdr>
                <w:top w:val="none" w:sz="0" w:space="5" w:color="auto"/>
                <w:left w:val="none" w:sz="0" w:space="10" w:color="auto"/>
                <w:bottom w:val="single" w:sz="6" w:space="5" w:color="2980B9"/>
                <w:right w:val="none" w:sz="0" w:space="10" w:color="auto"/>
              </w:divBdr>
            </w:div>
            <w:div w:id="140876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56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440</Words>
  <Characters>2510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dcterms:created xsi:type="dcterms:W3CDTF">2018-10-30T18:20:00Z</dcterms:created>
  <dcterms:modified xsi:type="dcterms:W3CDTF">2018-10-30T18:20:00Z</dcterms:modified>
</cp:coreProperties>
</file>