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FD7F70"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7955F95A" w:rsidR="00CD33A8" w:rsidRPr="005D381A" w:rsidRDefault="00CD33A8" w:rsidP="00CD33A8">
      <w:pPr>
        <w:tabs>
          <w:tab w:val="left" w:pos="6540"/>
        </w:tabs>
        <w:spacing w:line="360" w:lineRule="auto"/>
        <w:rPr>
          <w:rFonts w:ascii="Arial" w:hAnsi="Arial" w:cs="Arial"/>
          <w:b/>
          <w:bCs/>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5D381A">
        <w:rPr>
          <w:rFonts w:ascii="Arial" w:hAnsi="Arial" w:cs="Arial"/>
          <w:b/>
          <w:bCs/>
          <w:sz w:val="28"/>
          <w:szCs w:val="28"/>
          <w:lang w:val="nl-NL"/>
        </w:rPr>
        <w:t>Introduction to Public Health</w:t>
      </w:r>
    </w:p>
    <w:p w14:paraId="537571AF" w14:textId="3584508A" w:rsidR="00CD33A8" w:rsidRPr="005D381A" w:rsidRDefault="00CD33A8" w:rsidP="00CD33A8">
      <w:pPr>
        <w:tabs>
          <w:tab w:val="left" w:pos="6540"/>
        </w:tabs>
        <w:spacing w:line="360" w:lineRule="auto"/>
        <w:rPr>
          <w:rFonts w:ascii="Arial" w:hAnsi="Arial" w:cs="Arial"/>
          <w:b/>
          <w:bCs/>
          <w:sz w:val="28"/>
          <w:szCs w:val="28"/>
        </w:rPr>
      </w:pPr>
      <w:r w:rsidRPr="00CD33A8">
        <w:rPr>
          <w:rFonts w:ascii="Arial" w:hAnsi="Arial" w:cs="Arial"/>
          <w:b/>
          <w:bCs/>
          <w:sz w:val="28"/>
          <w:szCs w:val="28"/>
        </w:rPr>
        <w:t>Module code</w:t>
      </w:r>
      <w:r w:rsidRPr="00CD33A8">
        <w:rPr>
          <w:rFonts w:ascii="Arial" w:hAnsi="Arial" w:cs="Arial"/>
          <w:sz w:val="28"/>
          <w:szCs w:val="28"/>
        </w:rPr>
        <w:t>:</w:t>
      </w:r>
      <w:r w:rsidR="005D381A">
        <w:rPr>
          <w:rFonts w:ascii="Arial" w:hAnsi="Arial" w:cs="Arial"/>
          <w:sz w:val="28"/>
          <w:szCs w:val="28"/>
        </w:rPr>
        <w:t xml:space="preserve">  </w:t>
      </w:r>
      <w:r w:rsidR="005D381A">
        <w:rPr>
          <w:rFonts w:ascii="Arial" w:hAnsi="Arial" w:cs="Arial"/>
          <w:b/>
          <w:bCs/>
          <w:sz w:val="28"/>
          <w:szCs w:val="28"/>
        </w:rPr>
        <w:t>LCHS  4008</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54F18D47" w:rsidR="00074402" w:rsidRPr="005D381A" w:rsidRDefault="00074402" w:rsidP="00CD33A8">
      <w:pPr>
        <w:tabs>
          <w:tab w:val="left" w:pos="6540"/>
        </w:tabs>
        <w:spacing w:line="360" w:lineRule="auto"/>
        <w:rPr>
          <w:rFonts w:ascii="Arial" w:hAnsi="Arial" w:cs="Arial"/>
          <w:b/>
          <w:bCs/>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5D381A">
        <w:rPr>
          <w:rFonts w:ascii="Arial" w:hAnsi="Arial" w:cs="Arial"/>
          <w:sz w:val="28"/>
          <w:szCs w:val="28"/>
          <w:lang w:val="nl-NL"/>
        </w:rPr>
        <w:t xml:space="preserve">  </w:t>
      </w:r>
      <w:r w:rsidR="005D381A">
        <w:rPr>
          <w:rFonts w:ascii="Arial" w:hAnsi="Arial" w:cs="Arial"/>
          <w:b/>
          <w:bCs/>
          <w:sz w:val="28"/>
          <w:szCs w:val="28"/>
          <w:lang w:val="nl-NL"/>
        </w:rPr>
        <w:t>Rita Katuka Allahmagani</w:t>
      </w:r>
    </w:p>
    <w:p w14:paraId="39AA4413" w14:textId="7513D8D4" w:rsidR="00074402" w:rsidRPr="005D381A" w:rsidRDefault="00074402" w:rsidP="00CD33A8">
      <w:pPr>
        <w:tabs>
          <w:tab w:val="left" w:pos="6540"/>
        </w:tabs>
        <w:spacing w:line="360" w:lineRule="auto"/>
        <w:rPr>
          <w:rFonts w:ascii="Arial" w:hAnsi="Arial" w:cs="Arial"/>
          <w:b/>
          <w:bCs/>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5D381A">
        <w:rPr>
          <w:rFonts w:ascii="Arial" w:hAnsi="Arial" w:cs="Arial"/>
          <w:sz w:val="28"/>
          <w:szCs w:val="28"/>
          <w:lang w:val="nl-NL"/>
        </w:rPr>
        <w:t xml:space="preserve">  </w:t>
      </w:r>
      <w:r w:rsidR="005D381A">
        <w:rPr>
          <w:rFonts w:ascii="Arial" w:hAnsi="Arial" w:cs="Arial"/>
          <w:b/>
          <w:bCs/>
          <w:sz w:val="28"/>
          <w:szCs w:val="28"/>
          <w:lang w:val="nl-NL"/>
        </w:rPr>
        <w:t>2440420</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0656D58B" w:rsidR="00074402" w:rsidRPr="005D381A" w:rsidRDefault="008E3943" w:rsidP="00CD33A8">
      <w:pPr>
        <w:tabs>
          <w:tab w:val="left" w:pos="6540"/>
        </w:tabs>
        <w:spacing w:line="360" w:lineRule="auto"/>
        <w:rPr>
          <w:rFonts w:ascii="Arial" w:hAnsi="Arial" w:cs="Arial"/>
          <w:b/>
          <w:bCs/>
          <w:sz w:val="28"/>
          <w:szCs w:val="28"/>
        </w:rPr>
      </w:pPr>
      <w:r>
        <w:rPr>
          <w:rFonts w:ascii="Arial" w:hAnsi="Arial" w:cs="Arial"/>
          <w:b/>
          <w:bCs/>
          <w:sz w:val="28"/>
          <w:szCs w:val="28"/>
        </w:rPr>
        <w:t>Lecturer’s name</w:t>
      </w:r>
      <w:r w:rsidR="00074402" w:rsidRPr="00CD33A8">
        <w:rPr>
          <w:rFonts w:ascii="Arial" w:hAnsi="Arial" w:cs="Arial"/>
          <w:sz w:val="28"/>
          <w:szCs w:val="28"/>
        </w:rPr>
        <w:t>:</w:t>
      </w:r>
      <w:r w:rsidR="005D381A">
        <w:rPr>
          <w:rFonts w:ascii="Arial" w:hAnsi="Arial" w:cs="Arial"/>
          <w:sz w:val="28"/>
          <w:szCs w:val="28"/>
        </w:rPr>
        <w:t xml:space="preserve">  </w:t>
      </w:r>
      <w:proofErr w:type="gramStart"/>
      <w:r w:rsidR="005D381A">
        <w:rPr>
          <w:rFonts w:ascii="Arial" w:hAnsi="Arial" w:cs="Arial"/>
          <w:b/>
          <w:bCs/>
          <w:sz w:val="28"/>
          <w:szCs w:val="28"/>
        </w:rPr>
        <w:t>Sheperd  Ziko</w:t>
      </w:r>
      <w:proofErr w:type="gramEnd"/>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57C349AF" w14:textId="0FD6EA7F" w:rsidR="009420CF" w:rsidRPr="00A33173" w:rsidRDefault="008975F4" w:rsidP="00A33173">
      <w:pPr>
        <w:spacing w:line="360" w:lineRule="auto"/>
        <w:rPr>
          <w:rFonts w:asciiTheme="minorBidi" w:hAnsiTheme="minorBidi"/>
          <w:sz w:val="22"/>
        </w:rPr>
      </w:pPr>
      <w:r>
        <w:t xml:space="preserve"> </w:t>
      </w: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12D76753" w14:textId="28A62078" w:rsidR="00B87E75" w:rsidRPr="00A33173" w:rsidRDefault="00B87E75" w:rsidP="00A33173">
      <w:pPr>
        <w:spacing w:line="360" w:lineRule="auto"/>
        <w:rPr>
          <w:rFonts w:asciiTheme="minorBidi" w:hAnsiTheme="minorBidi"/>
          <w:sz w:val="22"/>
        </w:rPr>
      </w:pPr>
      <w:r w:rsidRPr="00CD33A8">
        <w:rPr>
          <w:rFonts w:asciiTheme="minorBidi" w:hAnsiTheme="minorBidi"/>
          <w:sz w:val="22"/>
        </w:rPr>
        <w:br w:type="page"/>
      </w:r>
    </w:p>
    <w:p w14:paraId="63847D6F" w14:textId="77777777" w:rsidR="001D7C03" w:rsidRPr="00CD33A8" w:rsidRDefault="00000000">
      <w:pPr>
        <w:spacing w:line="360" w:lineRule="auto"/>
        <w:rPr>
          <w:rFonts w:asciiTheme="minorBidi" w:hAnsiTheme="minorBidi"/>
          <w:sz w:val="22"/>
        </w:rPr>
      </w:pPr>
      <w:r w:rsidRPr="000F30C3">
        <w:rPr>
          <w:rFonts w:ascii="Arial" w:hAnsi="Arial" w:cs="Arial"/>
          <w:sz w:val="22"/>
        </w:rPr>
        <w:lastRenderedPageBreak/>
        <w:t xml:space="preserve">This assignment </w:t>
      </w:r>
      <w:r w:rsidR="000F30C3" w:rsidRPr="000F30C3">
        <w:rPr>
          <w:rFonts w:ascii="Arial" w:hAnsi="Arial" w:cs="Arial"/>
          <w:sz w:val="22"/>
        </w:rPr>
        <w:t>examines</w:t>
      </w:r>
      <w:r w:rsidRPr="000F30C3">
        <w:rPr>
          <w:rFonts w:ascii="Arial" w:hAnsi="Arial" w:cs="Arial"/>
          <w:sz w:val="22"/>
        </w:rPr>
        <w:t xml:space="preserve"> poliomyelitis</w:t>
      </w:r>
      <w:r w:rsidR="000F30C3" w:rsidRPr="000F30C3">
        <w:rPr>
          <w:rFonts w:ascii="Arial" w:hAnsi="Arial" w:cs="Arial"/>
          <w:sz w:val="22"/>
        </w:rPr>
        <w:t>, commonly known as polio,</w:t>
      </w:r>
      <w:r w:rsidRPr="000F30C3">
        <w:rPr>
          <w:rFonts w:ascii="Arial" w:hAnsi="Arial" w:cs="Arial"/>
          <w:sz w:val="22"/>
        </w:rPr>
        <w:t xml:space="preserve"> as a </w:t>
      </w:r>
      <w:r w:rsidR="000F30C3" w:rsidRPr="000F30C3">
        <w:rPr>
          <w:rFonts w:ascii="Arial" w:hAnsi="Arial" w:cs="Arial"/>
          <w:sz w:val="22"/>
        </w:rPr>
        <w:t>significant public health</w:t>
      </w:r>
      <w:r w:rsidRPr="000F30C3">
        <w:rPr>
          <w:rFonts w:ascii="Arial" w:hAnsi="Arial" w:cs="Arial"/>
          <w:sz w:val="22"/>
        </w:rPr>
        <w:t xml:space="preserve"> condition.</w:t>
      </w:r>
    </w:p>
    <w:p w14:paraId="17934612" w14:textId="40FE1757" w:rsidR="001D7C03" w:rsidRPr="00CD33A8" w:rsidRDefault="00000000">
      <w:pPr>
        <w:spacing w:line="360" w:lineRule="auto"/>
        <w:rPr>
          <w:rFonts w:asciiTheme="minorBidi" w:hAnsiTheme="minorBidi"/>
          <w:sz w:val="22"/>
        </w:rPr>
      </w:pPr>
      <w:r w:rsidRPr="009B3EBF">
        <w:rPr>
          <w:rFonts w:ascii="Arial" w:hAnsi="Arial" w:cs="Arial"/>
          <w:sz w:val="22"/>
        </w:rPr>
        <w:t>The World Health Organization</w:t>
      </w:r>
      <w:r w:rsidR="00C316C4">
        <w:rPr>
          <w:rFonts w:ascii="Arial" w:hAnsi="Arial" w:cs="Arial"/>
          <w:sz w:val="22"/>
        </w:rPr>
        <w:t xml:space="preserve"> (WHO)</w:t>
      </w:r>
      <w:r w:rsidRPr="009B3EBF">
        <w:rPr>
          <w:rFonts w:ascii="Arial" w:hAnsi="Arial" w:cs="Arial"/>
          <w:sz w:val="22"/>
        </w:rPr>
        <w:t xml:space="preserve"> defines poliomyelitis as a highly infectious viral disease that mainly affects children under five years </w:t>
      </w:r>
      <w:r w:rsidR="009B3EBF" w:rsidRPr="009B3EBF">
        <w:rPr>
          <w:rFonts w:ascii="Arial" w:hAnsi="Arial" w:cs="Arial"/>
          <w:sz w:val="22"/>
        </w:rPr>
        <w:t>of age.</w:t>
      </w:r>
      <w:r w:rsidRPr="009B3EBF">
        <w:rPr>
          <w:rFonts w:ascii="Arial" w:hAnsi="Arial" w:cs="Arial"/>
          <w:sz w:val="22"/>
        </w:rPr>
        <w:t xml:space="preserve"> The virus spreads from person to person</w:t>
      </w:r>
      <w:r w:rsidR="009B3EBF" w:rsidRPr="009B3EBF">
        <w:rPr>
          <w:rFonts w:ascii="Arial" w:hAnsi="Arial" w:cs="Arial"/>
          <w:sz w:val="22"/>
        </w:rPr>
        <w:t>, primarily through</w:t>
      </w:r>
      <w:r w:rsidRPr="009B3EBF">
        <w:rPr>
          <w:rFonts w:ascii="Arial" w:hAnsi="Arial" w:cs="Arial"/>
          <w:sz w:val="22"/>
        </w:rPr>
        <w:t xml:space="preserve"> the faecal-oral route</w:t>
      </w:r>
      <w:r w:rsidR="009B3EBF" w:rsidRPr="009B3EBF">
        <w:rPr>
          <w:rFonts w:ascii="Arial" w:hAnsi="Arial" w:cs="Arial"/>
          <w:sz w:val="22"/>
        </w:rPr>
        <w:t>, and less commonly through</w:t>
      </w:r>
      <w:r w:rsidRPr="009B3EBF">
        <w:rPr>
          <w:rFonts w:ascii="Arial" w:hAnsi="Arial" w:cs="Arial"/>
          <w:sz w:val="22"/>
        </w:rPr>
        <w:t xml:space="preserve"> contaminated water </w:t>
      </w:r>
      <w:r w:rsidR="009B3EBF" w:rsidRPr="009B3EBF">
        <w:rPr>
          <w:rFonts w:ascii="Arial" w:hAnsi="Arial" w:cs="Arial"/>
          <w:sz w:val="22"/>
        </w:rPr>
        <w:t>or</w:t>
      </w:r>
      <w:r w:rsidRPr="009B3EBF">
        <w:rPr>
          <w:rFonts w:ascii="Arial" w:hAnsi="Arial" w:cs="Arial"/>
          <w:sz w:val="22"/>
        </w:rPr>
        <w:t xml:space="preserve"> food. </w:t>
      </w:r>
      <w:r w:rsidR="009B3EBF" w:rsidRPr="009B3EBF">
        <w:rPr>
          <w:rFonts w:ascii="Arial" w:hAnsi="Arial" w:cs="Arial"/>
          <w:sz w:val="22"/>
        </w:rPr>
        <w:t>After entering the body, it multiplies</w:t>
      </w:r>
      <w:r w:rsidRPr="009B3EBF">
        <w:rPr>
          <w:rFonts w:ascii="Arial" w:hAnsi="Arial" w:cs="Arial"/>
          <w:sz w:val="22"/>
        </w:rPr>
        <w:t xml:space="preserve"> in the intestine </w:t>
      </w:r>
      <w:r w:rsidR="009B3EBF" w:rsidRPr="009B3EBF">
        <w:rPr>
          <w:rFonts w:ascii="Arial" w:hAnsi="Arial" w:cs="Arial"/>
          <w:sz w:val="22"/>
        </w:rPr>
        <w:t>and can invade</w:t>
      </w:r>
      <w:r w:rsidRPr="009B3EBF">
        <w:rPr>
          <w:rFonts w:ascii="Arial" w:hAnsi="Arial" w:cs="Arial"/>
          <w:sz w:val="22"/>
        </w:rPr>
        <w:t xml:space="preserve"> the nervous system</w:t>
      </w:r>
      <w:r w:rsidR="009B3EBF" w:rsidRPr="009B3EBF">
        <w:rPr>
          <w:rFonts w:ascii="Arial" w:hAnsi="Arial" w:cs="Arial"/>
          <w:sz w:val="22"/>
        </w:rPr>
        <w:t>, where it may</w:t>
      </w:r>
      <w:r w:rsidRPr="009B3EBF">
        <w:rPr>
          <w:rFonts w:ascii="Arial" w:hAnsi="Arial" w:cs="Arial"/>
          <w:sz w:val="22"/>
        </w:rPr>
        <w:t xml:space="preserve"> cause irreversible paralysis.</w:t>
      </w:r>
    </w:p>
    <w:p w14:paraId="0D25B2E2" w14:textId="12032B0B" w:rsidR="001D7C03" w:rsidRPr="00CD33A8" w:rsidRDefault="00E27556">
      <w:pPr>
        <w:spacing w:line="360" w:lineRule="auto"/>
        <w:rPr>
          <w:rFonts w:asciiTheme="minorBidi" w:hAnsiTheme="minorBidi"/>
          <w:sz w:val="22"/>
        </w:rPr>
      </w:pPr>
      <w:r w:rsidRPr="00E27556">
        <w:rPr>
          <w:rFonts w:ascii="Arial" w:hAnsi="Arial" w:cs="Arial"/>
          <w:sz w:val="22"/>
        </w:rPr>
        <w:t xml:space="preserve">Common signs and symptoms of poliomyelitis include fever, fatigue, headache, vomiting, neck stiffness and pain in the limbs. Although many infections are mild or asymptomatic, a small proportion can result in permanent paralysis, making polio an important public health concern. Its continued appearance in places that have otherwise remained polio-free highlights the need for sustained vaccination and </w:t>
      </w:r>
      <w:proofErr w:type="gramStart"/>
      <w:r w:rsidRPr="00E27556">
        <w:rPr>
          <w:rFonts w:ascii="Arial" w:hAnsi="Arial" w:cs="Arial"/>
          <w:sz w:val="22"/>
        </w:rPr>
        <w:t>surveillance.</w:t>
      </w:r>
      <w:r w:rsidR="00C316C4">
        <w:rPr>
          <w:rFonts w:ascii="Arial" w:hAnsi="Arial" w:cs="Arial"/>
          <w:sz w:val="22"/>
        </w:rPr>
        <w:t>(</w:t>
      </w:r>
      <w:proofErr w:type="gramEnd"/>
      <w:r w:rsidR="00C316C4">
        <w:rPr>
          <w:rFonts w:ascii="Arial" w:hAnsi="Arial" w:cs="Arial"/>
          <w:sz w:val="22"/>
        </w:rPr>
        <w:t>WHO) Statement of the forty-fourth meeting of the polio IHR Emergency committee.(March 4</w:t>
      </w:r>
      <w:r w:rsidR="00C316C4" w:rsidRPr="00C316C4">
        <w:rPr>
          <w:rFonts w:ascii="Arial" w:hAnsi="Arial" w:cs="Arial"/>
          <w:sz w:val="22"/>
          <w:vertAlign w:val="superscript"/>
        </w:rPr>
        <w:t>th</w:t>
      </w:r>
      <w:r w:rsidR="00C316C4">
        <w:rPr>
          <w:rFonts w:ascii="Arial" w:hAnsi="Arial" w:cs="Arial"/>
          <w:sz w:val="22"/>
        </w:rPr>
        <w:t xml:space="preserve"> 2026).</w:t>
      </w:r>
    </w:p>
    <w:p w14:paraId="1900DB79" w14:textId="77777777" w:rsidR="001D7C03" w:rsidRPr="00CD33A8" w:rsidRDefault="00000000">
      <w:pPr>
        <w:spacing w:line="360" w:lineRule="auto"/>
        <w:rPr>
          <w:rFonts w:asciiTheme="minorBidi" w:hAnsiTheme="minorBidi"/>
          <w:sz w:val="22"/>
        </w:rPr>
      </w:pPr>
      <w:r w:rsidRPr="000112AD">
        <w:rPr>
          <w:rFonts w:ascii="Arial" w:hAnsi="Arial" w:cs="Arial"/>
          <w:sz w:val="22"/>
        </w:rPr>
        <w:t xml:space="preserve">Recent incidents </w:t>
      </w:r>
      <w:r w:rsidR="000112AD" w:rsidRPr="000112AD">
        <w:rPr>
          <w:rFonts w:ascii="Arial" w:hAnsi="Arial" w:cs="Arial"/>
          <w:sz w:val="22"/>
        </w:rPr>
        <w:t>show</w:t>
      </w:r>
      <w:r w:rsidRPr="000112AD">
        <w:rPr>
          <w:rFonts w:ascii="Arial" w:hAnsi="Arial" w:cs="Arial"/>
          <w:sz w:val="22"/>
        </w:rPr>
        <w:t xml:space="preserve"> that </w:t>
      </w:r>
      <w:r w:rsidR="000112AD" w:rsidRPr="000112AD">
        <w:rPr>
          <w:rFonts w:ascii="Arial" w:hAnsi="Arial" w:cs="Arial"/>
          <w:sz w:val="22"/>
        </w:rPr>
        <w:t xml:space="preserve">the </w:t>
      </w:r>
      <w:r w:rsidRPr="000112AD">
        <w:rPr>
          <w:rFonts w:ascii="Arial" w:hAnsi="Arial" w:cs="Arial"/>
          <w:sz w:val="22"/>
        </w:rPr>
        <w:t xml:space="preserve">threat of </w:t>
      </w:r>
      <w:r w:rsidR="000112AD" w:rsidRPr="000112AD">
        <w:rPr>
          <w:rFonts w:ascii="Arial" w:hAnsi="Arial" w:cs="Arial"/>
          <w:sz w:val="22"/>
        </w:rPr>
        <w:t xml:space="preserve">polio </w:t>
      </w:r>
      <w:r w:rsidRPr="000112AD">
        <w:rPr>
          <w:rFonts w:ascii="Arial" w:hAnsi="Arial" w:cs="Arial"/>
          <w:sz w:val="22"/>
        </w:rPr>
        <w:t xml:space="preserve">resurgence </w:t>
      </w:r>
      <w:r w:rsidR="000112AD" w:rsidRPr="000112AD">
        <w:rPr>
          <w:rFonts w:ascii="Arial" w:hAnsi="Arial" w:cs="Arial"/>
          <w:sz w:val="22"/>
        </w:rPr>
        <w:t xml:space="preserve">remains </w:t>
      </w:r>
      <w:r w:rsidRPr="000112AD">
        <w:rPr>
          <w:rFonts w:ascii="Arial" w:hAnsi="Arial" w:cs="Arial"/>
          <w:sz w:val="22"/>
        </w:rPr>
        <w:t>both globally and in the UK</w:t>
      </w:r>
      <w:r w:rsidR="000112AD" w:rsidRPr="000112AD">
        <w:rPr>
          <w:rFonts w:ascii="Arial" w:hAnsi="Arial" w:cs="Arial"/>
          <w:sz w:val="22"/>
        </w:rPr>
        <w:t xml:space="preserve">. </w:t>
      </w:r>
      <w:r w:rsidRPr="000112AD">
        <w:rPr>
          <w:rFonts w:ascii="Arial" w:hAnsi="Arial" w:cs="Arial"/>
          <w:sz w:val="22"/>
        </w:rPr>
        <w:t>In June 2022</w:t>
      </w:r>
      <w:r w:rsidR="000112AD" w:rsidRPr="000112AD">
        <w:rPr>
          <w:rFonts w:ascii="Arial" w:hAnsi="Arial" w:cs="Arial"/>
          <w:sz w:val="22"/>
        </w:rPr>
        <w:t>,</w:t>
      </w:r>
      <w:r w:rsidRPr="000112AD">
        <w:rPr>
          <w:rFonts w:ascii="Arial" w:hAnsi="Arial" w:cs="Arial"/>
          <w:sz w:val="22"/>
        </w:rPr>
        <w:t xml:space="preserve"> the UK Health Security Agency </w:t>
      </w:r>
      <w:r w:rsidR="000112AD" w:rsidRPr="000112AD">
        <w:rPr>
          <w:rFonts w:ascii="Arial" w:hAnsi="Arial" w:cs="Arial"/>
          <w:sz w:val="22"/>
        </w:rPr>
        <w:t>reported the detection of vaccine-derived poliovirus type 2 in sewage samples from North and East London. No associated cases of paralysis were reported, but the finding demonstrated the value of environmental surveillance and the importance of maintaining high vaccine coverage.</w:t>
      </w:r>
    </w:p>
    <w:p w14:paraId="1C37DAFA" w14:textId="77777777" w:rsidR="000112AD" w:rsidRDefault="000112AD">
      <w:pPr>
        <w:spacing w:line="360" w:lineRule="auto"/>
        <w:rPr>
          <w:kern w:val="2"/>
          <w:szCs w:val="24"/>
          <w:lang w:eastAsia="en-GB"/>
          <w14:ligatures w14:val="standardContextual"/>
        </w:rPr>
      </w:pPr>
      <w:r>
        <w:rPr>
          <w:rFonts w:ascii="Arial" w:hAnsi="Arial" w:cs="Arial"/>
          <w:sz w:val="22"/>
        </w:rPr>
        <w:t>A further example was reported in August 2024, when Palestinian health officials confirmed the first case of polio in Gaza in 25 years in an unvaccinated 10-month-old child. The case followed the detection of poliovirus in wastewater samples from several locations, illustrating how conflict, disrupted health services and poor sanitation can increase the risk of infectious disease outbreaks.</w:t>
      </w:r>
    </w:p>
    <w:p w14:paraId="25B6441F" w14:textId="730A04F3" w:rsidR="001D7C03" w:rsidRDefault="008F3BD8">
      <w:pPr>
        <w:spacing w:line="360" w:lineRule="auto"/>
        <w:rPr>
          <w:rFonts w:ascii="Arial" w:hAnsi="Arial" w:cs="Arial"/>
          <w:sz w:val="22"/>
        </w:rPr>
      </w:pPr>
      <w:r w:rsidRPr="008F3BD8">
        <w:rPr>
          <w:rFonts w:ascii="Arial" w:hAnsi="Arial" w:cs="Arial"/>
          <w:b/>
          <w:bCs/>
          <w:sz w:val="22"/>
        </w:rPr>
        <w:t>Historical development and global eradication efforts</w:t>
      </w:r>
      <w:r w:rsidRPr="008F3BD8">
        <w:br/>
      </w:r>
      <w:r w:rsidRPr="008F3BD8">
        <w:rPr>
          <w:rFonts w:ascii="Arial" w:hAnsi="Arial" w:cs="Arial"/>
          <w:sz w:val="22"/>
        </w:rPr>
        <w:t>The first clinical description of polio was recorded in 1789, according to Ronnie Henry. Research continued to progress, and Thomas Weller and colleagues later succeeded in growing poliovirus in tissue-culture cells, work that contributed to the Nobel Prize in Medicine in 1954. These advances supported further vaccine research. The first live attenuated polio vaccine was developed in 1955, followed six years later by the oral polio vaccine developed by Sabin and his team.</w:t>
      </w:r>
      <w:r w:rsidRPr="008F3BD8">
        <w:br/>
      </w:r>
      <w:r w:rsidRPr="008F3BD8">
        <w:rPr>
          <w:rFonts w:ascii="Arial" w:hAnsi="Arial" w:cs="Arial"/>
          <w:sz w:val="22"/>
        </w:rPr>
        <w:t xml:space="preserve">Building on broad immunisation campaigns that helped eliminate polio in the Americas, the World Health Assembly adopted a global eradication goal in 1988. This led to the launch of the Global Polio Eradication Initiative, a partnership involving national governments, the World Health Organization, Rotary International, UNICEF, the US </w:t>
      </w:r>
      <w:r w:rsidR="00095B0C" w:rsidRPr="008F3BD8">
        <w:rPr>
          <w:rFonts w:ascii="Arial" w:hAnsi="Arial" w:cs="Arial"/>
          <w:sz w:val="22"/>
        </w:rPr>
        <w:t>Centres</w:t>
      </w:r>
      <w:r w:rsidRPr="008F3BD8">
        <w:rPr>
          <w:rFonts w:ascii="Arial" w:hAnsi="Arial" w:cs="Arial"/>
          <w:sz w:val="22"/>
        </w:rPr>
        <w:t xml:space="preserve"> for Disease Control and Prevention, and later the Bill &amp; Melinda Gates Foundation and Gavi. The </w:t>
      </w:r>
      <w:r w:rsidRPr="008F3BD8">
        <w:rPr>
          <w:rFonts w:ascii="Arial" w:hAnsi="Arial" w:cs="Arial"/>
          <w:sz w:val="22"/>
        </w:rPr>
        <w:lastRenderedPageBreak/>
        <w:t>initiative has helped reduce global polio incidence by 99.9%.</w:t>
      </w:r>
      <w:r w:rsidRPr="008F3BD8">
        <w:br/>
      </w:r>
      <w:r w:rsidRPr="008F3BD8">
        <w:rPr>
          <w:rFonts w:ascii="Arial" w:hAnsi="Arial" w:cs="Arial"/>
          <w:sz w:val="22"/>
        </w:rPr>
        <w:t>Despite this progress, Afghanistan and Pakistan remain the two countries where wild poliovirus is still endemic. In addition, sporadic cases and positive sewage samples in conflict-affected areas show that the risk of resurgence remains. Continued vaccination, surveillance, and international cooperation are therefore essential to prevent polio from increasing again.</w:t>
      </w:r>
    </w:p>
    <w:p w14:paraId="27131415" w14:textId="5566BDA0" w:rsidR="001D7C03" w:rsidRPr="00CD33A8" w:rsidRDefault="00036F51">
      <w:pPr>
        <w:spacing w:line="360" w:lineRule="auto"/>
        <w:rPr>
          <w:rFonts w:asciiTheme="minorBidi" w:hAnsiTheme="minorBidi"/>
          <w:sz w:val="22"/>
        </w:rPr>
      </w:pPr>
      <w:r>
        <w:rPr>
          <w:rFonts w:ascii="Arial" w:hAnsi="Arial" w:cs="Arial"/>
          <w:b/>
          <w:bCs/>
          <w:sz w:val="22"/>
        </w:rPr>
        <w:t xml:space="preserve"> </w:t>
      </w:r>
      <w:r w:rsidR="007E6897" w:rsidRPr="007E6897">
        <w:rPr>
          <w:rFonts w:ascii="Arial" w:hAnsi="Arial" w:cs="Arial"/>
          <w:b/>
          <w:bCs/>
          <w:sz w:val="22"/>
        </w:rPr>
        <w:t>Measuring and monitoring polio</w:t>
      </w:r>
      <w:r w:rsidR="007E6897" w:rsidRPr="007E6897">
        <w:br/>
      </w:r>
      <w:r w:rsidR="007E6897" w:rsidRPr="007E6897">
        <w:rPr>
          <w:rFonts w:ascii="Arial" w:hAnsi="Arial" w:cs="Arial"/>
          <w:sz w:val="22"/>
        </w:rPr>
        <w:t>Poli</w:t>
      </w:r>
      <w:r>
        <w:rPr>
          <w:rFonts w:ascii="Arial" w:hAnsi="Arial" w:cs="Arial"/>
          <w:sz w:val="22"/>
        </w:rPr>
        <w:t>omyelitis</w:t>
      </w:r>
      <w:r w:rsidR="007E6897" w:rsidRPr="007E6897">
        <w:rPr>
          <w:rFonts w:ascii="Arial" w:hAnsi="Arial" w:cs="Arial"/>
          <w:sz w:val="22"/>
        </w:rPr>
        <w:t xml:space="preserve"> is monitored through a combination of clinical surveillance, laboratory testing, environmental surveillance, and targeted screening. These approaches help public health teams identify possible cases early, confirm whether poliovirus is present, and respond quickly to reduce the risk of further spread.</w:t>
      </w:r>
    </w:p>
    <w:p w14:paraId="6B937F2E" w14:textId="77777777" w:rsidR="007E6897" w:rsidRPr="007E6897" w:rsidRDefault="007E6897" w:rsidP="007E6897">
      <w:pPr>
        <w:pStyle w:val="ListParagraph"/>
        <w:numPr>
          <w:ilvl w:val="0"/>
          <w:numId w:val="3"/>
        </w:numPr>
        <w:rPr>
          <w:kern w:val="2"/>
          <w:szCs w:val="24"/>
          <w:lang w:eastAsia="en-GB"/>
          <w14:ligatures w14:val="standardContextual"/>
        </w:rPr>
      </w:pPr>
      <w:r w:rsidRPr="007E6897">
        <w:rPr>
          <w:rFonts w:ascii="Arial" w:hAnsi="Arial" w:cs="Arial"/>
          <w:b/>
          <w:bCs/>
          <w:sz w:val="22"/>
        </w:rPr>
        <w:t>Clinical case tracking:</w:t>
      </w:r>
      <w:r w:rsidRPr="007E6897">
        <w:rPr>
          <w:rFonts w:ascii="Arial" w:hAnsi="Arial" w:cs="Arial"/>
          <w:sz w:val="22"/>
        </w:rPr>
        <w:t xml:space="preserve"> All suspected cases should be investigated promptly. Healthcare workers and community networks should report any child under five years of age with sudden flaccid paralysis in one or more limbs.</w:t>
      </w:r>
    </w:p>
    <w:p w14:paraId="1482F9FB" w14:textId="77777777" w:rsidR="007E6897" w:rsidRDefault="007E6897" w:rsidP="007E6897">
      <w:pPr>
        <w:pStyle w:val="ListParagraph"/>
        <w:numPr>
          <w:ilvl w:val="0"/>
          <w:numId w:val="3"/>
        </w:numPr>
      </w:pPr>
      <w:r>
        <w:rPr>
          <w:rFonts w:ascii="Arial" w:hAnsi="Arial" w:cs="Arial"/>
          <w:b/>
          <w:bCs/>
          <w:sz w:val="22"/>
        </w:rPr>
        <w:t>Stool sample testing:</w:t>
      </w:r>
      <w:r>
        <w:rPr>
          <w:rFonts w:ascii="Arial" w:hAnsi="Arial" w:cs="Arial"/>
          <w:sz w:val="22"/>
        </w:rPr>
        <w:t xml:space="preserve"> At least two stool samples should be collected 24–48 hours apart to confirm whether poliovirus is present.</w:t>
      </w:r>
    </w:p>
    <w:p w14:paraId="7FBCC5CE" w14:textId="77777777" w:rsidR="007E6897" w:rsidRDefault="007E6897" w:rsidP="007E6897">
      <w:pPr>
        <w:pStyle w:val="ListParagraph"/>
        <w:numPr>
          <w:ilvl w:val="0"/>
          <w:numId w:val="3"/>
        </w:numPr>
      </w:pPr>
      <w:r>
        <w:rPr>
          <w:rFonts w:ascii="Arial" w:hAnsi="Arial" w:cs="Arial"/>
          <w:b/>
          <w:bCs/>
          <w:sz w:val="22"/>
        </w:rPr>
        <w:t>Environmental surveillance:</w:t>
      </w:r>
      <w:r>
        <w:rPr>
          <w:rFonts w:ascii="Arial" w:hAnsi="Arial" w:cs="Arial"/>
          <w:sz w:val="22"/>
        </w:rPr>
        <w:t xml:space="preserve"> Wastewater testing should be carried out regularly, especially in areas affected by conflict, poor sanitation, or disruption to healthcare services.</w:t>
      </w:r>
    </w:p>
    <w:p w14:paraId="07FD75D0" w14:textId="77777777" w:rsidR="007E6897" w:rsidRDefault="007E6897" w:rsidP="007E6897">
      <w:pPr>
        <w:pStyle w:val="ListParagraph"/>
        <w:numPr>
          <w:ilvl w:val="0"/>
          <w:numId w:val="3"/>
        </w:numPr>
      </w:pPr>
      <w:r>
        <w:rPr>
          <w:rFonts w:ascii="Arial" w:hAnsi="Arial" w:cs="Arial"/>
          <w:b/>
          <w:bCs/>
          <w:sz w:val="22"/>
        </w:rPr>
        <w:t>Targeted screening:</w:t>
      </w:r>
      <w:r>
        <w:rPr>
          <w:rFonts w:ascii="Arial" w:hAnsi="Arial" w:cs="Arial"/>
          <w:sz w:val="22"/>
        </w:rPr>
        <w:t xml:space="preserve"> Screening should be prioritised in high-risk settings, including areas where severe malnutrition or weak health systems may increase vulnerability.</w:t>
      </w:r>
    </w:p>
    <w:p w14:paraId="219D5759" w14:textId="77777777" w:rsidR="007E6897" w:rsidRDefault="007E6897" w:rsidP="007E6897">
      <w:pPr>
        <w:pStyle w:val="ListParagraph"/>
        <w:numPr>
          <w:ilvl w:val="0"/>
          <w:numId w:val="3"/>
        </w:numPr>
      </w:pPr>
      <w:r>
        <w:rPr>
          <w:rFonts w:ascii="Arial" w:hAnsi="Arial" w:cs="Arial"/>
          <w:b/>
          <w:bCs/>
          <w:sz w:val="22"/>
        </w:rPr>
        <w:t>Monitoring system sensitivity:</w:t>
      </w:r>
      <w:r>
        <w:rPr>
          <w:rFonts w:ascii="Arial" w:hAnsi="Arial" w:cs="Arial"/>
          <w:sz w:val="22"/>
        </w:rPr>
        <w:t xml:space="preserve"> Surveillance systems must be sensitive enough to detect non-polio acute flaccid paralysis, which helps show that possible polio cases are not being missed.</w:t>
      </w:r>
    </w:p>
    <w:p w14:paraId="2C2CC04F" w14:textId="77777777" w:rsidR="007E6897" w:rsidRDefault="007E6897" w:rsidP="007E6897">
      <w:pPr>
        <w:pStyle w:val="ListParagraph"/>
        <w:numPr>
          <w:ilvl w:val="0"/>
          <w:numId w:val="3"/>
        </w:numPr>
      </w:pPr>
      <w:r>
        <w:rPr>
          <w:rFonts w:ascii="Arial" w:hAnsi="Arial" w:cs="Arial"/>
          <w:b/>
          <w:bCs/>
          <w:sz w:val="22"/>
        </w:rPr>
        <w:t>Testing immunodeficient patients:</w:t>
      </w:r>
      <w:r>
        <w:rPr>
          <w:rFonts w:ascii="Arial" w:hAnsi="Arial" w:cs="Arial"/>
          <w:sz w:val="22"/>
        </w:rPr>
        <w:t xml:space="preserve"> Stool testing in immunodeficient individuals is important because prolonged infection can allow vaccine-derived poliovirus strains to mutate and spread silently.</w:t>
      </w:r>
    </w:p>
    <w:p w14:paraId="70861364" w14:textId="77777777" w:rsidR="001D7C03" w:rsidRPr="00CD33A8" w:rsidRDefault="00036F51">
      <w:pPr>
        <w:spacing w:line="360" w:lineRule="auto"/>
        <w:rPr>
          <w:rFonts w:asciiTheme="minorBidi" w:hAnsiTheme="minorBidi"/>
          <w:sz w:val="22"/>
        </w:rPr>
      </w:pPr>
      <w:r w:rsidRPr="00036F51">
        <w:rPr>
          <w:rFonts w:ascii="Arial" w:hAnsi="Arial" w:cs="Arial"/>
          <w:b/>
          <w:bCs/>
          <w:sz w:val="22"/>
        </w:rPr>
        <w:t xml:space="preserve">Global </w:t>
      </w:r>
      <w:r w:rsidRPr="00036F51">
        <w:rPr>
          <w:rFonts w:ascii="Arial" w:hAnsi="Arial" w:cs="Arial"/>
          <w:b/>
          <w:sz w:val="22"/>
        </w:rPr>
        <w:t xml:space="preserve">control </w:t>
      </w:r>
      <w:r w:rsidRPr="00036F51">
        <w:rPr>
          <w:rFonts w:ascii="Arial" w:hAnsi="Arial" w:cs="Arial"/>
          <w:b/>
          <w:bCs/>
          <w:sz w:val="22"/>
        </w:rPr>
        <w:t>and eradication efforts</w:t>
      </w:r>
      <w:r w:rsidRPr="00036F51">
        <w:br/>
      </w:r>
      <w:r w:rsidRPr="00036F51">
        <w:rPr>
          <w:rFonts w:ascii="Arial" w:hAnsi="Arial" w:cs="Arial"/>
          <w:sz w:val="22"/>
        </w:rPr>
        <w:t>Worldwide polio control is coordinated by the World Health Organization through the Global Polio Eradication Initiative. This programme works with national governments and international partners to strengthen vaccination campaigns, improve surveillance, and support countries that are most vulnerable to outbreaks.</w:t>
      </w:r>
    </w:p>
    <w:p w14:paraId="00C8BD15" w14:textId="77777777" w:rsidR="001D7C03" w:rsidRPr="00CD33A8" w:rsidRDefault="000765E3">
      <w:pPr>
        <w:spacing w:line="360" w:lineRule="auto"/>
        <w:rPr>
          <w:rFonts w:asciiTheme="minorBidi" w:hAnsiTheme="minorBidi"/>
          <w:sz w:val="22"/>
        </w:rPr>
      </w:pPr>
      <w:r w:rsidRPr="000765E3">
        <w:rPr>
          <w:rFonts w:ascii="Arial" w:hAnsi="Arial" w:cs="Arial"/>
          <w:b/>
          <w:bCs/>
          <w:sz w:val="22"/>
        </w:rPr>
        <w:t xml:space="preserve">Polio surveillance </w:t>
      </w:r>
      <w:r w:rsidRPr="000765E3">
        <w:rPr>
          <w:rFonts w:ascii="Arial" w:hAnsi="Arial" w:cs="Arial"/>
          <w:b/>
          <w:sz w:val="22"/>
        </w:rPr>
        <w:t>in England</w:t>
      </w:r>
      <w:r w:rsidRPr="000765E3">
        <w:br/>
      </w:r>
      <w:r w:rsidRPr="000765E3">
        <w:rPr>
          <w:rFonts w:ascii="Arial" w:hAnsi="Arial" w:cs="Arial"/>
          <w:sz w:val="22"/>
        </w:rPr>
        <w:t>In England, the UK Health Security Agency (UKHSA) works with the World Health Organization Polio Global Specialised Laboratory at the Medicines and Healthcare products Regulatory Agency (MHRA) to carry out routine environmental surveillance for poliovirus. This involves regular testing of raw sewage samples to identify any imported or circulating poliovirus at an early stage. Sewage surveillance acts as an early warning system because poliovirus can be detected in wastewater before any clinical cases are identified.</w:t>
      </w:r>
    </w:p>
    <w:p w14:paraId="7F04FA43" w14:textId="77777777" w:rsidR="001D7C03" w:rsidRPr="00CD33A8" w:rsidRDefault="00C501D1">
      <w:pPr>
        <w:spacing w:line="360" w:lineRule="auto"/>
        <w:rPr>
          <w:rFonts w:asciiTheme="minorBidi" w:hAnsiTheme="minorBidi"/>
          <w:sz w:val="22"/>
        </w:rPr>
      </w:pPr>
      <w:r w:rsidRPr="00C501D1">
        <w:rPr>
          <w:rFonts w:ascii="Arial" w:hAnsi="Arial" w:cs="Arial"/>
          <w:b/>
          <w:bCs/>
          <w:sz w:val="22"/>
        </w:rPr>
        <w:lastRenderedPageBreak/>
        <w:t>UK response and vaccination programme</w:t>
      </w:r>
      <w:r w:rsidRPr="00C501D1">
        <w:br/>
      </w:r>
      <w:r w:rsidRPr="00C501D1">
        <w:rPr>
          <w:rFonts w:ascii="Arial" w:hAnsi="Arial" w:cs="Arial"/>
          <w:sz w:val="22"/>
        </w:rPr>
        <w:t>The value of this surveillance was shown in 2022, when vaccine-derived poliovirus type 2 was detected in sewage samples from North and East London. No associated cases of paralysis were reported, but the finding led to enhanced public health monitoring and reinforced the importance of high vaccine uptake. Clinical surveillance also continues through the reporting and investigation of acute flaccid paralysis, which can be a possible sign of polio.</w:t>
      </w:r>
    </w:p>
    <w:p w14:paraId="34EE9B3F" w14:textId="77777777" w:rsidR="00C501D1" w:rsidRDefault="00C501D1">
      <w:pPr>
        <w:spacing w:line="360" w:lineRule="auto"/>
        <w:rPr>
          <w:kern w:val="2"/>
          <w:szCs w:val="24"/>
          <w:lang w:eastAsia="en-GB"/>
          <w14:ligatures w14:val="standardContextual"/>
        </w:rPr>
      </w:pPr>
      <w:r>
        <w:rPr>
          <w:rFonts w:ascii="Arial" w:hAnsi="Arial" w:cs="Arial"/>
          <w:sz w:val="22"/>
        </w:rPr>
        <w:t>The UK routine childhood immunisation programme uses the inactivated polio vaccine (IPV), which is given as part of combined vaccines at the following stages:</w:t>
      </w:r>
    </w:p>
    <w:p w14:paraId="5E111F8E" w14:textId="77777777" w:rsidR="00C501D1" w:rsidRPr="00C501D1" w:rsidRDefault="00C501D1" w:rsidP="00C501D1">
      <w:pPr>
        <w:pStyle w:val="ListParagraph"/>
        <w:numPr>
          <w:ilvl w:val="0"/>
          <w:numId w:val="1"/>
        </w:numPr>
        <w:rPr>
          <w:kern w:val="2"/>
          <w:szCs w:val="24"/>
          <w:lang w:eastAsia="en-GB"/>
          <w14:ligatures w14:val="standardContextual"/>
        </w:rPr>
      </w:pPr>
      <w:r w:rsidRPr="00C501D1">
        <w:rPr>
          <w:rFonts w:ascii="Arial" w:hAnsi="Arial" w:cs="Arial"/>
          <w:sz w:val="22"/>
        </w:rPr>
        <w:t>8, 12 and 16 weeks, as part of the 6-in-1 vaccine.</w:t>
      </w:r>
    </w:p>
    <w:p w14:paraId="51F46FD0" w14:textId="77777777" w:rsidR="00C501D1" w:rsidRDefault="00C501D1" w:rsidP="00C501D1">
      <w:pPr>
        <w:pStyle w:val="ListParagraph"/>
        <w:numPr>
          <w:ilvl w:val="0"/>
          <w:numId w:val="1"/>
        </w:numPr>
      </w:pPr>
      <w:r>
        <w:rPr>
          <w:rFonts w:ascii="Arial" w:hAnsi="Arial" w:cs="Arial"/>
          <w:sz w:val="22"/>
        </w:rPr>
        <w:t>18 months, as part of the 6-in-1 vaccine for eligible children.</w:t>
      </w:r>
    </w:p>
    <w:p w14:paraId="2972679D" w14:textId="77777777" w:rsidR="00C501D1" w:rsidRDefault="00C501D1" w:rsidP="00C501D1">
      <w:pPr>
        <w:pStyle w:val="ListParagraph"/>
        <w:numPr>
          <w:ilvl w:val="0"/>
          <w:numId w:val="1"/>
        </w:numPr>
      </w:pPr>
      <w:r>
        <w:rPr>
          <w:rFonts w:ascii="Arial" w:hAnsi="Arial" w:cs="Arial"/>
          <w:sz w:val="22"/>
        </w:rPr>
        <w:t>3 years and 4 months, as part of the pre-school booster.</w:t>
      </w:r>
    </w:p>
    <w:p w14:paraId="24FDBED7" w14:textId="77777777" w:rsidR="00C501D1" w:rsidRPr="00486C48" w:rsidRDefault="00C501D1" w:rsidP="00C501D1">
      <w:pPr>
        <w:pStyle w:val="ListParagraph"/>
        <w:numPr>
          <w:ilvl w:val="0"/>
          <w:numId w:val="1"/>
        </w:numPr>
      </w:pPr>
      <w:r>
        <w:rPr>
          <w:rFonts w:ascii="Arial" w:hAnsi="Arial" w:cs="Arial"/>
          <w:sz w:val="22"/>
        </w:rPr>
        <w:t>14 years, as part of the teenage booster.</w:t>
      </w:r>
    </w:p>
    <w:p w14:paraId="2773EB75" w14:textId="77777777" w:rsidR="001D7C03" w:rsidRPr="00CD33A8" w:rsidRDefault="0080671F">
      <w:pPr>
        <w:spacing w:line="360" w:lineRule="auto"/>
        <w:rPr>
          <w:rFonts w:asciiTheme="minorBidi" w:hAnsiTheme="minorBidi"/>
          <w:sz w:val="22"/>
        </w:rPr>
      </w:pPr>
      <w:r w:rsidRPr="0080671F">
        <w:rPr>
          <w:rFonts w:ascii="Arial" w:hAnsi="Arial" w:cs="Arial"/>
          <w:b/>
          <w:bCs/>
          <w:sz w:val="22"/>
        </w:rPr>
        <w:t>Consequences of polio for individuals and communities</w:t>
      </w:r>
      <w:r w:rsidRPr="0080671F">
        <w:br/>
      </w:r>
      <w:r w:rsidRPr="0080671F">
        <w:rPr>
          <w:rFonts w:ascii="Arial" w:hAnsi="Arial" w:cs="Arial"/>
          <w:sz w:val="22"/>
        </w:rPr>
        <w:t>The consequences of polio for individuals and communities should not be underestimated. Although the risk of active poliovirus infection in the UK is currently very low, polio remains important because of its ability to spread quickly in communities with low vaccination coverage, poor sanitation, or high population density.</w:t>
      </w:r>
    </w:p>
    <w:p w14:paraId="40ED4D5D" w14:textId="77777777" w:rsidR="0080671F" w:rsidRDefault="0080671F">
      <w:pPr>
        <w:spacing w:line="360" w:lineRule="auto"/>
        <w:rPr>
          <w:kern w:val="2"/>
          <w:szCs w:val="24"/>
          <w:lang w:eastAsia="en-GB"/>
          <w14:ligatures w14:val="standardContextual"/>
        </w:rPr>
      </w:pPr>
      <w:r>
        <w:rPr>
          <w:rFonts w:ascii="Arial" w:hAnsi="Arial" w:cs="Arial"/>
          <w:sz w:val="22"/>
        </w:rPr>
        <w:t>For people affected by polio, the long-term effects can include paralysis in one or more limbs, muscle weakness, neurological complications, and reduced mobility. Some survivors may also experience post-polio syndrome later in life, which can lead to renewed muscle weakness, fatigue, pain, and difficulties with daily activities.</w:t>
      </w:r>
    </w:p>
    <w:p w14:paraId="7AE03D5E" w14:textId="77777777" w:rsidR="0080671F" w:rsidRDefault="0080671F">
      <w:pPr>
        <w:spacing w:line="360" w:lineRule="auto"/>
        <w:rPr>
          <w:kern w:val="2"/>
          <w:szCs w:val="24"/>
          <w:lang w:eastAsia="en-GB"/>
          <w14:ligatures w14:val="standardContextual"/>
        </w:rPr>
      </w:pPr>
      <w:r>
        <w:rPr>
          <w:rFonts w:ascii="Arial" w:hAnsi="Arial" w:cs="Arial"/>
          <w:sz w:val="22"/>
        </w:rPr>
        <w:t>The wider impact of polio can include:</w:t>
      </w:r>
    </w:p>
    <w:p w14:paraId="0291683F" w14:textId="77777777" w:rsidR="0080671F" w:rsidRPr="0080671F" w:rsidRDefault="0080671F" w:rsidP="0080671F">
      <w:pPr>
        <w:pStyle w:val="ListParagraph"/>
        <w:numPr>
          <w:ilvl w:val="0"/>
          <w:numId w:val="2"/>
        </w:numPr>
        <w:rPr>
          <w:kern w:val="2"/>
          <w:szCs w:val="24"/>
          <w:lang w:eastAsia="en-GB"/>
          <w14:ligatures w14:val="standardContextual"/>
        </w:rPr>
      </w:pPr>
      <w:r w:rsidRPr="0080671F">
        <w:rPr>
          <w:rFonts w:ascii="Arial" w:hAnsi="Arial" w:cs="Arial"/>
          <w:sz w:val="22"/>
        </w:rPr>
        <w:t>Long-term disability and reduced independence for affected individuals.</w:t>
      </w:r>
    </w:p>
    <w:p w14:paraId="1F58F3A2" w14:textId="77777777" w:rsidR="0080671F" w:rsidRDefault="0080671F" w:rsidP="0080671F">
      <w:pPr>
        <w:pStyle w:val="ListParagraph"/>
        <w:numPr>
          <w:ilvl w:val="0"/>
          <w:numId w:val="2"/>
        </w:numPr>
      </w:pPr>
      <w:r>
        <w:rPr>
          <w:rFonts w:ascii="Arial" w:hAnsi="Arial" w:cs="Arial"/>
          <w:sz w:val="22"/>
        </w:rPr>
        <w:t>Increased pressure on families, carers, and community support networks.</w:t>
      </w:r>
    </w:p>
    <w:p w14:paraId="328750EA" w14:textId="77777777" w:rsidR="0080671F" w:rsidRDefault="0080671F" w:rsidP="0080671F">
      <w:pPr>
        <w:pStyle w:val="ListParagraph"/>
        <w:numPr>
          <w:ilvl w:val="0"/>
          <w:numId w:val="2"/>
        </w:numPr>
      </w:pPr>
      <w:r>
        <w:rPr>
          <w:rFonts w:ascii="Arial" w:hAnsi="Arial" w:cs="Arial"/>
          <w:sz w:val="22"/>
        </w:rPr>
        <w:t>Greater demand for specialist healthcare, including neurology, orthopaedic care, physiotherapy, and respiratory support.</w:t>
      </w:r>
    </w:p>
    <w:p w14:paraId="0C38014B" w14:textId="77777777" w:rsidR="0080671F" w:rsidRPr="00036F51" w:rsidRDefault="0080671F" w:rsidP="0080671F">
      <w:pPr>
        <w:pStyle w:val="ListParagraph"/>
        <w:numPr>
          <w:ilvl w:val="0"/>
          <w:numId w:val="2"/>
        </w:numPr>
      </w:pPr>
      <w:r>
        <w:rPr>
          <w:rFonts w:ascii="Arial" w:hAnsi="Arial" w:cs="Arial"/>
          <w:sz w:val="22"/>
        </w:rPr>
        <w:t>A continuing need for vaccination and surveillance to prevent future outbreaks.</w:t>
      </w:r>
    </w:p>
    <w:p w14:paraId="5B6A8A9E" w14:textId="0FA7B451" w:rsidR="00036F51" w:rsidRDefault="008D5B25" w:rsidP="00036F51">
      <w:r>
        <w:t xml:space="preserve">According to the NHS, there is a pathway for the care of </w:t>
      </w:r>
      <w:proofErr w:type="spellStart"/>
      <w:r>
        <w:t>post polio</w:t>
      </w:r>
      <w:proofErr w:type="spellEnd"/>
      <w:r>
        <w:t xml:space="preserve"> patients with complications. Most of the patients will require Multidisciplinary care for the rest of their lives</w:t>
      </w:r>
      <w:r w:rsidR="00336D6F">
        <w:t>.</w:t>
      </w:r>
      <w:r w:rsidR="00615F05">
        <w:t xml:space="preserve"> Because most of these patients end up with both physical and mental disabilities, they will need social care input for housing and help with activities of daily living to have good quality of life. They will need financial resources from the social care department too. </w:t>
      </w:r>
    </w:p>
    <w:p w14:paraId="09D71E1A" w14:textId="77777777" w:rsidR="00615F05" w:rsidRDefault="00615F05" w:rsidP="00036F51"/>
    <w:p w14:paraId="54554F96" w14:textId="13BF7330" w:rsidR="00615F05" w:rsidRDefault="00615F05" w:rsidP="00036F51">
      <w:r>
        <w:t>Conclusion.</w:t>
      </w:r>
    </w:p>
    <w:p w14:paraId="60B2CDC3" w14:textId="44A11C52" w:rsidR="00B87E75" w:rsidRPr="00A33173" w:rsidRDefault="00A33173" w:rsidP="00A33173">
      <w:pPr>
        <w:rPr>
          <w:rFonts w:asciiTheme="minorBidi" w:hAnsiTheme="minorBidi"/>
          <w:sz w:val="22"/>
        </w:rPr>
      </w:pPr>
      <w:r w:rsidRPr="00A33173">
        <w:t xml:space="preserve">In conclusion, poliomyelitis remains an important public health issue because it is highly contagious and can cause lifelong disability, especially in children. This assignment has </w:t>
      </w:r>
      <w:r w:rsidRPr="00A33173">
        <w:lastRenderedPageBreak/>
        <w:t>shown that vaccination, surveillance and early detection are essential to control its spread. Individuals affected by polio may also need ongoing health and social care support, including rehabilitation, physiotherapy, mobility aids, housing support and help with daily living, to maintain independence and quality of life in the community</w:t>
      </w:r>
      <w:r>
        <w:t>.</w:t>
      </w:r>
    </w:p>
    <w:p w14:paraId="4FC14C6B" w14:textId="77777777" w:rsidR="00B87E75" w:rsidRDefault="00B87E75" w:rsidP="00CD33A8">
      <w:pPr>
        <w:tabs>
          <w:tab w:val="left" w:pos="6540"/>
        </w:tabs>
        <w:spacing w:line="360" w:lineRule="auto"/>
        <w:rPr>
          <w:rFonts w:asciiTheme="minorBidi" w:hAnsiTheme="minorBidi"/>
          <w:sz w:val="22"/>
        </w:rPr>
      </w:pPr>
    </w:p>
    <w:p w14:paraId="68FFD705" w14:textId="77777777" w:rsidR="008E3943" w:rsidRDefault="008E3943" w:rsidP="00CD33A8">
      <w:pPr>
        <w:tabs>
          <w:tab w:val="left" w:pos="6540"/>
        </w:tabs>
        <w:spacing w:line="360" w:lineRule="auto"/>
        <w:rPr>
          <w:rFonts w:asciiTheme="minorBidi" w:hAnsiTheme="minorBidi"/>
          <w:sz w:val="22"/>
        </w:rPr>
      </w:pPr>
    </w:p>
    <w:p w14:paraId="581C99BF" w14:textId="18464462" w:rsidR="00B87E75" w:rsidRPr="00CD33A8" w:rsidRDefault="00B87E75" w:rsidP="00E620E7">
      <w:pPr>
        <w:pStyle w:val="Heading1"/>
      </w:pPr>
    </w:p>
    <w:p w14:paraId="682D1769" w14:textId="77777777" w:rsidR="003E4ECF" w:rsidRDefault="003E4ECF" w:rsidP="00CD33A8">
      <w:pPr>
        <w:tabs>
          <w:tab w:val="left" w:pos="6540"/>
        </w:tabs>
        <w:spacing w:line="360" w:lineRule="auto"/>
        <w:rPr>
          <w:rFonts w:asciiTheme="minorBidi" w:hAnsiTheme="minorBidi"/>
          <w:sz w:val="22"/>
        </w:rPr>
      </w:pPr>
    </w:p>
    <w:p w14:paraId="15C25996" w14:textId="77777777" w:rsidR="008E3943" w:rsidRDefault="008E3943" w:rsidP="00CD33A8">
      <w:pPr>
        <w:tabs>
          <w:tab w:val="left" w:pos="6540"/>
        </w:tabs>
        <w:spacing w:line="360" w:lineRule="auto"/>
        <w:rPr>
          <w:rFonts w:asciiTheme="minorBidi" w:hAnsiTheme="minorBidi"/>
          <w:sz w:val="22"/>
        </w:rPr>
      </w:pPr>
    </w:p>
    <w:p w14:paraId="3A742EE2" w14:textId="77777777" w:rsidR="008E3943" w:rsidRPr="00CD33A8" w:rsidRDefault="008E3943" w:rsidP="00CD33A8">
      <w:pPr>
        <w:tabs>
          <w:tab w:val="left" w:pos="6540"/>
        </w:tabs>
        <w:spacing w:line="360" w:lineRule="auto"/>
        <w:rPr>
          <w:rFonts w:asciiTheme="minorBidi" w:hAnsiTheme="minorBidi"/>
          <w:sz w:val="22"/>
        </w:rPr>
      </w:pPr>
    </w:p>
    <w:p w14:paraId="6DBC958B" w14:textId="7780DDFC" w:rsidR="00CD33A8" w:rsidRPr="00A33173" w:rsidRDefault="00CD33A8" w:rsidP="00A33173">
      <w:pPr>
        <w:pStyle w:val="Heading1"/>
      </w:pPr>
    </w:p>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2E46B344" w14:textId="2544C593" w:rsidR="002D4C2B" w:rsidRDefault="00B87E75" w:rsidP="00590345">
      <w:pPr>
        <w:pStyle w:val="Heading1"/>
      </w:pPr>
      <w:r w:rsidRPr="00CD33A8">
        <w:lastRenderedPageBreak/>
        <w:t>References</w:t>
      </w:r>
      <w:r w:rsidR="00A33173">
        <w:t>;</w:t>
      </w:r>
    </w:p>
    <w:p w14:paraId="54F1F289" w14:textId="1E0FB097" w:rsidR="00755145" w:rsidRDefault="00755145" w:rsidP="00755145">
      <w:r>
        <w:t xml:space="preserve">1.British Medical </w:t>
      </w:r>
      <w:r w:rsidR="002E5F43">
        <w:t>Journal</w:t>
      </w:r>
    </w:p>
    <w:p w14:paraId="528F7C32" w14:textId="60771997" w:rsidR="00755145" w:rsidRDefault="00755145" w:rsidP="00755145">
      <w:r>
        <w:t xml:space="preserve">Postgrad Med </w:t>
      </w:r>
      <w:proofErr w:type="gramStart"/>
      <w:r>
        <w:t>J .</w:t>
      </w:r>
      <w:proofErr w:type="gramEnd"/>
      <w:r>
        <w:t xml:space="preserve"> 2022 Sep19;98(1165):816-</w:t>
      </w:r>
      <w:proofErr w:type="gramStart"/>
      <w:r>
        <w:t>819,doi</w:t>
      </w:r>
      <w:proofErr w:type="gramEnd"/>
      <w:r>
        <w:t>10.1136</w:t>
      </w:r>
      <w:proofErr w:type="gramStart"/>
      <w:r>
        <w:t>/.pmj</w:t>
      </w:r>
      <w:proofErr w:type="gramEnd"/>
      <w:r>
        <w:t>-2022-14103</w:t>
      </w:r>
    </w:p>
    <w:p w14:paraId="01826BF1" w14:textId="7859612D" w:rsidR="00755145" w:rsidRPr="00755145" w:rsidRDefault="00755145" w:rsidP="00755145">
      <w:r>
        <w:t>2.British polio.org</w:t>
      </w:r>
      <w:r w:rsidR="002E5F43">
        <w:t>.uk</w:t>
      </w:r>
    </w:p>
    <w:p w14:paraId="4842D540" w14:textId="486BC0B6" w:rsidR="002D4C2B" w:rsidRPr="002D4C2B" w:rsidRDefault="002D4C2B" w:rsidP="002D4C2B">
      <w:hyperlink r:id="rId9" w:history="1">
        <w:r w:rsidRPr="00805691">
          <w:rPr>
            <w:rStyle w:val="Hyperlink"/>
          </w:rPr>
          <w:t>www.polio</w:t>
        </w:r>
      </w:hyperlink>
      <w:r>
        <w:t xml:space="preserve"> eradication.org</w:t>
      </w:r>
    </w:p>
    <w:p w14:paraId="705376C9" w14:textId="21A5C1F1" w:rsidR="00E05F2A" w:rsidRDefault="00755145" w:rsidP="00E05F2A">
      <w:proofErr w:type="gramStart"/>
      <w:r>
        <w:t>3.</w:t>
      </w:r>
      <w:r w:rsidR="00E05F2A">
        <w:t>.Emerging</w:t>
      </w:r>
      <w:proofErr w:type="gramEnd"/>
      <w:r w:rsidR="00E05F2A">
        <w:t xml:space="preserve"> infectious diseases.</w:t>
      </w:r>
    </w:p>
    <w:p w14:paraId="1E262E72" w14:textId="2AC0D7C3" w:rsidR="00E05F2A" w:rsidRDefault="00E05F2A" w:rsidP="00E05F2A">
      <w:hyperlink r:id="rId10" w:history="1">
        <w:r w:rsidRPr="00805691">
          <w:rPr>
            <w:rStyle w:val="Hyperlink"/>
          </w:rPr>
          <w:t>www.cdc.gov/eid.vol25,no8</w:t>
        </w:r>
      </w:hyperlink>
      <w:r>
        <w:t xml:space="preserve"> August 2019.</w:t>
      </w:r>
    </w:p>
    <w:p w14:paraId="4A84132B" w14:textId="205F16B7" w:rsidR="00E05F2A" w:rsidRDefault="00755145" w:rsidP="00E05F2A">
      <w:proofErr w:type="gramStart"/>
      <w:r>
        <w:t>4.</w:t>
      </w:r>
      <w:r w:rsidR="00C41DE1">
        <w:t>.</w:t>
      </w:r>
      <w:r w:rsidR="00E05F2A">
        <w:t>Global</w:t>
      </w:r>
      <w:proofErr w:type="gramEnd"/>
      <w:r w:rsidR="00E05F2A">
        <w:t xml:space="preserve"> </w:t>
      </w:r>
      <w:r w:rsidR="00C41DE1">
        <w:t xml:space="preserve"> Polio Eradication Initiative. History of polio.</w:t>
      </w:r>
    </w:p>
    <w:p w14:paraId="263B0371" w14:textId="46FDF317" w:rsidR="00590345" w:rsidRDefault="00C41DE1" w:rsidP="00E05F2A">
      <w:hyperlink r:id="rId11" w:history="1">
        <w:r w:rsidRPr="00805691">
          <w:rPr>
            <w:rStyle w:val="Hyperlink"/>
          </w:rPr>
          <w:t>https://polioeradication.org/polio-today June 21 2019</w:t>
        </w:r>
      </w:hyperlink>
    </w:p>
    <w:p w14:paraId="2E187ABC" w14:textId="33662377" w:rsidR="00590345" w:rsidRDefault="00755145" w:rsidP="00E05F2A">
      <w:r>
        <w:t xml:space="preserve">5.Neuro Academy. </w:t>
      </w:r>
      <w:hyperlink r:id="rId12" w:history="1">
        <w:r w:rsidRPr="00805691">
          <w:rPr>
            <w:rStyle w:val="Hyperlink"/>
          </w:rPr>
          <w:t>https://neurology</w:t>
        </w:r>
      </w:hyperlink>
      <w:r>
        <w:t xml:space="preserve"> academy.org</w:t>
      </w:r>
    </w:p>
    <w:p w14:paraId="2BF00CAC" w14:textId="706B49E5" w:rsidR="00C41DE1" w:rsidRDefault="002D4C2B" w:rsidP="00E05F2A">
      <w:r>
        <w:t xml:space="preserve"> </w:t>
      </w:r>
      <w:r w:rsidR="00755145">
        <w:t>6</w:t>
      </w:r>
      <w:r>
        <w:t>.</w:t>
      </w:r>
      <w:r w:rsidR="00C41DE1">
        <w:t xml:space="preserve">World Health </w:t>
      </w:r>
      <w:r>
        <w:t>Organization</w:t>
      </w:r>
      <w:r w:rsidR="00C41DE1">
        <w:t>. Centre for disease control&amp; prevention.</w:t>
      </w:r>
    </w:p>
    <w:p w14:paraId="1DE276DF" w14:textId="12B517B6" w:rsidR="00C41DE1" w:rsidRDefault="002D4C2B" w:rsidP="00E05F2A">
      <w:hyperlink r:id="rId13" w:history="1">
        <w:r w:rsidRPr="00805691">
          <w:rPr>
            <w:rStyle w:val="Hyperlink"/>
          </w:rPr>
          <w:t>https://www.cdc.gov</w:t>
        </w:r>
      </w:hyperlink>
      <w:r>
        <w:t xml:space="preserve"> 2</w:t>
      </w:r>
      <w:r w:rsidRPr="002D4C2B">
        <w:rPr>
          <w:vertAlign w:val="superscript"/>
        </w:rPr>
        <w:t>nd</w:t>
      </w:r>
      <w:r>
        <w:t xml:space="preserve"> April 2025</w:t>
      </w:r>
    </w:p>
    <w:p w14:paraId="04FF84CD" w14:textId="591D6A0A" w:rsidR="002D4C2B" w:rsidRDefault="00590345" w:rsidP="00E05F2A">
      <w:hyperlink r:id="rId14" w:history="1">
        <w:r w:rsidRPr="00805691">
          <w:rPr>
            <w:rStyle w:val="Hyperlink"/>
          </w:rPr>
          <w:t>www.youtube.com@who</w:t>
        </w:r>
      </w:hyperlink>
      <w:r>
        <w:t xml:space="preserve"> 25</w:t>
      </w:r>
      <w:r w:rsidRPr="00590345">
        <w:rPr>
          <w:vertAlign w:val="superscript"/>
        </w:rPr>
        <w:t>th</w:t>
      </w:r>
      <w:r>
        <w:t xml:space="preserve"> October 2005</w:t>
      </w:r>
    </w:p>
    <w:p w14:paraId="3663A364" w14:textId="1712DEFA" w:rsidR="002E5F43" w:rsidRDefault="002E5F43" w:rsidP="00E05F2A">
      <w:r>
        <w:t>7.UK health Security Agency. Poliovirus dictated in sewage from North and East London.UK press release,</w:t>
      </w:r>
      <w:proofErr w:type="gramStart"/>
      <w:r>
        <w:t>2022  hppttps://www.gov.uk</w:t>
      </w:r>
      <w:proofErr w:type="gramEnd"/>
    </w:p>
    <w:p w14:paraId="59A14797" w14:textId="77777777" w:rsidR="00590345" w:rsidRDefault="00590345" w:rsidP="00E05F2A"/>
    <w:p w14:paraId="1E542292" w14:textId="77777777" w:rsidR="00C41DE1" w:rsidRPr="00E05F2A" w:rsidRDefault="00C41DE1" w:rsidP="00E05F2A"/>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55FCE" w14:textId="77777777" w:rsidR="00EC5A29" w:rsidRDefault="00EC5A29" w:rsidP="003E4ECF">
      <w:pPr>
        <w:spacing w:after="0" w:line="240" w:lineRule="auto"/>
      </w:pPr>
      <w:r>
        <w:separator/>
      </w:r>
    </w:p>
  </w:endnote>
  <w:endnote w:type="continuationSeparator" w:id="0">
    <w:p w14:paraId="60211AE5" w14:textId="77777777" w:rsidR="00EC5A29" w:rsidRDefault="00EC5A29"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057A7" w14:textId="77777777" w:rsidR="00427333" w:rsidRDefault="004273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524EB" w14:textId="77777777" w:rsidR="00427333" w:rsidRDefault="00427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572D8" w14:textId="77777777" w:rsidR="00EC5A29" w:rsidRDefault="00EC5A29" w:rsidP="003E4ECF">
      <w:pPr>
        <w:spacing w:after="0" w:line="240" w:lineRule="auto"/>
      </w:pPr>
      <w:r>
        <w:separator/>
      </w:r>
    </w:p>
  </w:footnote>
  <w:footnote w:type="continuationSeparator" w:id="0">
    <w:p w14:paraId="3FC95397" w14:textId="77777777" w:rsidR="00EC5A29" w:rsidRDefault="00EC5A29" w:rsidP="003E4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3158A" w14:textId="77777777" w:rsidR="00427333" w:rsidRDefault="004273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BA2C6" w14:textId="77777777" w:rsidR="00427333" w:rsidRDefault="004273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C0640" w14:textId="77777777" w:rsidR="00427333" w:rsidRDefault="004273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46D50"/>
    <w:multiLevelType w:val="multilevel"/>
    <w:tmpl w:val="CE4C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0C3F24"/>
    <w:multiLevelType w:val="multilevel"/>
    <w:tmpl w:val="3130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491A3A"/>
    <w:multiLevelType w:val="multilevel"/>
    <w:tmpl w:val="95D8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1132808">
    <w:abstractNumId w:val="1"/>
  </w:num>
  <w:num w:numId="2" w16cid:durableId="1561861640">
    <w:abstractNumId w:val="2"/>
  </w:num>
  <w:num w:numId="3" w16cid:durableId="215312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12AD"/>
    <w:rsid w:val="00036F51"/>
    <w:rsid w:val="000572BF"/>
    <w:rsid w:val="00074402"/>
    <w:rsid w:val="000765E3"/>
    <w:rsid w:val="00077E5A"/>
    <w:rsid w:val="00095B0C"/>
    <w:rsid w:val="000C4748"/>
    <w:rsid w:val="000F30C3"/>
    <w:rsid w:val="0015040A"/>
    <w:rsid w:val="001D6893"/>
    <w:rsid w:val="001D7C03"/>
    <w:rsid w:val="00216C85"/>
    <w:rsid w:val="00232F84"/>
    <w:rsid w:val="0026393A"/>
    <w:rsid w:val="00273EDD"/>
    <w:rsid w:val="002B4543"/>
    <w:rsid w:val="002C3965"/>
    <w:rsid w:val="002D4C2B"/>
    <w:rsid w:val="002E5F43"/>
    <w:rsid w:val="00316BB8"/>
    <w:rsid w:val="00321C4C"/>
    <w:rsid w:val="0032626F"/>
    <w:rsid w:val="00334F48"/>
    <w:rsid w:val="00336D6F"/>
    <w:rsid w:val="003738A7"/>
    <w:rsid w:val="003807EE"/>
    <w:rsid w:val="003917C9"/>
    <w:rsid w:val="00392BBC"/>
    <w:rsid w:val="003C3E43"/>
    <w:rsid w:val="003E4ECF"/>
    <w:rsid w:val="00427333"/>
    <w:rsid w:val="00462498"/>
    <w:rsid w:val="00465F7A"/>
    <w:rsid w:val="00486C48"/>
    <w:rsid w:val="004A6EA4"/>
    <w:rsid w:val="004A736E"/>
    <w:rsid w:val="004F0BE7"/>
    <w:rsid w:val="004F62F1"/>
    <w:rsid w:val="005346EF"/>
    <w:rsid w:val="0055161E"/>
    <w:rsid w:val="00590345"/>
    <w:rsid w:val="005D381A"/>
    <w:rsid w:val="00615F05"/>
    <w:rsid w:val="00653E62"/>
    <w:rsid w:val="00667C0E"/>
    <w:rsid w:val="00690B92"/>
    <w:rsid w:val="006925AA"/>
    <w:rsid w:val="006C2577"/>
    <w:rsid w:val="00725177"/>
    <w:rsid w:val="00741A9F"/>
    <w:rsid w:val="00743D7C"/>
    <w:rsid w:val="00755145"/>
    <w:rsid w:val="007A1B8D"/>
    <w:rsid w:val="007E6897"/>
    <w:rsid w:val="007F1467"/>
    <w:rsid w:val="0080671F"/>
    <w:rsid w:val="00814A9E"/>
    <w:rsid w:val="008975F4"/>
    <w:rsid w:val="008D5B25"/>
    <w:rsid w:val="008E3943"/>
    <w:rsid w:val="008F3BD8"/>
    <w:rsid w:val="0090040D"/>
    <w:rsid w:val="009420CF"/>
    <w:rsid w:val="009B3EBF"/>
    <w:rsid w:val="009D052C"/>
    <w:rsid w:val="009D1D1E"/>
    <w:rsid w:val="009F07AB"/>
    <w:rsid w:val="00A035FD"/>
    <w:rsid w:val="00A33173"/>
    <w:rsid w:val="00AB43DF"/>
    <w:rsid w:val="00AD23A0"/>
    <w:rsid w:val="00B87E75"/>
    <w:rsid w:val="00C316C4"/>
    <w:rsid w:val="00C35FFF"/>
    <w:rsid w:val="00C41DE1"/>
    <w:rsid w:val="00C501D1"/>
    <w:rsid w:val="00C869B5"/>
    <w:rsid w:val="00CD33A8"/>
    <w:rsid w:val="00D11AA8"/>
    <w:rsid w:val="00D538FF"/>
    <w:rsid w:val="00DD467B"/>
    <w:rsid w:val="00E05F2A"/>
    <w:rsid w:val="00E27556"/>
    <w:rsid w:val="00E569FD"/>
    <w:rsid w:val="00E620E7"/>
    <w:rsid w:val="00E705B4"/>
    <w:rsid w:val="00E84E78"/>
    <w:rsid w:val="00EA5B1F"/>
    <w:rsid w:val="00EC5A29"/>
    <w:rsid w:val="00F3553F"/>
    <w:rsid w:val="00F5580E"/>
    <w:rsid w:val="00F66E1B"/>
    <w:rsid w:val="00FD4FFB"/>
    <w:rsid w:val="00FD7F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42733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2733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2733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2733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2733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2733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BookTitle">
    <w:name w:val="Book Title"/>
    <w:basedOn w:val="DefaultParagraphFont"/>
    <w:uiPriority w:val="33"/>
    <w:qFormat/>
    <w:rsid w:val="00427333"/>
    <w:rPr>
      <w:b/>
      <w:bCs/>
      <w:i/>
      <w:iCs/>
      <w:spacing w:val="5"/>
    </w:rPr>
  </w:style>
  <w:style w:type="paragraph" w:styleId="Caption">
    <w:name w:val="caption"/>
    <w:basedOn w:val="Normal"/>
    <w:next w:val="Normal"/>
    <w:uiPriority w:val="35"/>
    <w:semiHidden/>
    <w:unhideWhenUsed/>
    <w:qFormat/>
    <w:rsid w:val="00427333"/>
    <w:pPr>
      <w:spacing w:after="200" w:line="240" w:lineRule="auto"/>
    </w:pPr>
    <w:rPr>
      <w:i/>
      <w:iCs/>
      <w:color w:val="44546A" w:themeColor="text2"/>
      <w:sz w:val="18"/>
      <w:szCs w:val="18"/>
    </w:rPr>
  </w:style>
  <w:style w:type="character" w:styleId="Emphasis">
    <w:name w:val="Emphasis"/>
    <w:basedOn w:val="DefaultParagraphFont"/>
    <w:uiPriority w:val="20"/>
    <w:qFormat/>
    <w:rsid w:val="00427333"/>
    <w:rPr>
      <w:i/>
      <w:iCs/>
    </w:rPr>
  </w:style>
  <w:style w:type="character" w:customStyle="1" w:styleId="Heading4Char">
    <w:name w:val="Heading 4 Char"/>
    <w:basedOn w:val="DefaultParagraphFont"/>
    <w:link w:val="Heading4"/>
    <w:uiPriority w:val="9"/>
    <w:semiHidden/>
    <w:rsid w:val="0042733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2733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2733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2733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2733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27333"/>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427333"/>
    <w:rPr>
      <w:i/>
      <w:iCs/>
      <w:color w:val="4472C4" w:themeColor="accent1"/>
    </w:rPr>
  </w:style>
  <w:style w:type="paragraph" w:styleId="IntenseQuote">
    <w:name w:val="Intense Quote"/>
    <w:basedOn w:val="Normal"/>
    <w:next w:val="Normal"/>
    <w:link w:val="IntenseQuoteChar"/>
    <w:uiPriority w:val="30"/>
    <w:qFormat/>
    <w:rsid w:val="0042733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27333"/>
    <w:rPr>
      <w:i/>
      <w:iCs/>
      <w:color w:val="4472C4" w:themeColor="accent1"/>
    </w:rPr>
  </w:style>
  <w:style w:type="character" w:styleId="IntenseReference">
    <w:name w:val="Intense Reference"/>
    <w:basedOn w:val="DefaultParagraphFont"/>
    <w:uiPriority w:val="32"/>
    <w:qFormat/>
    <w:rsid w:val="00427333"/>
    <w:rPr>
      <w:b/>
      <w:bCs/>
      <w:smallCaps/>
      <w:color w:val="4472C4" w:themeColor="accent1"/>
      <w:spacing w:val="5"/>
    </w:rPr>
  </w:style>
  <w:style w:type="paragraph" w:styleId="ListParagraph">
    <w:name w:val="List Paragraph"/>
    <w:basedOn w:val="Normal"/>
    <w:uiPriority w:val="34"/>
    <w:qFormat/>
    <w:rsid w:val="00427333"/>
    <w:pPr>
      <w:ind w:left="720"/>
      <w:contextualSpacing/>
    </w:pPr>
  </w:style>
  <w:style w:type="paragraph" w:styleId="NoSpacing">
    <w:name w:val="No Spacing"/>
    <w:uiPriority w:val="1"/>
    <w:qFormat/>
    <w:rsid w:val="00427333"/>
    <w:pPr>
      <w:spacing w:after="0" w:line="240" w:lineRule="auto"/>
    </w:pPr>
  </w:style>
  <w:style w:type="paragraph" w:styleId="Quote">
    <w:name w:val="Quote"/>
    <w:basedOn w:val="Normal"/>
    <w:next w:val="Normal"/>
    <w:link w:val="QuoteChar"/>
    <w:uiPriority w:val="29"/>
    <w:qFormat/>
    <w:rsid w:val="0042733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27333"/>
    <w:rPr>
      <w:i/>
      <w:iCs/>
      <w:color w:val="404040" w:themeColor="text1" w:themeTint="BF"/>
    </w:rPr>
  </w:style>
  <w:style w:type="character" w:styleId="Strong">
    <w:name w:val="Strong"/>
    <w:basedOn w:val="DefaultParagraphFont"/>
    <w:uiPriority w:val="22"/>
    <w:qFormat/>
    <w:rsid w:val="00427333"/>
    <w:rPr>
      <w:b/>
      <w:bCs/>
    </w:rPr>
  </w:style>
  <w:style w:type="paragraph" w:styleId="Subtitle">
    <w:name w:val="Subtitle"/>
    <w:basedOn w:val="Normal"/>
    <w:next w:val="Normal"/>
    <w:link w:val="SubtitleChar"/>
    <w:uiPriority w:val="11"/>
    <w:qFormat/>
    <w:rsid w:val="00427333"/>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427333"/>
    <w:rPr>
      <w:rFonts w:asciiTheme="minorHAnsi" w:eastAsiaTheme="minorEastAsia" w:hAnsiTheme="minorHAnsi"/>
      <w:color w:val="5A5A5A" w:themeColor="text1" w:themeTint="A5"/>
      <w:spacing w:val="15"/>
      <w:sz w:val="22"/>
    </w:rPr>
  </w:style>
  <w:style w:type="character" w:styleId="SubtleEmphasis">
    <w:name w:val="Subtle Emphasis"/>
    <w:basedOn w:val="DefaultParagraphFont"/>
    <w:uiPriority w:val="19"/>
    <w:qFormat/>
    <w:rsid w:val="00427333"/>
    <w:rPr>
      <w:i/>
      <w:iCs/>
      <w:color w:val="404040" w:themeColor="text1" w:themeTint="BF"/>
    </w:rPr>
  </w:style>
  <w:style w:type="character" w:styleId="SubtleReference">
    <w:name w:val="Subtle Reference"/>
    <w:basedOn w:val="DefaultParagraphFont"/>
    <w:uiPriority w:val="31"/>
    <w:qFormat/>
    <w:rsid w:val="00427333"/>
    <w:rPr>
      <w:smallCaps/>
      <w:color w:val="5A5A5A" w:themeColor="text1" w:themeTint="A5"/>
    </w:rPr>
  </w:style>
  <w:style w:type="paragraph" w:styleId="Title">
    <w:name w:val="Title"/>
    <w:basedOn w:val="Normal"/>
    <w:next w:val="Normal"/>
    <w:link w:val="TitleChar"/>
    <w:uiPriority w:val="10"/>
    <w:qFormat/>
    <w:rsid w:val="004273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33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427333"/>
    <w:pPr>
      <w:spacing w:line="259" w:lineRule="auto"/>
      <w:outlineLvl w:val="9"/>
    </w:pPr>
    <w:rPr>
      <w:rFonts w:asciiTheme="majorHAnsi" w:hAnsiTheme="majorHAnsi" w:cstheme="majorBidi"/>
      <w:b w:val="0"/>
      <w:color w:val="2F5496" w:themeColor="accent1" w:themeShade="BF"/>
      <w:szCs w:val="32"/>
    </w:rPr>
  </w:style>
  <w:style w:type="character" w:styleId="Hyperlink">
    <w:name w:val="Hyperlink"/>
    <w:basedOn w:val="DefaultParagraphFont"/>
    <w:uiPriority w:val="99"/>
    <w:unhideWhenUsed/>
    <w:rsid w:val="00E05F2A"/>
    <w:rPr>
      <w:color w:val="0563C1" w:themeColor="hyperlink"/>
      <w:u w:val="single"/>
    </w:rPr>
  </w:style>
  <w:style w:type="character" w:styleId="UnresolvedMention">
    <w:name w:val="Unresolved Mention"/>
    <w:basedOn w:val="DefaultParagraphFont"/>
    <w:uiPriority w:val="99"/>
    <w:semiHidden/>
    <w:unhideWhenUsed/>
    <w:rsid w:val="00E05F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2734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cdc.gov"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neurolog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lioeradication.org/polio-today%20June%2021%202019"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dc.gov/eid.vol25,no8"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polio" TargetMode="External"/><Relationship Id="rId14" Type="http://schemas.openxmlformats.org/officeDocument/2006/relationships/hyperlink" Target="http://www.youtube.com@wh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585</TotalTime>
  <Pages>6</Pages>
  <Words>1439</Words>
  <Characters>8208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Rita Allahmagani</cp:lastModifiedBy>
  <cp:revision>12</cp:revision>
  <dcterms:created xsi:type="dcterms:W3CDTF">2021-10-31T12:16:00Z</dcterms:created>
  <dcterms:modified xsi:type="dcterms:W3CDTF">2026-08-20T13:37:00Z</dcterms:modified>
</cp:coreProperties>
</file>